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40"/>
      </w:pPr>
      <w:r>
        <w:rPr>
          <w:rFonts w:ascii="Calibri" w:hAnsi="Calibri" w:eastAsia="Microsoft YaHei"/>
          <w:b/>
          <w:color w:val="F39800"/>
          <w:sz w:val="22"/>
        </w:rPr>
        <w:t>MES PROJECT DELIVERY PACK</w:t>
      </w:r>
    </w:p>
    <w:p>
      <w:pPr>
        <w:spacing w:after="200"/>
      </w:pPr>
      <w:r>
        <w:rPr>
          <w:rFonts w:ascii="Calibri" w:hAnsi="Calibri" w:eastAsia="Microsoft YaHei"/>
          <w:b/>
          <w:color w:val="0F2B5B"/>
          <w:sz w:val="62"/>
        </w:rPr>
        <w:t>项目实施与验收方案</w:t>
      </w:r>
    </w:p>
    <w:p>
      <w:pPr>
        <w:spacing w:after="560"/>
      </w:pPr>
      <w:r>
        <w:rPr>
          <w:rFonts w:ascii="Calibri" w:hAnsi="Calibri" w:eastAsia="Microsoft YaHei"/>
          <w:color w:val="5A6672"/>
          <w:sz w:val="28"/>
        </w:rPr>
        <w:t>实施治理、UAT、上线准备与技术验证证据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vAlign w:val="center"/>
            <w:shd w:fill="E8F1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20"/>
              </w:rPr>
              <w:t>文档编号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MES-IMP-TST-001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E8F1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20"/>
              </w:rPr>
              <w:t>版本/日期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0.1 / 2026-07-29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E8F1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20"/>
              </w:rPr>
              <w:t>编制人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李先生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E8F1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20"/>
              </w:rPr>
              <w:t>可信度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试点候选；尚未完成制造从业者评审或真实现场验证</w:t>
            </w:r>
          </w:p>
        </w:tc>
      </w:tr>
    </w:tbl>
    <w:p>
      <w:pPr>
        <w:spacing w:before="520" w:after="0"/>
        <w:shd w:fill="FDF3E0"/>
      </w:pPr>
      <w:r>
        <w:rPr>
          <w:rFonts w:ascii="Calibri" w:hAnsi="Calibri" w:eastAsia="Microsoft YaHei"/>
          <w:b/>
          <w:color w:val="9A6300"/>
          <w:sz w:val="21"/>
        </w:rPr>
        <w:t>使用边界：本文件是公开证据驱动的候选方案，不代表已签约、已上线或已现场验收。</w:t>
      </w:r>
    </w:p>
    <w:p>
      <w:r>
        <w:br w:type="page"/>
      </w:r>
    </w:p>
    <w:p>
      <w:pPr>
        <w:pStyle w:val="Heading1"/>
      </w:pPr>
      <w:r>
        <w:t>文档导航</w:t>
      </w:r>
    </w:p>
    <w:p>
      <w:r>
        <w:rPr>
          <w:color w:val="5A6672"/>
        </w:rPr>
        <w:t>以下目录由当前单一事实源生成；正式发布前应在 Word 中更新自动目录字段。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1. 文档控制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2. 实施策略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3. 阶段计划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4. 项目治理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5. 需求与变更控制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6. 数据与集成准备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7. 环境与配置管理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8. 培训与变更管理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9. 切换与上线准备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10. 支持与移交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11. 主要风险与应对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12. 项目完成定义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1. 文档控制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2. 可信度分级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3. 测试层级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4. 四条强制端到端场景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5. 关键负向测试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6. 测试数据策略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7. 需求追踪与证据包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8. 缺陷管理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9. UAT 组织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10. 技术验证退出标准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11. 现场验收前置条件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12. 验收签署建议</w:t>
      </w:r>
    </w:p>
    <w:p>
      <w:r>
        <w:br w:type="page"/>
      </w:r>
    </w:p>
    <w:p>
      <w:pPr>
        <w:pStyle w:val="Heading1"/>
      </w:pPr>
      <w:r>
        <w:t>1. 文档控制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9"/>
        <w:gridCol w:w="7091"/>
      </w:tblGrid>
      <w:tr>
        <w:trPr>
          <w:tblHeader w:val="true"/>
          <w:cantSplit/>
        </w:trPr>
        <w:tc>
          <w:tcPr>
            <w:tcW w:type="dxa" w:w="2269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属性</w:t>
            </w:r>
          </w:p>
        </w:tc>
        <w:tc>
          <w:tcPr>
            <w:tcW w:type="dxa" w:w="709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文档编号</w:t>
            </w:r>
          </w:p>
        </w:tc>
        <w:tc>
          <w:tcPr>
            <w:tcW w:type="dxa" w:w="7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MES-IMP-001</w:t>
            </w:r>
          </w:p>
        </w:tc>
      </w:tr>
      <w:tr>
        <w:trPr>
          <w:cantSplit/>
        </w:trP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版本</w:t>
            </w:r>
          </w:p>
        </w:tc>
        <w:tc>
          <w:tcPr>
            <w:tcW w:type="dxa" w:w="7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0.1</w:t>
            </w:r>
          </w:p>
        </w:tc>
      </w:tr>
      <w:tr>
        <w:trPr>
          <w:cantSplit/>
        </w:trP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状态</w:t>
            </w:r>
          </w:p>
        </w:tc>
        <w:tc>
          <w:tcPr>
            <w:tcW w:type="dxa" w:w="7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实施候选基线</w:t>
            </w:r>
          </w:p>
        </w:tc>
      </w:tr>
      <w:tr>
        <w:trPr>
          <w:cantSplit/>
        </w:trP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计划周期</w:t>
            </w:r>
          </w:p>
        </w:tc>
        <w:tc>
          <w:tcPr>
            <w:tcW w:type="dxa" w:w="7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5 至 6 周全职救援开发；真实客户项目需重新估算</w:t>
            </w:r>
          </w:p>
        </w:tc>
      </w:tr>
    </w:tbl>
    <w:p>
      <w:pPr>
        <w:spacing w:after="0"/>
      </w:pPr>
    </w:p>
    <w:p>
      <w:pPr>
        <w:pStyle w:val="Heading1"/>
      </w:pPr>
      <w:r>
        <w:t>2. 实施策略</w:t>
      </w:r>
    </w:p>
    <w:p>
      <w:r>
        <w:rPr>
          <w:rFonts w:ascii="Calibri" w:hAnsi="Calibri" w:eastAsia="Microsoft YaHei"/>
        </w:rPr>
        <w:t>保留现有 .NET、Vue 和 SQL Server 技术骨架，在同一仓库按纵向业务切片增量替换错误模型。每个阶段同时完成领域规则、数据库迁移、API、必要 UI、自动化测试和证据，不采用“后端全写完再补前端”或“先堆页面再补规则”的分层瀑布。</w:t>
      </w:r>
    </w:p>
    <w:p>
      <w:r>
        <w:rPr>
          <w:rFonts w:ascii="Calibri" w:hAnsi="Calibri" w:eastAsia="Microsoft YaHei"/>
        </w:rPr>
        <w:t>旧二期经营大屏和工作台扩张保持暂停，直到订单、执行快照、事件、物料、测试、质量和集成事务内核完成。旧 API/UI 可以复用，但不得为了兼容错误语义而保留直接发料即耗料、自由文本放行或创建即发送成功等行为。</w:t>
      </w:r>
    </w:p>
    <w:p>
      <w:pPr>
        <w:pStyle w:val="Heading1"/>
      </w:pPr>
      <w:r>
        <w:t>3. 阶段计划</w:t>
      </w:r>
    </w:p>
    <w:p>
      <w:pPr>
        <w:pStyle w:val="Heading2"/>
      </w:pPr>
      <w:r>
        <w:t>3.1 R0 救援基线</w:t>
      </w:r>
    </w:p>
    <w:p>
      <w:r>
        <w:rPr>
          <w:rFonts w:ascii="Calibri" w:hAnsi="Calibri" w:eastAsia="Microsoft YaHei"/>
        </w:rPr>
        <w:t>目标：统一项目定位、业务边界、证据等级、需求编号、架构决策和发布门禁。</w:t>
      </w:r>
    </w:p>
    <w:p>
      <w:r>
        <w:rPr>
          <w:rFonts w:ascii="Calibri" w:hAnsi="Calibri" w:eastAsia="Microsoft YaHei"/>
        </w:rPr>
        <w:t>主要交付：项目前期文档、需求追踪矩阵、旧验收声明降级、高危依赖处置、当前代码基线和演示快照。</w:t>
      </w:r>
    </w:p>
    <w:p>
      <w:r>
        <w:rPr>
          <w:rFonts w:ascii="Calibri" w:hAnsi="Calibri" w:eastAsia="Microsoft YaHei"/>
        </w:rPr>
        <w:t>退出条件：所有新增工作能关联需求 ID；旧二期规格不再驱动实现；关键假设进入台账。</w:t>
      </w:r>
    </w:p>
    <w:p>
      <w:pPr>
        <w:pStyle w:val="Heading2"/>
      </w:pPr>
      <w:r>
        <w:t>3.2 R1 可信数据底座</w:t>
      </w:r>
    </w:p>
    <w:p>
      <w:r>
        <w:rPr>
          <w:rFonts w:ascii="Calibri" w:hAnsi="Calibri" w:eastAsia="Microsoft YaHei"/>
        </w:rPr>
        <w:t>目标：建立可升级、可验证和可安全部署的数据基础。</w:t>
      </w:r>
    </w:p>
    <w:p>
      <w:r>
        <w:rPr>
          <w:rFonts w:ascii="Calibri" w:hAnsi="Calibri" w:eastAsia="Microsoft YaHei"/>
        </w:rPr>
        <w:t>主要交付：EF Core Migration、SQL Server 测试夹具、生产配置校验、显式演示数据命令、执行快照表、旧数据 Legacy 策略。</w:t>
      </w:r>
    </w:p>
    <w:p>
      <w:r>
        <w:rPr>
          <w:rFonts w:ascii="Calibri" w:hAnsi="Calibri" w:eastAsia="Microsoft YaHei"/>
        </w:rPr>
        <w:t>退出条件：空库迁移和上一版本带数据升级通过；API 不再自动删库；示例密钥在生产启动失败。</w:t>
      </w:r>
    </w:p>
    <w:p>
      <w:pPr>
        <w:pStyle w:val="Heading2"/>
      </w:pPr>
      <w:r>
        <w:t>3.3 R2 制造执行内核</w:t>
      </w:r>
    </w:p>
    <w:p>
      <w:r>
        <w:rPr>
          <w:rFonts w:ascii="Calibri" w:hAnsi="Calibri" w:eastAsia="Microsoft YaHei"/>
        </w:rPr>
        <w:t>目标：完成从 ERP 订单到成品 SN 在制的可信主干。</w:t>
      </w:r>
    </w:p>
    <w:p>
      <w:r>
        <w:rPr>
          <w:rFonts w:ascii="Calibri" w:hAnsi="Calibri" w:eastAsia="Microsoft YaHei"/>
        </w:rPr>
        <w:t>主要交付：生产订单生命周期、受控变更、身份来源、START_WIP、版本化路线、防跳站、制造事件、物料事务账。</w:t>
      </w:r>
    </w:p>
    <w:p>
      <w:r>
        <w:rPr>
          <w:rFonts w:ascii="Calibri" w:hAnsi="Calibri" w:eastAsia="Microsoft YaHei"/>
        </w:rPr>
        <w:t>退出条件：订单下达后模板变化不影响快照；有在制不可取消；物料交接/发料/耗用可分别对账。</w:t>
      </w:r>
    </w:p>
    <w:p>
      <w:pPr>
        <w:pStyle w:val="Heading2"/>
      </w:pPr>
      <w:r>
        <w:t>3.4 R3 测试、质量与谱系</w:t>
      </w:r>
    </w:p>
    <w:p>
      <w:r>
        <w:rPr>
          <w:rFonts w:ascii="Calibri" w:hAnsi="Calibri" w:eastAsia="Microsoft YaHei"/>
        </w:rPr>
        <w:t>目标：形成项目最核心的单件全过程追溯能力。</w:t>
      </w:r>
    </w:p>
    <w:p>
      <w:r>
        <w:rPr>
          <w:rFonts w:ascii="Calibri" w:hAnsi="Calibri" w:eastAsia="Microsoft YaHei"/>
        </w:rPr>
        <w:t>主要交付：固件记录、测试规范、测量、原始报告引用、不合格、质量保留、处置、返工、复测、报废和谱系导出。</w:t>
      </w:r>
    </w:p>
    <w:p>
      <w:r>
        <w:rPr>
          <w:rFonts w:ascii="Calibri" w:hAnsi="Calibri" w:eastAsia="Microsoft YaHei"/>
        </w:rPr>
        <w:t>退出条件：正常完工、失败返工复测和报废三条场景可重复执行，原失败记录不可覆盖。</w:t>
      </w:r>
    </w:p>
    <w:p>
      <w:pPr>
        <w:pStyle w:val="Heading2"/>
      </w:pPr>
      <w:r>
        <w:t>3.5 R4 企业集成闭环</w:t>
      </w:r>
    </w:p>
    <w:p>
      <w:r>
        <w:rPr>
          <w:rFonts w:ascii="Calibri" w:hAnsi="Calibri" w:eastAsia="Microsoft YaHei"/>
        </w:rPr>
        <w:t>目标：证明 ERP/MES 边界具备可靠消息和对账能力。</w:t>
      </w:r>
    </w:p>
    <w:p>
      <w:r>
        <w:rPr>
          <w:rFonts w:ascii="Calibri" w:hAnsi="Calibri" w:eastAsia="Microsoft YaHei"/>
        </w:rPr>
        <w:t>主要交付：Inbox、Outbox 发送器、租约/重试、死信、回执、对账工作台和正式模拟 ERP 适配器。</w:t>
      </w:r>
    </w:p>
    <w:p>
      <w:r>
        <w:rPr>
          <w:rFonts w:ascii="Calibri" w:hAnsi="Calibri" w:eastAsia="Microsoft YaHei"/>
        </w:rPr>
        <w:t>退出条件：重复入站不重复建单；出站失败后可恢复；制造完工、仓储接收和 ERP 入账状态可分辨。</w:t>
      </w:r>
    </w:p>
    <w:p>
      <w:pPr>
        <w:pStyle w:val="Heading2"/>
      </w:pPr>
      <w:r>
        <w:t>3.6 R5 一线工作流 UI</w:t>
      </w:r>
    </w:p>
    <w:p>
      <w:r>
        <w:rPr>
          <w:rFonts w:ascii="Calibri" w:hAnsi="Calibri" w:eastAsia="Microsoft YaHei"/>
        </w:rPr>
        <w:t>目标：让计划、工位、质量和追溯用户可以完成核心工作，而不是展示 API 功能清单。</w:t>
      </w:r>
    </w:p>
    <w:p>
      <w:r>
        <w:rPr>
          <w:rFonts w:ascii="Calibri" w:hAnsi="Calibri" w:eastAsia="Microsoft YaHei"/>
        </w:rPr>
        <w:t>主要交付：订单工作台、工位执行端、质量待办、单件谱系、集成对账、浏览器 E2E 和视觉缺陷修复。</w:t>
      </w:r>
    </w:p>
    <w:p>
      <w:r>
        <w:rPr>
          <w:rFonts w:ascii="Calibri" w:hAnsi="Calibri" w:eastAsia="Microsoft YaHei"/>
        </w:rPr>
        <w:t>退出条件：四条验收场景可在浏览器完成；错误提示能指导恢复；权限拒绝由服务端执行。</w:t>
      </w:r>
    </w:p>
    <w:p>
      <w:pPr>
        <w:pStyle w:val="Heading2"/>
      </w:pPr>
      <w:r>
        <w:t>3.7 R6 可交付与证据</w:t>
      </w:r>
    </w:p>
    <w:p>
      <w:r>
        <w:rPr>
          <w:rFonts w:ascii="Calibri" w:hAnsi="Calibri" w:eastAsia="Microsoft YaHei"/>
        </w:rPr>
        <w:t>目标：形成可部署、可恢复、可演示和可解释的技术验证版本。</w:t>
      </w:r>
    </w:p>
    <w:p>
      <w:r>
        <w:rPr>
          <w:rFonts w:ascii="Calibri" w:hAnsi="Calibri" w:eastAsia="Microsoft YaHei"/>
        </w:rPr>
        <w:t>主要交付：HTTPS Compose、升级/回退运行手册、备份恢复演练、版本化证据包、方案汇报材料和面试问答。</w:t>
      </w:r>
    </w:p>
    <w:p>
      <w:r>
        <w:rPr>
          <w:rFonts w:ascii="Calibri" w:hAnsi="Calibri" w:eastAsia="Microsoft YaHei"/>
        </w:rPr>
        <w:t>退出条件：所有技术验证门禁通过，未验证项和现场前置条件完整，不出现“已落地”误导表述。</w:t>
      </w:r>
    </w:p>
    <w:p>
      <w:pPr>
        <w:pStyle w:val="Heading1"/>
      </w:pPr>
      <w:r>
        <w:t>4. 项目治理</w:t>
      </w:r>
    </w:p>
    <w:p>
      <w:pPr>
        <w:pStyle w:val="Heading2"/>
      </w:pPr>
      <w:r>
        <w:t>4.1 会议与节奏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950"/>
        <w:gridCol w:w="2730"/>
        <w:gridCol w:w="3120"/>
      </w:tblGrid>
      <w:tr>
        <w:trPr>
          <w:tblHeader w:val="true"/>
          <w:cantSplit/>
        </w:trPr>
        <w:tc>
          <w:tcPr>
            <w:tcW w:type="dxa" w:w="1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机制</w:t>
            </w:r>
          </w:p>
        </w:tc>
        <w:tc>
          <w:tcPr>
            <w:tcW w:type="dxa" w:w="19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频率</w:t>
            </w:r>
          </w:p>
        </w:tc>
        <w:tc>
          <w:tcPr>
            <w:tcW w:type="dxa" w:w="273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参与人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每日执行同步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每工作日 15 分钟</w:t>
            </w:r>
          </w:p>
        </w:tc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开发、测试、项目经理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当日目标、阻塞和风险变化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需求/蓝图工作坊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每个新领域切片前</w:t>
            </w:r>
          </w:p>
        </w:tc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业务、工艺、质量、IT、方案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已确认规则、假设、待办和 ADR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阶段演示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每阶段结束</w:t>
            </w:r>
          </w:p>
        </w:tc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发起人、关键用户、项目组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场景证据、差距和阶段决定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RAID 评审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每周</w:t>
            </w:r>
          </w:p>
        </w:tc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项目经理、责任人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风险应对、问题升级和依赖承诺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发布评审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每版本</w:t>
            </w:r>
          </w:p>
        </w:tc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技术、测试、业务代表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门禁结果、回退条件和发布建议</w:t>
            </w:r>
          </w:p>
        </w:tc>
      </w:tr>
    </w:tbl>
    <w:p>
      <w:pPr>
        <w:spacing w:after="0"/>
      </w:pPr>
    </w:p>
    <w:p>
      <w:pPr>
        <w:pStyle w:val="Heading2"/>
      </w:pPr>
      <w:r>
        <w:t>4.2 决策和升级</w:t>
      </w:r>
    </w:p>
    <w:p>
      <w:pPr>
        <w:pStyle w:val="ListBullet"/>
      </w:pPr>
      <w:r>
        <w:rPr>
          <w:rFonts w:ascii="Calibri" w:hAnsi="Calibri" w:eastAsia="Microsoft YaHei"/>
        </w:rPr>
        <w:t>业务范围和验收冲突由项目发起人/业务负责人裁决。</w:t>
      </w:r>
    </w:p>
    <w:p>
      <w:pPr>
        <w:pStyle w:val="ListBullet"/>
      </w:pPr>
      <w:r>
        <w:rPr>
          <w:rFonts w:ascii="Calibri" w:hAnsi="Calibri" w:eastAsia="Microsoft YaHei"/>
        </w:rPr>
        <w:t>工艺、测试和质量规则分别由工艺与质量负责人批准。</w:t>
      </w:r>
    </w:p>
    <w:p>
      <w:pPr>
        <w:pStyle w:val="ListBullet"/>
      </w:pPr>
      <w:r>
        <w:rPr>
          <w:rFonts w:ascii="Calibri" w:hAnsi="Calibri" w:eastAsia="Microsoft YaHei"/>
        </w:rPr>
        <w:t>架构和数据一致性由技术负责人提出方案，重大取舍形成 ADR。</w:t>
      </w:r>
    </w:p>
    <w:p>
      <w:pPr>
        <w:pStyle w:val="ListBullet"/>
      </w:pPr>
      <w:r>
        <w:rPr>
          <w:rFonts w:ascii="Calibri" w:hAnsi="Calibri" w:eastAsia="Microsoft YaHei"/>
        </w:rPr>
        <w:t>影响范围、周期或数据的变更必须进入变更请求；紧急修复事后补齐记录和验证。</w:t>
      </w:r>
    </w:p>
    <w:p>
      <w:pPr>
        <w:pStyle w:val="ListBullet"/>
      </w:pPr>
      <w:r>
        <w:rPr>
          <w:rFonts w:ascii="Calibri" w:hAnsi="Calibri" w:eastAsia="Microsoft YaHei"/>
        </w:rPr>
        <w:t>阻塞超过一个工作日或影响里程碑时，由项目经理升级到对应决策人。</w:t>
      </w:r>
    </w:p>
    <w:p>
      <w:pPr>
        <w:pStyle w:val="Heading1"/>
      </w:pPr>
      <w:r>
        <w:t>5. 需求与变更控制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新需求先登记 ID、业务价值、来源、证据等级和验收条件。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项目组评估范围、数据、接口、安全、测试、培训和发布影响。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业务负责人决定批准、延后、拒绝或拆分。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批准后更新需求基线、WBS、风险、ADR 和验收追踪。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实现完成后必须提供自动化和人工证据，不能仅凭开发自测关闭。</w:t>
      </w:r>
    </w:p>
    <w:p>
      <w:pPr>
        <w:pStyle w:val="Heading1"/>
      </w:pPr>
      <w:r>
        <w:t>6. 数据与集成准备</w:t>
      </w:r>
    </w:p>
    <w:p>
      <w:r>
        <w:rPr>
          <w:rFonts w:ascii="Calibri" w:hAnsi="Calibri" w:eastAsia="Microsoft YaHei"/>
        </w:rPr>
        <w:t>真实项目启动后，应在开发前完成以下清单：ERP 产品/版本、接口文档和技术账号；物料/产品编码和单位；BOM 来源与版本；生产订单/完工/耗料/报废单据；身份和标签责任；错误码和重试政策；样例报文；历史数据范围；主数据质量报告；网络与证书。</w:t>
      </w:r>
    </w:p>
    <w:p>
      <w:r>
        <w:rPr>
          <w:rFonts w:ascii="Calibri" w:hAnsi="Calibri" w:eastAsia="Microsoft YaHei"/>
        </w:rPr>
        <w:t>数据清洗和接口开发并行推进。代码完成不代表接口可上线，只有主数据映射、业务规则、幂等键、错误处理、对账和回执全部验证后才可进入 UAT。</w:t>
      </w:r>
    </w:p>
    <w:p>
      <w:pPr>
        <w:pStyle w:val="Heading1"/>
      </w:pPr>
      <w:r>
        <w:t>7. 环境与配置管理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49"/>
        <w:gridCol w:w="2472"/>
        <w:gridCol w:w="1942"/>
        <w:gridCol w:w="2297"/>
      </w:tblGrid>
      <w:tr>
        <w:trPr>
          <w:tblHeader w:val="true"/>
          <w:cantSplit/>
        </w:trPr>
        <w:tc>
          <w:tcPr>
            <w:tcW w:type="dxa" w:w="2649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环境</w:t>
            </w:r>
          </w:p>
        </w:tc>
        <w:tc>
          <w:tcPr>
            <w:tcW w:type="dxa" w:w="24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目的</w:t>
            </w:r>
          </w:p>
        </w:tc>
        <w:tc>
          <w:tcPr>
            <w:tcW w:type="dxa" w:w="194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数据</w:t>
            </w:r>
          </w:p>
        </w:tc>
        <w:tc>
          <w:tcPr>
            <w:tcW w:type="dxa" w:w="229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变更规则</w:t>
            </w:r>
          </w:p>
        </w:tc>
      </w:tr>
      <w:tr>
        <w:trPr>
          <w:cantSplit/>
        </w:trPr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Development</w:t>
            </w:r>
          </w:p>
        </w:tc>
        <w:tc>
          <w:tcPr>
            <w:tcW w:type="dxa" w:w="2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开发和快速调试</w:t>
            </w:r>
          </w:p>
        </w:tc>
        <w:tc>
          <w:tcPr>
            <w:tcW w:type="dxa" w:w="1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显式演示种子，可重置</w:t>
            </w:r>
          </w:p>
        </w:tc>
        <w:tc>
          <w:tcPr>
            <w:tcW w:type="dxa" w:w="22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允许本地工具，不等同生产</w:t>
            </w:r>
          </w:p>
        </w:tc>
      </w:tr>
      <w:tr>
        <w:trPr>
          <w:cantSplit/>
        </w:trPr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IntegrationTest</w:t>
            </w:r>
          </w:p>
        </w:tc>
        <w:tc>
          <w:tcPr>
            <w:tcW w:type="dxa" w:w="2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SQL Server 自动化</w:t>
            </w:r>
          </w:p>
        </w:tc>
        <w:tc>
          <w:tcPr>
            <w:tcW w:type="dxa" w:w="1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每次独立临时数据</w:t>
            </w:r>
          </w:p>
        </w:tc>
        <w:tc>
          <w:tcPr>
            <w:tcW w:type="dxa" w:w="22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CI 创建和销毁</w:t>
            </w:r>
          </w:p>
        </w:tc>
      </w:tr>
      <w:tr>
        <w:trPr>
          <w:cantSplit/>
        </w:trPr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Demo</w:t>
            </w:r>
          </w:p>
        </w:tc>
        <w:tc>
          <w:tcPr>
            <w:tcW w:type="dxa" w:w="2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方案演示和面试</w:t>
            </w:r>
          </w:p>
        </w:tc>
        <w:tc>
          <w:tcPr>
            <w:tcW w:type="dxa" w:w="1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标记为非生产的固定场景</w:t>
            </w:r>
          </w:p>
        </w:tc>
        <w:tc>
          <w:tcPr>
            <w:tcW w:type="dxa" w:w="22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只由版本化脚本装载</w:t>
            </w:r>
          </w:p>
        </w:tc>
      </w:tr>
      <w:tr>
        <w:trPr>
          <w:cantSplit/>
        </w:trPr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UAT</w:t>
            </w:r>
          </w:p>
        </w:tc>
        <w:tc>
          <w:tcPr>
            <w:tcW w:type="dxa" w:w="2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关键用户验收</w:t>
            </w:r>
          </w:p>
        </w:tc>
        <w:tc>
          <w:tcPr>
            <w:tcW w:type="dxa" w:w="1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脱敏或专门构造的数据</w:t>
            </w:r>
          </w:p>
        </w:tc>
        <w:tc>
          <w:tcPr>
            <w:tcW w:type="dxa" w:w="22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变更受发布流程控制</w:t>
            </w:r>
          </w:p>
        </w:tc>
      </w:tr>
      <w:tr>
        <w:trPr>
          <w:cantSplit/>
        </w:trPr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Production</w:t>
            </w:r>
          </w:p>
        </w:tc>
        <w:tc>
          <w:tcPr>
            <w:tcW w:type="dxa" w:w="2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真实运行</w:t>
            </w:r>
          </w:p>
        </w:tc>
        <w:tc>
          <w:tcPr>
            <w:tcW w:type="dxa" w:w="1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生产业务数据</w:t>
            </w:r>
          </w:p>
        </w:tc>
        <w:tc>
          <w:tcPr>
            <w:tcW w:type="dxa" w:w="22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无种子、外置密钥、显式迁移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配置项、数据库迁移、接口映射、测试规范和工艺版本必须可追踪到发布版本。生产热改必须形成受控配置变更和审计。</w:t>
      </w:r>
    </w:p>
    <w:p>
      <w:pPr>
        <w:pStyle w:val="Heading1"/>
      </w:pPr>
      <w:r>
        <w:t>8. 培训与变更管理</w:t>
      </w:r>
    </w:p>
    <w:p>
      <w:r>
        <w:rPr>
          <w:rFonts w:ascii="Calibri" w:hAnsi="Calibri" w:eastAsia="Microsoft YaHei"/>
        </w:rPr>
        <w:t>培训按角色和场景组织：计划员掌握订单生命周期和变更；操作工掌握工位、扫码、防错和异常报告；工艺/质量掌握版本、处置和复测；IT 掌握部署、账号、日志、备份和恢复。培训必须使用 UAT 场景，完成后记录出席、实操结果和遗留问题。</w:t>
      </w:r>
    </w:p>
    <w:p>
      <w:r>
        <w:rPr>
          <w:rFonts w:ascii="Calibri" w:hAnsi="Calibri" w:eastAsia="Microsoft YaHei"/>
        </w:rPr>
        <w:t>上线前明确纸单/Excel 的去留、过渡期双轨规则、系统不可用时的手工应急记录及恢复后补录审批。禁止长期无责任人的“双轨运行”，否则 MES 无法成为执行权威。</w:t>
      </w:r>
    </w:p>
    <w:p>
      <w:pPr>
        <w:pStyle w:val="Heading1"/>
      </w:pPr>
      <w:r>
        <w:t>9. 切换与上线准备</w:t>
      </w:r>
    </w:p>
    <w:p>
      <w:pPr>
        <w:pStyle w:val="Heading2"/>
      </w:pPr>
      <w:r>
        <w:t>9.1 上线前检查</w:t>
      </w:r>
    </w:p>
    <w:p>
      <w:pPr>
        <w:pStyle w:val="ListBullet"/>
      </w:pPr>
      <w:r>
        <w:rPr>
          <w:rFonts w:ascii="Calibri" w:hAnsi="Calibri" w:eastAsia="Microsoft YaHei"/>
        </w:rPr>
        <w:t>需求和范围已批准，未决高风险有明确接受人。</w:t>
      </w:r>
    </w:p>
    <w:p>
      <w:pPr>
        <w:pStyle w:val="ListBullet"/>
      </w:pPr>
      <w:r>
        <w:rPr>
          <w:rFonts w:ascii="Calibri" w:hAnsi="Calibri" w:eastAsia="Microsoft YaHei"/>
        </w:rPr>
        <w:t>主数据、执行快照、身份、路线、测试和质量规则已由责任人确认。</w:t>
      </w:r>
    </w:p>
    <w:p>
      <w:pPr>
        <w:pStyle w:val="ListBullet"/>
      </w:pPr>
      <w:r>
        <w:rPr>
          <w:rFonts w:ascii="Calibri" w:hAnsi="Calibri" w:eastAsia="Microsoft YaHei"/>
        </w:rPr>
        <w:t>UAT 关键场景通过，严重缺陷为零，已知限制已签字接受。</w:t>
      </w:r>
    </w:p>
    <w:p>
      <w:pPr>
        <w:pStyle w:val="ListBullet"/>
      </w:pPr>
      <w:r>
        <w:rPr>
          <w:rFonts w:ascii="Calibri" w:hAnsi="Calibri" w:eastAsia="Microsoft YaHei"/>
        </w:rPr>
        <w:t>生产环境、HTTPS、密钥、账号、备份、日志、监控和容量检查完成。</w:t>
      </w:r>
    </w:p>
    <w:p>
      <w:pPr>
        <w:pStyle w:val="ListBullet"/>
      </w:pPr>
      <w:r>
        <w:rPr>
          <w:rFonts w:ascii="Calibri" w:hAnsi="Calibri" w:eastAsia="Microsoft YaHei"/>
        </w:rPr>
        <w:t>ERP/WMS 接口、幂等、重试、对账和回退演练完成。</w:t>
      </w:r>
    </w:p>
    <w:p>
      <w:pPr>
        <w:pStyle w:val="ListBullet"/>
      </w:pPr>
      <w:r>
        <w:rPr>
          <w:rFonts w:ascii="Calibri" w:hAnsi="Calibri" w:eastAsia="Microsoft YaHei"/>
        </w:rPr>
        <w:t>培训、操作手册、值守表、升级路径和应急方案完成。</w:t>
      </w:r>
    </w:p>
    <w:p>
      <w:pPr>
        <w:pStyle w:val="Heading2"/>
      </w:pPr>
      <w:r>
        <w:t>9.2 切换步骤</w:t>
      </w:r>
    </w:p>
    <w:p>
      <w:r>
        <w:rPr>
          <w:rFonts w:ascii="Calibri" w:hAnsi="Calibri" w:eastAsia="Microsoft YaHei"/>
        </w:rPr>
        <w:t>备份和变更冻结 -&gt; 部署版本与迁移 -&gt; 初始化受控配置 -&gt; 接口连通和主数据校验 -&gt; 试生产订单 -&gt; 单件全流程核对 -&gt; 扩大到试点班次 -&gt; 观察期 -&gt; 业务决定继续、修正或回退。</w:t>
      </w:r>
    </w:p>
    <w:p>
      <w:pPr>
        <w:pStyle w:val="Heading2"/>
      </w:pPr>
      <w:r>
        <w:t>9.3 回退原则</w:t>
      </w:r>
    </w:p>
    <w:p>
      <w:r>
        <w:rPr>
          <w:rFonts w:ascii="Calibri" w:hAnsi="Calibri" w:eastAsia="Microsoft YaHei"/>
        </w:rPr>
        <w:t>应用版本可以回退到兼容版本；数据库不依赖未经验证的自动 Down Migration，必要时从升级前备份恢复。业务回退必须说明在制、扫码、物料和接口消息如何对账，不能只回滚容器镜像。</w:t>
      </w:r>
    </w:p>
    <w:p>
      <w:pPr>
        <w:pStyle w:val="Heading1"/>
      </w:pPr>
      <w:r>
        <w:t>10. 支持与移交</w:t>
      </w:r>
    </w:p>
    <w:p>
      <w:r>
        <w:rPr>
          <w:rFonts w:ascii="Calibri" w:hAnsi="Calibri" w:eastAsia="Microsoft YaHei"/>
        </w:rPr>
        <w:t>移交包包括：架构和接口文档、配置清单、部署与恢复手册、账号和权限矩阵、监控与日志说明、已知问题、版本记录、培训材料、UAT/验收证据、待现场优化清单。支持期的响应级别、服务时间和责任边界需在真实项目合同中约定，本候选项目不编造 SLA。</w:t>
      </w:r>
    </w:p>
    <w:p>
      <w:pPr>
        <w:pStyle w:val="Heading1"/>
      </w:pPr>
      <w:r>
        <w:t>11. 主要风险与应对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88"/>
        <w:gridCol w:w="2389"/>
        <w:gridCol w:w="4383"/>
      </w:tblGrid>
      <w:tr>
        <w:trPr>
          <w:tblHeader w:val="true"/>
          <w:cantSplit/>
        </w:trPr>
        <w:tc>
          <w:tcPr>
            <w:tcW w:type="dxa" w:w="258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风险</w:t>
            </w:r>
          </w:p>
        </w:tc>
        <w:tc>
          <w:tcPr>
            <w:tcW w:type="dxa" w:w="2389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影响</w:t>
            </w:r>
          </w:p>
        </w:tc>
        <w:tc>
          <w:tcPr>
            <w:tcW w:type="dxa" w:w="438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预防/应对</w:t>
            </w:r>
          </w:p>
        </w:tc>
      </w:tr>
      <w:tr>
        <w:trPr>
          <w:cantSplit/>
        </w:trPr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无现场专家导致规则失真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做出可运行但不可信的流程</w:t>
            </w:r>
          </w:p>
        </w:tc>
        <w:tc>
          <w:tcPr>
            <w:tcW w:type="dxa" w:w="43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证据分级、保持可配置、设置行业评审门禁</w:t>
            </w:r>
          </w:p>
        </w:tc>
      </w:tr>
      <w:tr>
        <w:trPr>
          <w:cantSplit/>
        </w:trPr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ERP 版本/接口能力未知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集成范围和工期失控</w:t>
            </w:r>
          </w:p>
        </w:tc>
        <w:tc>
          <w:tcPr>
            <w:tcW w:type="dxa" w:w="43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启动阶段完成接口盘点和样例报文验证</w:t>
            </w:r>
          </w:p>
        </w:tc>
      </w:tr>
      <w:tr>
        <w:trPr>
          <w:cantSplit/>
        </w:trPr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旧代码语义渗透新模型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测试全绿但业务仍错误</w:t>
            </w:r>
          </w:p>
        </w:tc>
        <w:tc>
          <w:tcPr>
            <w:tcW w:type="dxa" w:w="43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纵向切片替换、旧测试仅作行为记录、新验收先行</w:t>
            </w:r>
          </w:p>
        </w:tc>
      </w:tr>
      <w:tr>
        <w:trPr>
          <w:cantSplit/>
        </w:trPr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旧数据缺少真实履历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迁移后出现伪造谱系</w:t>
            </w:r>
          </w:p>
        </w:tc>
        <w:tc>
          <w:tcPr>
            <w:tcW w:type="dxa" w:w="43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Legacy 只读，禁止补造事件</w:t>
            </w:r>
          </w:p>
        </w:tc>
      </w:tr>
      <w:tr>
        <w:trPr>
          <w:cantSplit/>
        </w:trPr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过度追求页面和大屏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核心追溯继续缺失</w:t>
            </w:r>
          </w:p>
        </w:tc>
        <w:tc>
          <w:tcPr>
            <w:tcW w:type="dxa" w:w="43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R5 前冻结非核心 UI，按需求追踪门禁评审</w:t>
            </w:r>
          </w:p>
        </w:tc>
      </w:tr>
      <w:tr>
        <w:trPr>
          <w:cantSplit/>
        </w:trPr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求职项目长期闭门打磨</w:t>
            </w:r>
          </w:p>
        </w:tc>
        <w:tc>
          <w:tcPr>
            <w:tcW w:type="dxa" w:w="2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产出无法及时转化</w:t>
            </w:r>
          </w:p>
        </w:tc>
        <w:tc>
          <w:tcPr>
            <w:tcW w:type="dxa" w:w="43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每阶段同步简历故事、方案材料和演示证据</w:t>
            </w:r>
          </w:p>
        </w:tc>
      </w:tr>
    </w:tbl>
    <w:p>
      <w:pPr>
        <w:spacing w:after="0"/>
      </w:pPr>
    </w:p>
    <w:p>
      <w:pPr>
        <w:pStyle w:val="Heading1"/>
      </w:pPr>
      <w:r>
        <w:t>12. 项目完成定义</w:t>
      </w:r>
    </w:p>
    <w:p>
      <w:r>
        <w:rPr>
          <w:rFonts w:ascii="Calibri" w:hAnsi="Calibri" w:eastAsia="Microsoft YaHei"/>
        </w:rPr>
        <w:t>项目完成不是“功能清单全部打勾”，而是当前范围内每条 Must 需求都有来源、实现、SQL Server/浏览器测试和证据产物；四条端到端场景可重复；部署与恢复门禁通过；限制和未验证项透明；对外材料不超过实际可信度等级。</w:t>
      </w:r>
    </w:p>
    <w:p>
      <w:r>
        <w:br w:type="page"/>
      </w:r>
    </w:p>
    <w:p>
      <w:pPr>
        <w:pStyle w:val="Heading1"/>
      </w:pPr>
      <w:r>
        <w:t>1. 文档控制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2"/>
        <w:gridCol w:w="7158"/>
      </w:tblGrid>
      <w:tr>
        <w:trPr>
          <w:tblHeader w:val="true"/>
          <w:cantSplit/>
        </w:trPr>
        <w:tc>
          <w:tcPr>
            <w:tcW w:type="dxa" w:w="220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属性</w:t>
            </w:r>
          </w:p>
        </w:tc>
        <w:tc>
          <w:tcPr>
            <w:tcW w:type="dxa" w:w="715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文档编号</w:t>
            </w:r>
          </w:p>
        </w:tc>
        <w:tc>
          <w:tcPr>
            <w:tcW w:type="dxa" w:w="71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MES-TST-001</w:t>
            </w:r>
          </w:p>
        </w:tc>
      </w:tr>
      <w:tr>
        <w:trPr>
          <w:cantSplit/>
        </w:trP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版本</w:t>
            </w:r>
          </w:p>
        </w:tc>
        <w:tc>
          <w:tcPr>
            <w:tcW w:type="dxa" w:w="71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0.1</w:t>
            </w:r>
          </w:p>
        </w:tc>
      </w:tr>
      <w:tr>
        <w:trPr>
          <w:cantSplit/>
        </w:trP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状态</w:t>
            </w:r>
          </w:p>
        </w:tc>
        <w:tc>
          <w:tcPr>
            <w:tcW w:type="dxa" w:w="71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技术验证与 UAT 候选基线</w:t>
            </w:r>
          </w:p>
        </w:tc>
      </w:tr>
      <w:tr>
        <w:trPr>
          <w:cantSplit/>
        </w:trP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验收原则</w:t>
            </w:r>
          </w:p>
        </w:tc>
        <w:tc>
          <w:tcPr>
            <w:tcW w:type="dxa" w:w="71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自动化证明实现，关键用户证明流程，现场运行证明适用性</w:t>
            </w:r>
          </w:p>
        </w:tc>
      </w:tr>
    </w:tbl>
    <w:p>
      <w:pPr>
        <w:spacing w:after="0"/>
      </w:pPr>
    </w:p>
    <w:p>
      <w:pPr>
        <w:pStyle w:val="Heading1"/>
      </w:pPr>
      <w:r>
        <w:t>2. 可信度分级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92"/>
        <w:gridCol w:w="5576"/>
        <w:gridCol w:w="1992"/>
      </w:tblGrid>
      <w:tr>
        <w:trPr>
          <w:tblHeader w:val="true"/>
          <w:cantSplit/>
        </w:trPr>
        <w:tc>
          <w:tcPr>
            <w:tcW w:type="dxa" w:w="17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级别</w:t>
            </w:r>
          </w:p>
        </w:tc>
        <w:tc>
          <w:tcPr>
            <w:tcW w:type="dxa" w:w="55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进入条件</w:t>
            </w:r>
          </w:p>
        </w:tc>
        <w:tc>
          <w:tcPr>
            <w:tcW w:type="dxa" w:w="19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可对外表述</w:t>
            </w:r>
          </w:p>
        </w:tc>
      </w:tr>
      <w:tr>
        <w:trPr>
          <w:cantSplit/>
        </w:trPr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未验证</w:t>
            </w:r>
          </w:p>
        </w:tc>
        <w:tc>
          <w:tcPr>
            <w:tcW w:type="dxa" w:w="5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仅有想法或文档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设计中/待验证</w:t>
            </w:r>
          </w:p>
        </w:tc>
      </w:tr>
      <w:tr>
        <w:trPr>
          <w:cantSplit/>
        </w:trPr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已实现</w:t>
            </w:r>
          </w:p>
        </w:tc>
        <w:tc>
          <w:tcPr>
            <w:tcW w:type="dxa" w:w="5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代码或配置存在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已实现，尚未完成验证</w:t>
            </w:r>
          </w:p>
        </w:tc>
      </w:tr>
      <w:tr>
        <w:trPr>
          <w:cantSplit/>
        </w:trPr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技术验证通过</w:t>
            </w:r>
          </w:p>
        </w:tc>
        <w:tc>
          <w:tcPr>
            <w:tcW w:type="dxa" w:w="5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自动化、浏览器、SQL Server、部署和证据门禁通过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候选系统完成技术验证</w:t>
            </w:r>
          </w:p>
        </w:tc>
      </w:tr>
      <w:tr>
        <w:trPr>
          <w:cantSplit/>
        </w:trPr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制造从业者评审通过</w:t>
            </w:r>
          </w:p>
        </w:tc>
        <w:tc>
          <w:tcPr>
            <w:tcW w:type="dxa" w:w="5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工艺、质量、计划等专业人员审阅并记录意见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已完成行业/专业评审</w:t>
            </w:r>
          </w:p>
        </w:tc>
      </w:tr>
      <w:tr>
        <w:trPr>
          <w:cantSplit/>
        </w:trPr>
        <w:tc>
          <w:tcPr>
            <w:tcW w:type="dxa" w:w="1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真实现场验证通过</w:t>
            </w:r>
          </w:p>
        </w:tc>
        <w:tc>
          <w:tcPr>
            <w:tcW w:type="dxa" w:w="5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真实工厂、真实数据和实际班次验证并签字</w:t>
            </w:r>
          </w:p>
        </w:tc>
        <w:tc>
          <w:tcPr>
            <w:tcW w:type="dxa" w:w="1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已完成现场试点验证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在没有真实评审和试点前，项目不得使用“已落地”“已上线”“已验收”等表述。</w:t>
      </w:r>
    </w:p>
    <w:p>
      <w:pPr>
        <w:pStyle w:val="Heading1"/>
      </w:pPr>
      <w:r>
        <w:t>3.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20"/>
        <w:gridCol w:w="2420"/>
        <w:gridCol w:w="4520"/>
      </w:tblGrid>
      <w:tr>
        <w:trPr>
          <w:tblHeader w:val="true"/>
          <w:cantSplit/>
        </w:trPr>
        <w:tc>
          <w:tcPr>
            <w:tcW w:type="dxa" w:w="24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层级</w:t>
            </w:r>
          </w:p>
        </w:tc>
        <w:tc>
          <w:tcPr>
            <w:tcW w:type="dxa" w:w="24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目的</w:t>
            </w:r>
          </w:p>
        </w:tc>
        <w:tc>
          <w:tcPr>
            <w:tcW w:type="dxa" w:w="45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典型内容</w:t>
            </w:r>
          </w:p>
        </w:tc>
      </w:tr>
      <w:tr>
        <w:trPr>
          <w:cantSplit/>
        </w:trPr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领域单元测试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快速验证状态机和不变量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生命周期、完成门禁、质量处置、余额规则</w:t>
            </w:r>
          </w:p>
        </w:tc>
      </w:tr>
      <w:tr>
        <w:trPr>
          <w:cantSplit/>
        </w:trPr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API/应用集成测试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验证授权、命令、错误和事务边界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角色拒绝、幂等请求、回滚、审计</w:t>
            </w:r>
          </w:p>
        </w:tc>
      </w:tr>
      <w:tr>
        <w:trPr>
          <w:cantSplit/>
        </w:trPr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SQL Server 集成测试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验证真实数据库语义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Migration、约束、并发、Inbox/Outbox</w:t>
            </w:r>
          </w:p>
        </w:tc>
      </w:tr>
      <w:tr>
        <w:trPr>
          <w:cantSplit/>
        </w:trPr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契约测试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验证适配器和消息格式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版本、必填、幂等键、错误响应、回执</w:t>
            </w:r>
          </w:p>
        </w:tc>
      </w:tr>
      <w:tr>
        <w:trPr>
          <w:cantSplit/>
        </w:trPr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浏览器 E2E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验证真实用户工作流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计划端、工位端、质量端、谱系查询</w:t>
            </w:r>
          </w:p>
        </w:tc>
      </w:tr>
      <w:tr>
        <w:trPr>
          <w:cantSplit/>
        </w:trPr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部署与恢复测试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验证可安装、可升级、可恢复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Compose、HTTPS、健康、备份恢复、冒烟</w:t>
            </w:r>
          </w:p>
        </w:tc>
      </w:tr>
      <w:tr>
        <w:trPr>
          <w:cantSplit/>
        </w:trPr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UAT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由关键用户确认业务可用性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正常、返工、报废、集成异常和查询</w:t>
            </w:r>
          </w:p>
        </w:tc>
      </w:tr>
    </w:tbl>
    <w:p>
      <w:pPr>
        <w:spacing w:after="0"/>
      </w:pPr>
    </w:p>
    <w:p>
      <w:pPr>
        <w:pStyle w:val="Heading1"/>
      </w:pPr>
      <w:r>
        <w:t>4. 四条强制端到端场景</w:t>
      </w:r>
    </w:p>
    <w:p>
      <w:pPr>
        <w:pStyle w:val="Heading2"/>
      </w:pPr>
      <w:r>
        <w:t>4.1 E2E-01 正常完工与单件谱系</w:t>
      </w:r>
    </w:p>
    <w:p>
      <w:r>
        <w:rPr>
          <w:rFonts w:ascii="Calibri" w:hAnsi="Calibri" w:eastAsia="Microsoft YaHei"/>
        </w:rPr>
        <w:t>前置：产品、BOM、路线、追溯策略、测试规范、身份来源和物料已准备；ERP 发送订单。</w:t>
      </w:r>
    </w:p>
    <w:p>
      <w:r>
        <w:rPr>
          <w:rFonts w:ascii="Calibri" w:hAnsi="Calibri" w:eastAsia="Microsoft YaHei"/>
        </w:rPr>
        <w:t>步骤：订单入站 -&gt; 下达冻结快照 -&gt; 物料交接/发料 -&gt; START_WIP -&gt; 关键件 SN 和 Lot 耗用 -&gt; 固件配置 -&gt; 逐项功能测试通过 -&gt; 终检 -&gt; 合格完工 -&gt; 仓储接收 -&gt; ERP 回执 -&gt; 关闭 -&gt; 按 SN 导出谱系。</w:t>
      </w:r>
    </w:p>
    <w:p>
      <w:r>
        <w:rPr>
          <w:rFonts w:ascii="Calibri" w:hAnsi="Calibri" w:eastAsia="Microsoft YaHei"/>
        </w:rPr>
        <w:t>验收：谱系内容完整；模板后续修改不改变该 SN 快照；制造完工、仓储接收和 ERP 入账时间可区分。</w:t>
      </w:r>
    </w:p>
    <w:p>
      <w:pPr>
        <w:pStyle w:val="Heading2"/>
      </w:pPr>
      <w:r>
        <w:t>4.2 E2E-02 测试失败、返工与复测</w:t>
      </w:r>
    </w:p>
    <w:p>
      <w:r>
        <w:rPr>
          <w:rFonts w:ascii="Calibri" w:hAnsi="Calibri" w:eastAsia="Microsoft YaHei"/>
        </w:rPr>
        <w:t>步骤：功能测试至少一项失败 -&gt; 保存全部测量 -&gt; 创建不合格和质量保留 -&gt; 质量工程师决定返工 -&gt; 执行返工作业 -&gt; 复测通过 -&gt; 授权解除保留 -&gt; 完成后续工序。</w:t>
      </w:r>
    </w:p>
    <w:p>
      <w:r>
        <w:rPr>
          <w:rFonts w:ascii="Calibri" w:hAnsi="Calibri" w:eastAsia="Microsoft YaHei"/>
        </w:rPr>
        <w:t>验收：原失败测试不可编辑；返工和复测关联清晰；未解除保留前完工被拒绝；操作工无处置审批权限。</w:t>
      </w:r>
    </w:p>
    <w:p>
      <w:pPr>
        <w:pStyle w:val="Heading2"/>
      </w:pPr>
      <w:r>
        <w:t>4.3 E2E-03 报废与订单数量平衡</w:t>
      </w:r>
    </w:p>
    <w:p>
      <w:r>
        <w:rPr>
          <w:rFonts w:ascii="Calibri" w:hAnsi="Calibri" w:eastAsia="Microsoft YaHei"/>
        </w:rPr>
        <w:t>步骤：在制 SN 发现严重不合格 -&gt; 质量工程师报废 -&gt; 物料按规则冲正/保留责任 -&gt; 订单有在制时尝试取消 -&gt; 系统拒绝 -&gt; 处理剩余 SN -&gt; 受控短结或执行完成。</w:t>
      </w:r>
    </w:p>
    <w:p>
      <w:r>
        <w:rPr>
          <w:rFonts w:ascii="Calibri" w:hAnsi="Calibri" w:eastAsia="Microsoft YaHei"/>
        </w:rPr>
        <w:t>验收：报废事实和依据可查；订单取消限制有效；计划数、投产数、完工数、报废数和未投产数平衡。</w:t>
      </w:r>
    </w:p>
    <w:p>
      <w:pPr>
        <w:pStyle w:val="Heading2"/>
      </w:pPr>
      <w:r>
        <w:t>4.4 E2E-04 集成重复、失败、重试与对账</w:t>
      </w:r>
    </w:p>
    <w:p>
      <w:r>
        <w:rPr>
          <w:rFonts w:ascii="Calibri" w:hAnsi="Calibri" w:eastAsia="Microsoft YaHei"/>
        </w:rPr>
        <w:t>步骤：重复提交同一订单消息 -&gt; 只创建一次 -&gt; 制造完工生成 Outbox -&gt; 模拟 ERP 暂时失败 -&gt; 消息进入 Failed 并记录错误 -&gt; 自动/人工重试 -&gt; 对方幂等接收 -&gt; 回执 -&gt; 对账关闭。</w:t>
      </w:r>
    </w:p>
    <w:p>
      <w:r>
        <w:rPr>
          <w:rFonts w:ascii="Calibri" w:hAnsi="Calibri" w:eastAsia="Microsoft YaHei"/>
        </w:rPr>
        <w:t>验收：无重复订单和重复入账；失败不标记成功；每次尝试和最终回执可查；订单在对账前不能关闭。</w:t>
      </w:r>
    </w:p>
    <w:p>
      <w:pPr>
        <w:pStyle w:val="Heading1"/>
      </w:pPr>
      <w:r>
        <w:t>5. 关键负向测试</w:t>
      </w:r>
    </w:p>
    <w:p>
      <w:pPr>
        <w:pStyle w:val="ListBullet"/>
      </w:pPr>
      <w:r>
        <w:rPr>
          <w:rFonts w:ascii="Calibri" w:hAnsi="Calibri" w:eastAsia="Microsoft YaHei"/>
        </w:rPr>
        <w:t>未下达订单 START_WIP 必须失败。</w:t>
      </w:r>
    </w:p>
    <w:p>
      <w:pPr>
        <w:pStyle w:val="ListBullet"/>
      </w:pPr>
      <w:r>
        <w:rPr>
          <w:rFonts w:ascii="Calibri" w:hAnsi="Calibri" w:eastAsia="Microsoft YaHei"/>
        </w:rPr>
        <w:t>当前工序与工位不一致的跳站必须失败。</w:t>
      </w:r>
    </w:p>
    <w:p>
      <w:pPr>
        <w:pStyle w:val="ListBullet"/>
      </w:pPr>
      <w:r>
        <w:rPr>
          <w:rFonts w:ascii="Calibri" w:hAnsi="Calibri" w:eastAsia="Microsoft YaHei"/>
        </w:rPr>
        <w:t xml:space="preserve">示例密钥、开放 CORS 或 </w:t>
      </w:r>
      <w:r>
        <w:rPr>
          <w:rFonts w:ascii="Consolas" w:hAnsi="Consolas" w:eastAsia="Microsoft YaHei"/>
          <w:color w:val="0F2B5B"/>
        </w:rPr>
        <w:t>sa</w:t>
      </w:r>
      <w:r>
        <w:rPr>
          <w:rFonts w:ascii="Calibri" w:hAnsi="Calibri" w:eastAsia="Microsoft YaHei"/>
        </w:rPr>
        <w:t xml:space="preserve"> 在生产配置中必须触发门禁失败。</w:t>
      </w:r>
    </w:p>
    <w:p>
      <w:pPr>
        <w:pStyle w:val="ListBullet"/>
      </w:pPr>
      <w:r>
        <w:rPr>
          <w:rFonts w:ascii="Calibri" w:hAnsi="Calibri" w:eastAsia="Microsoft YaHei"/>
        </w:rPr>
        <w:t>已投产订单取消必须失败，暂停后新投产和正常过站必须失败。</w:t>
      </w:r>
    </w:p>
    <w:p>
      <w:pPr>
        <w:pStyle w:val="ListBullet"/>
      </w:pPr>
      <w:r>
        <w:rPr>
          <w:rFonts w:ascii="Calibri" w:hAnsi="Calibri" w:eastAsia="Microsoft YaHei"/>
        </w:rPr>
        <w:t>未发料/未授权负库存、同一部件 SN 重复绑定必须失败。</w:t>
      </w:r>
    </w:p>
    <w:p>
      <w:pPr>
        <w:pStyle w:val="ListBullet"/>
      </w:pPr>
      <w:r>
        <w:rPr>
          <w:rFonts w:ascii="Calibri" w:hAnsi="Calibri" w:eastAsia="Microsoft YaHei"/>
        </w:rPr>
        <w:t>必测项目缺失、测量越界或未决质量保留时完工必须失败。</w:t>
      </w:r>
    </w:p>
    <w:p>
      <w:pPr>
        <w:pStyle w:val="ListBullet"/>
      </w:pPr>
      <w:r>
        <w:rPr>
          <w:rFonts w:ascii="Calibri" w:hAnsi="Calibri" w:eastAsia="Microsoft YaHei"/>
        </w:rPr>
        <w:t>操作工批准处置、系统管理员绕过业务审批必须失败。</w:t>
      </w:r>
    </w:p>
    <w:p>
      <w:pPr>
        <w:pStyle w:val="ListBullet"/>
      </w:pPr>
      <w:r>
        <w:rPr>
          <w:rFonts w:ascii="Calibri" w:hAnsi="Calibri" w:eastAsia="Microsoft YaHei"/>
        </w:rPr>
        <w:t>重复 Inbox、重复回执和并发 Outbox 认领不得产生重复业务结果。</w:t>
      </w:r>
    </w:p>
    <w:p>
      <w:pPr>
        <w:pStyle w:val="ListBullet"/>
      </w:pPr>
      <w:r>
        <w:rPr>
          <w:rFonts w:ascii="Calibri" w:hAnsi="Calibri" w:eastAsia="Microsoft YaHei"/>
        </w:rPr>
        <w:t>旧数据库升级失败必须停止发布，不能自动删库重建。</w:t>
      </w:r>
    </w:p>
    <w:p>
      <w:pPr>
        <w:pStyle w:val="Heading1"/>
      </w:pPr>
      <w:r>
        <w:t>6. 测试数据策略</w:t>
      </w:r>
    </w:p>
    <w:p>
      <w:r>
        <w:rPr>
          <w:rFonts w:ascii="Calibri" w:hAnsi="Calibri" w:eastAsia="Microsoft YaHei"/>
        </w:rPr>
        <w:t>演示和测试数据必须明确标记为非生产。固定数据集至少包含：一个正常订单、一个返工订单、一个报废/短结订单和一个集成故障订单；每个场景使用稳定且不同的成品 SN、关键件 SN、Lot 和消息 ID。测试结束后可重复重建，生产环境禁止装载。</w:t>
      </w:r>
    </w:p>
    <w:p>
      <w:r>
        <w:rPr>
          <w:rFonts w:ascii="Calibri" w:hAnsi="Calibri" w:eastAsia="Microsoft YaHei"/>
        </w:rPr>
        <w:t>旧演示数据仅作为升级夹具和行为回归。无法由原记录证明的固件、测量、Lot 或处置信息不得通过迁移补造。</w:t>
      </w:r>
    </w:p>
    <w:p>
      <w:pPr>
        <w:pStyle w:val="Heading1"/>
      </w:pPr>
      <w:r>
        <w:t>7. 需求追踪与证据包</w:t>
      </w:r>
    </w:p>
    <w:p>
      <w:r>
        <w:rPr>
          <w:rFonts w:ascii="Calibri" w:hAnsi="Calibri" w:eastAsia="Microsoft YaHei"/>
        </w:rPr>
        <w:t>每条 Must 需求至少关联一个测试或人工验收步骤。每个版本证据包包含：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版本、提交、构建环境和执行时间。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需求追踪矩阵及未覆盖说明。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单元/API/SQL Server/契约/浏览器测试结果。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四条端到端场景的输入、关键截图和输出。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固定成品 SN 的谱系 JSON/PDF 导出及校验值。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Migration 新装和升级结果、依赖漏洞扫描和权限拒绝证据。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Compose 启动、HTTPS、健康、备份恢复和冒烟结果。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已知限制、未验证假设、遗留缺陷和风险接受人。</w:t>
      </w:r>
    </w:p>
    <w:p>
      <w:pPr>
        <w:pStyle w:val="Heading1"/>
      </w:pPr>
      <w:r>
        <w:t>8. 缺陷管理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68"/>
        <w:gridCol w:w="4588"/>
        <w:gridCol w:w="3304"/>
      </w:tblGrid>
      <w:tr>
        <w:trPr>
          <w:tblHeader w:val="true"/>
          <w:cantSplit/>
        </w:trPr>
        <w:tc>
          <w:tcPr>
            <w:tcW w:type="dxa" w:w="146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级别</w:t>
            </w:r>
          </w:p>
        </w:tc>
        <w:tc>
          <w:tcPr>
            <w:tcW w:type="dxa" w:w="458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定义</w:t>
            </w:r>
          </w:p>
        </w:tc>
        <w:tc>
          <w:tcPr>
            <w:tcW w:type="dxa" w:w="330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发布处理</w:t>
            </w:r>
          </w:p>
        </w:tc>
      </w:tr>
      <w:tr>
        <w:trPr>
          <w:cantSplit/>
        </w:trPr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Critical</w:t>
            </w:r>
          </w:p>
        </w:tc>
        <w:tc>
          <w:tcPr>
            <w:tcW w:type="dxa" w:w="4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数据丢失/伪造、越权、错误完工、重复入账、无法恢复</w:t>
            </w:r>
          </w:p>
        </w:tc>
        <w:tc>
          <w:tcPr>
            <w:tcW w:type="dxa" w:w="3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必须修复，不允许发布</w:t>
            </w:r>
          </w:p>
        </w:tc>
      </w:tr>
      <w:tr>
        <w:trPr>
          <w:cantSplit/>
        </w:trPr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Major</w:t>
            </w:r>
          </w:p>
        </w:tc>
        <w:tc>
          <w:tcPr>
            <w:tcW w:type="dxa" w:w="4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核心流程中断、追溯缺失、错误质量门禁</w:t>
            </w:r>
          </w:p>
        </w:tc>
        <w:tc>
          <w:tcPr>
            <w:tcW w:type="dxa" w:w="3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原则上必须修复；延期需发起人书面接受</w:t>
            </w:r>
          </w:p>
        </w:tc>
      </w:tr>
      <w:tr>
        <w:trPr>
          <w:cantSplit/>
        </w:trPr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Minor</w:t>
            </w:r>
          </w:p>
        </w:tc>
        <w:tc>
          <w:tcPr>
            <w:tcW w:type="dxa" w:w="4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有替代路径且不影响业务事实</w:t>
            </w:r>
          </w:p>
        </w:tc>
        <w:tc>
          <w:tcPr>
            <w:tcW w:type="dxa" w:w="3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可带入，但必须记录和计划</w:t>
            </w:r>
          </w:p>
        </w:tc>
      </w:tr>
      <w:tr>
        <w:trPr>
          <w:cantSplit/>
        </w:trPr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Cosmetic</w:t>
            </w:r>
          </w:p>
        </w:tc>
        <w:tc>
          <w:tcPr>
            <w:tcW w:type="dxa" w:w="4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纯视觉或文案问题</w:t>
            </w:r>
          </w:p>
        </w:tc>
        <w:tc>
          <w:tcPr>
            <w:tcW w:type="dxa" w:w="3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不阻塞技术验证，集中修复</w:t>
            </w:r>
          </w:p>
        </w:tc>
      </w:tr>
    </w:tbl>
    <w:p>
      <w:pPr>
        <w:spacing w:after="0"/>
      </w:pPr>
    </w:p>
    <w:p>
      <w:pPr>
        <w:pStyle w:val="Heading1"/>
      </w:pPr>
      <w:r>
        <w:t>9. UAT 组织</w:t>
      </w:r>
    </w:p>
    <w:p>
      <w:r>
        <w:rPr>
          <w:rFonts w:ascii="Calibri" w:hAnsi="Calibri" w:eastAsia="Microsoft YaHei"/>
        </w:rPr>
        <w:t>UAT 由计划、工艺、质量、物料、操作和 ERP/IT 的关键用户共同执行。开发人员可以协助环境和取证，但不能替代用户判定流程是否可用。每个场景记录执行人、日期、环境、数据、期望、实际、证据、缺陷和结论。</w:t>
      </w:r>
    </w:p>
    <w:p>
      <w:pPr>
        <w:pStyle w:val="Heading1"/>
      </w:pPr>
      <w:r>
        <w:t>10. 技术验证退出标准</w:t>
      </w:r>
    </w:p>
    <w:p>
      <w:pPr>
        <w:pStyle w:val="ListBullet"/>
      </w:pPr>
      <w:r>
        <w:rPr>
          <w:rFonts w:ascii="Calibri" w:hAnsi="Calibri" w:eastAsia="Microsoft YaHei"/>
        </w:rPr>
        <w:t>所有 Must 需求已实现并有追踪，或经正式变更移出范围。</w:t>
      </w:r>
    </w:p>
    <w:p>
      <w:pPr>
        <w:pStyle w:val="ListBullet"/>
      </w:pPr>
      <w:r>
        <w:rPr>
          <w:rFonts w:ascii="Calibri" w:hAnsi="Calibri" w:eastAsia="Microsoft YaHei"/>
        </w:rPr>
        <w:t>四条强制 E2E 和关键负向测试通过。</w:t>
      </w:r>
    </w:p>
    <w:p>
      <w:pPr>
        <w:pStyle w:val="ListBullet"/>
      </w:pPr>
      <w:r>
        <w:rPr>
          <w:rFonts w:ascii="Calibri" w:hAnsi="Calibri" w:eastAsia="Microsoft YaHei"/>
        </w:rPr>
        <w:t>SQL Server 空库/升级、事务、幂等和并发测试通过。</w:t>
      </w:r>
    </w:p>
    <w:p>
      <w:pPr>
        <w:pStyle w:val="ListBullet"/>
      </w:pPr>
      <w:r>
        <w:rPr>
          <w:rFonts w:ascii="Calibri" w:hAnsi="Calibri" w:eastAsia="Microsoft YaHei"/>
        </w:rPr>
        <w:t>浏览器 E2E、权限矩阵、部署、备份恢复和冒烟通过。</w:t>
      </w:r>
    </w:p>
    <w:p>
      <w:pPr>
        <w:pStyle w:val="ListBullet"/>
      </w:pPr>
      <w:r>
        <w:rPr>
          <w:rFonts w:ascii="Calibri" w:hAnsi="Calibri" w:eastAsia="Microsoft YaHei"/>
        </w:rPr>
        <w:t>Critical/Major 缺陷为零，或 Major 有明确风险接受且不损害业务事实。</w:t>
      </w:r>
    </w:p>
    <w:p>
      <w:pPr>
        <w:pStyle w:val="ListBullet"/>
      </w:pPr>
      <w:r>
        <w:rPr>
          <w:rFonts w:ascii="Calibri" w:hAnsi="Calibri" w:eastAsia="Microsoft YaHei"/>
        </w:rPr>
        <w:t>证据包可由陌生人按说明复现，限制清单完整。</w:t>
      </w:r>
    </w:p>
    <w:p>
      <w:pPr>
        <w:pStyle w:val="Heading1"/>
      </w:pPr>
      <w:r>
        <w:t>11. 现场验收前置条件</w:t>
      </w:r>
    </w:p>
    <w:p>
      <w:r>
        <w:rPr>
          <w:rFonts w:ascii="Calibri" w:hAnsi="Calibri" w:eastAsia="Microsoft YaHei"/>
        </w:rPr>
        <w:t>技术验证通过不自动进入现场验收。现场验收还需真实 SOP、物料和产品样本、扫码/测试设备、ERP 沙箱、实际账号与权限、网络、产能和班次、备份与运维责任、用户培训和签字标准。任何一项缺失都应进入 RAID，而不是隐藏在“后续优化”。</w:t>
      </w:r>
    </w:p>
    <w:p>
      <w:pPr>
        <w:pStyle w:val="Heading1"/>
      </w:pPr>
      <w:r>
        <w:t>12. 验收签署建议</w:t>
      </w:r>
    </w:p>
    <w:p>
      <w:r>
        <w:rPr>
          <w:rFonts w:ascii="Calibri" w:hAnsi="Calibri" w:eastAsia="Microsoft YaHei"/>
        </w:rPr>
        <w:t>真实项目应分别签署需求/蓝图确认、UAT 结果、上线准备、试运行结果和最终验收。签署人至少包括业务负责人、计划、工艺、质量、IT 和实施方项目经理；技术负责人只能确认技术结果，不能代替业务签收。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6672"/>
        <w:sz w:val="18"/>
      </w:rPr>
      <w:t xml:space="preserve">工业路由器装配 MES 试点候选 | 李先生 | </w:t>
    </w:r>
    <w:r>
      <w:rPr>
        <w:rFonts w:ascii="Calibri" w:hAnsi="Calibri" w:eastAsia="Microsoft YaHei"/>
        <w:color w:val="5A6672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D8DEE5"/>
      </w:pBdr>
    </w:pPr>
    <w:r>
      <w:rPr>
        <w:rFonts w:ascii="Calibri" w:hAnsi="Calibri" w:eastAsia="Microsoft YaHei"/>
        <w:color w:val="5A6672"/>
        <w:sz w:val="18"/>
      </w:rPr>
      <w:t>项目实施与验收方案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A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E6FD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E6F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F2B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项目实施与验收方案</dc:title>
  <dc:subject>实施治理、UAT、上线准备与技术验证证据</dc:subject>
  <dc:creator>李先生</dc:creator>
  <cp:keywords>MES,工业路由器,需求分析,解决方案,项目管理</cp:keywords>
  <dc:description>generated by python-docx</dc:description>
  <cp:lastModifiedBy>李先生</cp:lastModifiedBy>
  <cp:revision>1</cp:revision>
  <dcterms:created xsi:type="dcterms:W3CDTF">2013-12-23T23:15:00Z</dcterms:created>
  <dcterms:modified xsi:type="dcterms:W3CDTF">2013-12-23T23:15:00Z</dcterms:modified>
  <cp:category>MES 项目前期交付物</cp:category>
</cp:coreProperties>
</file>