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</w:pPr>
      <w:r>
        <w:rPr>
          <w:rFonts w:ascii="Calibri" w:hAnsi="Calibri" w:eastAsia="Microsoft YaHei"/>
          <w:b/>
          <w:color w:val="F39800"/>
          <w:sz w:val="22"/>
        </w:rPr>
        <w:t>MES PROJECT DELIVERY PACK</w:t>
      </w:r>
    </w:p>
    <w:p>
      <w:pPr>
        <w:spacing w:after="200"/>
      </w:pPr>
      <w:r>
        <w:rPr>
          <w:rFonts w:ascii="Calibri" w:hAnsi="Calibri" w:eastAsia="Microsoft YaHei"/>
          <w:b/>
          <w:color w:val="0F2B5B"/>
          <w:sz w:val="62"/>
        </w:rPr>
        <w:t>MES 解决方案蓝图</w:t>
      </w:r>
    </w:p>
    <w:p>
      <w:pPr>
        <w:spacing w:after="560"/>
      </w:pPr>
      <w:r>
        <w:rPr>
          <w:rFonts w:ascii="Calibri" w:hAnsi="Calibri" w:eastAsia="Microsoft YaHei"/>
          <w:color w:val="5A6672"/>
          <w:sz w:val="28"/>
        </w:rPr>
        <w:t>从单件追溯内核到企业集成与私有化交付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文档编号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MES-SOL-001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版本/日期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0.1 / 2026-07-29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编制人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李文韬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可信度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试点候选；尚未完成制造从业者评审或真实现场验证</w:t>
            </w:r>
          </w:p>
        </w:tc>
      </w:tr>
    </w:tbl>
    <w:p>
      <w:pPr>
        <w:spacing w:before="520" w:after="0"/>
        <w:shd w:fill="FDF3E0"/>
      </w:pPr>
      <w:r>
        <w:rPr>
          <w:rFonts w:ascii="Calibri" w:hAnsi="Calibri" w:eastAsia="Microsoft YaHei"/>
          <w:b/>
          <w:color w:val="9A6300"/>
          <w:sz w:val="21"/>
        </w:rPr>
        <w:t>使用边界：本文件是公开证据驱动的候选方案，不代表已签约、已上线或已现场验收。</w:t>
      </w:r>
    </w:p>
    <w:p>
      <w:r>
        <w:br w:type="page"/>
      </w:r>
    </w:p>
    <w:p>
      <w:pPr>
        <w:pStyle w:val="Heading1"/>
      </w:pPr>
      <w:r>
        <w:t>文档导航</w:t>
      </w:r>
    </w:p>
    <w:p>
      <w:r>
        <w:rPr>
          <w:color w:val="5A6672"/>
        </w:rPr>
        <w:t>以下目录由当前单一事实源生成；正式发布前应在 Word 中更新自动目录字段。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1. 文档控制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2. 方案摘要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3. 设计原则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4. 业务上下文与系统边界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5. 逻辑架构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6. 核心领域模型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7. 执行快照设计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8. 制造事件模型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9. 物料与谱系模型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10. 固件与测试模型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11. 质量模型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12. 集成架构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13. 安全与授权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14. 部署与运维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15. 数据库演进与测试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16. 当前实现差距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17. 方案限制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1. 目的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2. 当前公开证据基线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3. 主要来源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4. 现场调研工作坊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5. 观察与取证原则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6. 评审门禁</w:t>
      </w:r>
    </w:p>
    <w:p>
      <w:r>
        <w:br w:type="page"/>
      </w:r>
    </w:p>
    <w:p>
      <w:pPr>
        <w:pStyle w:val="Heading1"/>
      </w:pPr>
      <w:r>
        <w:t>1. 文档控制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9"/>
        <w:gridCol w:w="7091"/>
      </w:tblGrid>
      <w:tr>
        <w:trPr>
          <w:tblHeader w:val="true"/>
          <w:cantSplit/>
        </w:trPr>
        <w:tc>
          <w:tcPr>
            <w:tcW w:type="dxa" w:w="226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属性</w:t>
            </w:r>
          </w:p>
        </w:tc>
        <w:tc>
          <w:tcPr>
            <w:tcW w:type="dxa" w:w="709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文档编号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MES-SOL-001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版本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0.1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状态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目标方案基线候选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架构形态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模块化单体 + 关系型当前状态 + 只追加制造事件</w:t>
            </w:r>
          </w:p>
        </w:tc>
      </w:tr>
      <w:tr>
        <w:trPr>
          <w:cantSplit/>
        </w:trPr>
        <w:tc>
          <w:tcPr>
            <w:tcW w:type="dxa" w:w="2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部署形态</w:t>
            </w:r>
          </w:p>
        </w:tc>
        <w:tc>
          <w:tcPr>
            <w:tcW w:type="dxa" w:w="70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单厂私有化 Docker Compose</w:t>
            </w:r>
          </w:p>
        </w:tc>
      </w:tr>
    </w:tbl>
    <w:p>
      <w:pPr>
        <w:spacing w:after="0"/>
      </w:pPr>
    </w:p>
    <w:p>
      <w:pPr>
        <w:pStyle w:val="Heading1"/>
      </w:pPr>
      <w:r>
        <w:t>2. 方案摘要</w:t>
      </w:r>
    </w:p>
    <w:p>
      <w:r>
        <w:rPr>
          <w:rFonts w:ascii="Calibri" w:hAnsi="Calibri" w:eastAsia="Microsoft YaHei"/>
        </w:rPr>
        <w:t>方案以“成品 SN 全过程追溯”为第一价值，不以页面数量或经营大屏作为完成标准。ERP 负责计划和业务财务权威，MES 负责执行规则、在制状态和制造事实；两者通过幂等消息契约协作。系统在同一 SQL Server 中维护便于查询的当前状态和不可覆盖的制造事件，避免纯 CRUD 丢历史，也避免完整事件溯源带来的不必要复杂度。</w:t>
      </w:r>
    </w:p>
    <w:p>
      <w:pPr>
        <w:pStyle w:val="Heading1"/>
      </w:pPr>
      <w:r>
        <w:t>3. 设计原则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证据优先</w:t>
      </w:r>
      <w:r>
        <w:rPr>
          <w:rFonts w:ascii="Calibri" w:hAnsi="Calibri" w:eastAsia="Microsoft YaHei"/>
        </w:rPr>
        <w:t>：公开资料不足的工艺细节保持可配置和待确认。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身份优先</w:t>
      </w:r>
      <w:r>
        <w:rPr>
          <w:rFonts w:ascii="Calibri" w:hAnsi="Calibri" w:eastAsia="Microsoft YaHei"/>
        </w:rPr>
        <w:t>：所有执行事实最终可关联到成品 SN、订单和执行快照。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历史不可覆盖</w:t>
      </w:r>
      <w:r>
        <w:rPr>
          <w:rFonts w:ascii="Calibri" w:hAnsi="Calibri" w:eastAsia="Microsoft YaHei"/>
        </w:rPr>
        <w:t>：制造事件、测试、质量、物料和集成记录只追加；更正有前后关系。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状态与事件并存</w:t>
      </w:r>
      <w:r>
        <w:rPr>
          <w:rFonts w:ascii="Calibri" w:hAnsi="Calibri" w:eastAsia="Microsoft YaHei"/>
        </w:rPr>
        <w:t>：状态服务当前判断，事件服务追溯、审计和解释。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职责明确</w:t>
      </w:r>
      <w:r>
        <w:rPr>
          <w:rFonts w:ascii="Calibri" w:hAnsi="Calibri" w:eastAsia="Microsoft YaHei"/>
        </w:rPr>
        <w:t>：ERP 计划权威、MES 执行权威、仓储责任交接互不冒充。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事务内聚</w:t>
      </w:r>
      <w:r>
        <w:rPr>
          <w:rFonts w:ascii="Calibri" w:hAnsi="Calibri" w:eastAsia="Microsoft YaHei"/>
        </w:rPr>
        <w:t>：一次业务动作的校验、状态、事件和 Outbox 在同一事务完成。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先纵向闭环</w:t>
      </w:r>
      <w:r>
        <w:rPr>
          <w:rFonts w:ascii="Calibri" w:hAnsi="Calibri" w:eastAsia="Microsoft YaHei"/>
        </w:rPr>
        <w:t>：优先打通订单到谱系的深链路，再扩展大屏和外围模块。</w:t>
      </w:r>
    </w:p>
    <w:p>
      <w:pPr>
        <w:pStyle w:val="Heading1"/>
      </w:pPr>
      <w:r>
        <w:t>4. 业务上下文与系统边界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1"/>
        <w:gridCol w:w="4680"/>
        <w:gridCol w:w="3029"/>
      </w:tblGrid>
      <w:tr>
        <w:trPr>
          <w:tblHeader w:val="true"/>
          <w:cantSplit/>
        </w:trPr>
        <w:tc>
          <w:tcPr>
            <w:tcW w:type="dxa" w:w="165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上下文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权威数据/职责</w:t>
            </w:r>
          </w:p>
        </w:tc>
        <w:tc>
          <w:tcPr>
            <w:tcW w:type="dxa" w:w="302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与 MES 的关系</w:t>
            </w:r>
          </w:p>
        </w:tc>
      </w:tr>
      <w:tr>
        <w:trPr>
          <w:cantSplit/>
        </w:trPr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ERP/计划系统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产品、物料、计量单位、生产订单、计划数量、库存总账和财务结果</w:t>
            </w:r>
          </w:p>
        </w:tc>
        <w:tc>
          <w:tcPr>
            <w:tcW w:type="dxa" w:w="3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下发主数据/订单，接收完工、耗料、报废等结果</w:t>
            </w:r>
          </w:p>
        </w:tc>
      </w:tr>
      <w:tr>
        <w:trPr>
          <w:cantSplit/>
        </w:trPr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工艺、工位、追溯策略、测试规范、生产执行、WIP、制造事件和质量处置</w:t>
            </w:r>
          </w:p>
        </w:tc>
        <w:tc>
          <w:tcPr>
            <w:tcW w:type="dxa" w:w="3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执行权威和单件谱系中心</w:t>
            </w:r>
          </w:p>
        </w:tc>
      </w:tr>
      <w:tr>
        <w:trPr>
          <w:cantSplit/>
        </w:trPr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仓储/WMS 或仓储岗位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物料责任交接、成品接收；若有 WMS 则管理库位和仓内流程</w:t>
            </w:r>
          </w:p>
        </w:tc>
        <w:tc>
          <w:tcPr>
            <w:tcW w:type="dxa" w:w="3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与 MES 交换交接和接收回执</w:t>
            </w:r>
          </w:p>
        </w:tc>
      </w:tr>
      <w:tr>
        <w:trPr>
          <w:cantSplit/>
        </w:trPr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身份/标签/证书系统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SN、MAC、IMEI、证书和标签模板的授权分配</w:t>
            </w:r>
          </w:p>
        </w:tc>
        <w:tc>
          <w:tcPr>
            <w:tcW w:type="dxa" w:w="3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向 MES 提供身份并接收使用/作废事件</w:t>
            </w:r>
          </w:p>
        </w:tc>
      </w:tr>
      <w:tr>
        <w:trPr>
          <w:cantSplit/>
        </w:trPr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测试设备/文件存储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原始测试数据、设备结果和报告文件</w:t>
            </w:r>
          </w:p>
        </w:tc>
        <w:tc>
          <w:tcPr>
            <w:tcW w:type="dxa" w:w="3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 保存结构化测量和不可变报告引用</w:t>
            </w:r>
          </w:p>
        </w:tc>
      </w:tr>
    </w:tbl>
    <w:p>
      <w:pPr>
        <w:spacing w:after="0"/>
      </w:pPr>
    </w:p>
    <w:p>
      <w:pPr>
        <w:pStyle w:val="Heading1"/>
      </w:pPr>
      <w:r>
        <w:t>5. 逻辑架构</w:t>
      </w:r>
    </w:p>
    <w:p>
      <w:pPr>
        <w:pStyle w:val="Heading2"/>
      </w:pPr>
      <w:r>
        <w:t>5.1 体验层</w:t>
      </w:r>
    </w:p>
    <w:p>
      <w:pPr>
        <w:pStyle w:val="ListBullet"/>
      </w:pPr>
      <w:r>
        <w:rPr>
          <w:rFonts w:ascii="Calibri" w:hAnsi="Calibri" w:eastAsia="Microsoft YaHei"/>
          <w:b/>
        </w:rPr>
        <w:t>计划与管理端</w:t>
      </w:r>
      <w:r>
        <w:rPr>
          <w:rFonts w:ascii="Calibri" w:hAnsi="Calibri" w:eastAsia="Microsoft YaHei"/>
        </w:rPr>
        <w:t>：生产订单、物料、质量待办、追溯、审计和集成对账。</w:t>
      </w:r>
    </w:p>
    <w:p>
      <w:pPr>
        <w:pStyle w:val="ListBullet"/>
      </w:pPr>
      <w:r>
        <w:rPr>
          <w:rFonts w:ascii="Calibri" w:hAnsi="Calibri" w:eastAsia="Microsoft YaHei"/>
          <w:b/>
        </w:rPr>
        <w:t>工位执行端</w:t>
      </w:r>
      <w:r>
        <w:rPr>
          <w:rFonts w:ascii="Calibri" w:hAnsi="Calibri" w:eastAsia="Microsoft YaHei"/>
        </w:rPr>
        <w:t>：工位上下文、扫码、装配绑定、固件/配置、测试、缺陷报告和明确防错。</w:t>
      </w:r>
    </w:p>
    <w:p>
      <w:pPr>
        <w:pStyle w:val="ListBullet"/>
      </w:pPr>
      <w:r>
        <w:rPr>
          <w:rFonts w:ascii="Calibri" w:hAnsi="Calibri" w:eastAsia="Microsoft YaHei"/>
          <w:b/>
        </w:rPr>
        <w:t>运维入口</w:t>
      </w:r>
      <w:r>
        <w:rPr>
          <w:rFonts w:ascii="Calibri" w:hAnsi="Calibri" w:eastAsia="Microsoft YaHei"/>
        </w:rPr>
        <w:t>：健康、版本、迁移状态、消息队列、日志关联和恢复验证。</w:t>
      </w:r>
    </w:p>
    <w:p>
      <w:pPr>
        <w:pStyle w:val="Heading2"/>
      </w:pPr>
      <w:r>
        <w:t>5.2 应用与领域层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4"/>
        <w:gridCol w:w="4212"/>
        <w:gridCol w:w="2184"/>
      </w:tblGrid>
      <w:tr>
        <w:trPr>
          <w:tblHeader w:val="true"/>
          <w:cantSplit/>
        </w:trPr>
        <w:tc>
          <w:tcPr>
            <w:tcW w:type="dxa" w:w="29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模块</w:t>
            </w:r>
          </w:p>
        </w:tc>
        <w:tc>
          <w:tcPr>
            <w:tcW w:type="dxa" w:w="42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核心职责</w:t>
            </w:r>
          </w:p>
        </w:tc>
        <w:tc>
          <w:tcPr>
            <w:tcW w:type="dxa" w:w="218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关键边界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Integration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Inbox、Outbox、适配器、回执和对账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不允许适配器直接写业务表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ProductionOrders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订单生命周期、下达快照、暂停、短结、完成和关闭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不拥有 ERP 主数据真相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Execution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START_WIP、工位执行、防跳站和当前 WIP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不承担质量处置审批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Identity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成品/部件身份、号源、标签、绑定/解绑和作废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不越权生成受控标识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Materials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交接、发料、耗用、退料、冲正和余额投影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不扩展为完整 WMS/MRP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FirmwareAndTests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固件/配置、测试规范、测试执行、测量和原始报告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复测不覆盖失败记录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Quality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不合格、质量保留、处置、返工、复测条件和报废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操作执行与审批职责分离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Completion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合格完工、仓储交接和订单数量平衡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完工不冒充 ERP 入账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Genealogy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按 SN 聚合订单、快照、事件、物料、测试、质量和回执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只读聚合，不创造制造事实</w:t>
            </w:r>
          </w:p>
        </w:tc>
      </w:tr>
      <w:tr>
        <w:trPr>
          <w:cantSplit/>
        </w:trPr>
        <w:tc>
          <w:tcPr>
            <w:tcW w:type="dxa" w:w="2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IdentityAccessAudit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组合角色、能力、职责分离和业务审计</w:t>
            </w:r>
          </w:p>
        </w:tc>
        <w:tc>
          <w:tcPr>
            <w:tcW w:type="dxa" w:w="2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系统管理员不天然拥有业务审批</w:t>
            </w:r>
          </w:p>
        </w:tc>
      </w:tr>
    </w:tbl>
    <w:p>
      <w:pPr>
        <w:spacing w:after="0"/>
      </w:pPr>
    </w:p>
    <w:p>
      <w:pPr>
        <w:pStyle w:val="Heading2"/>
      </w:pPr>
      <w:r>
        <w:t>5.3 基础设施层</w:t>
      </w:r>
    </w:p>
    <w:p>
      <w:pPr>
        <w:pStyle w:val="ListBullet"/>
      </w:pPr>
      <w:r>
        <w:rPr>
          <w:rFonts w:ascii="Calibri" w:hAnsi="Calibri" w:eastAsia="Microsoft YaHei"/>
        </w:rPr>
        <w:t>SQL Server 保存业务当前状态、不可变事实、消息和审计。</w:t>
      </w:r>
    </w:p>
    <w:p>
      <w:pPr>
        <w:pStyle w:val="ListBullet"/>
      </w:pPr>
      <w:r>
        <w:rPr>
          <w:rFonts w:ascii="Calibri" w:hAnsi="Calibri" w:eastAsia="Microsoft YaHei"/>
        </w:rPr>
        <w:t>文件存储保存原始测试报告、导出证据和备份，数据库只保存校验值与引用。</w:t>
      </w:r>
    </w:p>
    <w:p>
      <w:pPr>
        <w:pStyle w:val="ListBullet"/>
      </w:pPr>
      <w:r>
        <w:rPr>
          <w:rFonts w:ascii="Calibri" w:hAnsi="Calibri" w:eastAsia="Microsoft YaHei"/>
        </w:rPr>
        <w:t>后台服务负责 Outbox 投递、重试、死信、对账任务和保留策略作业。</w:t>
      </w:r>
    </w:p>
    <w:p>
      <w:pPr>
        <w:pStyle w:val="ListBullet"/>
      </w:pPr>
      <w:r>
        <w:rPr>
          <w:rFonts w:ascii="Calibri" w:hAnsi="Calibri" w:eastAsia="Microsoft YaHei"/>
        </w:rPr>
        <w:t>Nginx 提供 HTTPS、同源入口和反向代理；API 与数据库不直接暴露到厂区网络。</w:t>
      </w:r>
    </w:p>
    <w:p>
      <w:pPr>
        <w:pStyle w:val="Heading1"/>
      </w:pPr>
      <w:r>
        <w:t>6. 核心领域模型</w:t>
      </w:r>
    </w:p>
    <w:p>
      <w:pPr>
        <w:pStyle w:val="Heading2"/>
      </w:pPr>
      <w:r>
        <w:t>6.1 聚合与实体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95"/>
        <w:gridCol w:w="1901"/>
        <w:gridCol w:w="3364"/>
      </w:tblGrid>
      <w:tr>
        <w:trPr>
          <w:tblHeader w:val="true"/>
          <w:cantSplit/>
        </w:trPr>
        <w:tc>
          <w:tcPr>
            <w:tcW w:type="dxa" w:w="409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对象</w:t>
            </w:r>
          </w:p>
        </w:tc>
        <w:tc>
          <w:tcPr>
            <w:tcW w:type="dxa" w:w="190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作用</w:t>
            </w:r>
          </w:p>
        </w:tc>
        <w:tc>
          <w:tcPr>
            <w:tcW w:type="dxa" w:w="336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关键不变量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ProductionOrder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生产执行的订单边界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只有下达快照完整才可投产；有在制不可取消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ExecutionSnapshot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某订单实际依据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含 BOM、路线、追溯和测试的自包含版本化内容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ProductUnit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某个成品 SN 的当前状态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同一受控身份不能同时属于两个开放订单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ManufacturingEvent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某制造事实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确认后不修改；更正引用原事件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MaterialTransaction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物料责任和数量事实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余额不得通过直接改总数产生；不可形成未授权负数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TestSpecification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批准的测试定义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已使用版本不可原地修改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TestRun / Measurement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一次测试及逐项测量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复测为新执行；原失败保留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Nonconformance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未满足要求的正式记录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未处置或未满足条件时保持质量保留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Disposition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授权的质量决定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必须有授权主体、理由和后续要求</w:t>
            </w:r>
          </w:p>
        </w:tc>
      </w:tr>
      <w:tr>
        <w:trPr>
          <w:cantSplit/>
        </w:trPr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InboxMessage / OutboxMessage</w:t>
            </w:r>
          </w:p>
        </w:tc>
        <w:tc>
          <w:tcPr>
            <w:tcW w:type="dxa" w:w="19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集成可靠性记录</w:t>
            </w:r>
          </w:p>
        </w:tc>
        <w:tc>
          <w:tcPr>
            <w:tcW w:type="dxa" w:w="33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幂等业务键唯一；投递状态可重试、可对账</w:t>
            </w:r>
          </w:p>
        </w:tc>
      </w:tr>
    </w:tbl>
    <w:p>
      <w:pPr>
        <w:spacing w:after="0"/>
      </w:pPr>
    </w:p>
    <w:p>
      <w:pPr>
        <w:pStyle w:val="Heading2"/>
      </w:pPr>
      <w:r>
        <w:t>6.2 生产订单状态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7"/>
        <w:gridCol w:w="3375"/>
        <w:gridCol w:w="3222"/>
        <w:gridCol w:w="1536"/>
      </w:tblGrid>
      <w:tr>
        <w:trPr>
          <w:tblHeader w:val="true"/>
          <w:cantSplit/>
        </w:trPr>
        <w:tc>
          <w:tcPr>
            <w:tcW w:type="dxa" w:w="12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状态</w:t>
            </w:r>
          </w:p>
        </w:tc>
        <w:tc>
          <w:tcPr>
            <w:tcW w:type="dxa" w:w="337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进入条件</w:t>
            </w:r>
          </w:p>
        </w:tc>
        <w:tc>
          <w:tcPr>
            <w:tcW w:type="dxa" w:w="322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允许的主要动作</w:t>
            </w:r>
          </w:p>
        </w:tc>
        <w:tc>
          <w:tcPr>
            <w:tcW w:type="dxa" w:w="15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禁止事项</w:t>
            </w:r>
          </w:p>
        </w:tc>
      </w:tr>
      <w:tr>
        <w:trPr>
          <w:cantSplit/>
        </w:trPr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已接收</w:t>
            </w:r>
          </w:p>
        </w:tc>
        <w:tc>
          <w:tcPr>
            <w:tcW w:type="dxa" w:w="3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 消息校验并落入 MES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评审、排定、下达、取消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投产、发料耗用</w:t>
            </w:r>
          </w:p>
        </w:tc>
      </w:tr>
      <w:tr>
        <w:trPr>
          <w:cantSplit/>
        </w:trPr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已下达</w:t>
            </w:r>
          </w:p>
        </w:tc>
        <w:tc>
          <w:tcPr>
            <w:tcW w:type="dxa" w:w="3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执行快照冻结并获准生产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发料、START_WIP、暂停、投产前取消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静默覆盖快照</w:t>
            </w:r>
          </w:p>
        </w:tc>
      </w:tr>
      <w:tr>
        <w:trPr>
          <w:cantSplit/>
        </w:trPr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生产中</w:t>
            </w:r>
          </w:p>
        </w:tc>
        <w:tc>
          <w:tcPr>
            <w:tcW w:type="dxa" w:w="3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至少一个 SN 已 START_WIP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执行、质量处理、暂停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直接取消</w:t>
            </w:r>
          </w:p>
        </w:tc>
      </w:tr>
      <w:tr>
        <w:trPr>
          <w:cantSplit/>
        </w:trPr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已暂停</w:t>
            </w:r>
          </w:p>
        </w:tc>
        <w:tc>
          <w:tcPr>
            <w:tcW w:type="dxa" w:w="3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计划或异常触发暂停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处理在制、恢复、受控短结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新投产和正常过站</w:t>
            </w:r>
          </w:p>
        </w:tc>
      </w:tr>
      <w:tr>
        <w:trPr>
          <w:cantSplit/>
        </w:trPr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执行完成</w:t>
            </w:r>
          </w:p>
        </w:tc>
        <w:tc>
          <w:tcPr>
            <w:tcW w:type="dxa" w:w="3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已投产 SN 全部合格完工/报废且无未决保留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对账、差异处理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新投产、修改执行事实</w:t>
            </w:r>
          </w:p>
        </w:tc>
      </w:tr>
      <w:tr>
        <w:trPr>
          <w:cantSplit/>
        </w:trPr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已关闭</w:t>
            </w:r>
          </w:p>
        </w:tc>
        <w:tc>
          <w:tcPr>
            <w:tcW w:type="dxa" w:w="3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外部回执与差异处理完成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查询、导出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任何业务写入</w:t>
            </w:r>
          </w:p>
        </w:tc>
      </w:tr>
      <w:tr>
        <w:trPr>
          <w:cantSplit/>
        </w:trPr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已取消</w:t>
            </w:r>
          </w:p>
        </w:tc>
        <w:tc>
          <w:tcPr>
            <w:tcW w:type="dxa" w:w="3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投产前终止</w:t>
            </w:r>
          </w:p>
        </w:tc>
        <w:tc>
          <w:tcPr>
            <w:tcW w:type="dxa" w:w="3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查询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START_WIP</w:t>
            </w:r>
          </w:p>
        </w:tc>
      </w:tr>
    </w:tbl>
    <w:p>
      <w:pPr>
        <w:spacing w:after="0"/>
      </w:pPr>
    </w:p>
    <w:p>
      <w:pPr>
        <w:pStyle w:val="Heading2"/>
      </w:pPr>
      <w:r>
        <w:t>6.3 产品单元状态维度</w:t>
      </w:r>
    </w:p>
    <w:p>
      <w:r>
        <w:rPr>
          <w:rFonts w:ascii="Calibri" w:hAnsi="Calibri" w:eastAsia="Microsoft YaHei"/>
        </w:rPr>
        <w:t xml:space="preserve">ProductUnit 不使用一个超大枚举同时表达工序、质量和仓储。至少分离：执行位置/终态、质量保留、仓储交接和外部入账。这样测试失败后仍能准确表达“位于功能测试、处于质量保留、尚未完工”，而不是用一个 </w:t>
      </w:r>
      <w:r>
        <w:rPr>
          <w:rFonts w:ascii="Consolas" w:hAnsi="Consolas" w:eastAsia="Microsoft YaHei"/>
          <w:color w:val="0F2B5B"/>
        </w:rPr>
        <w:t>Isolated</w:t>
      </w:r>
      <w:r>
        <w:rPr>
          <w:rFonts w:ascii="Calibri" w:hAnsi="Calibri" w:eastAsia="Microsoft YaHei"/>
        </w:rPr>
        <w:t xml:space="preserve"> 覆盖全部含义。</w:t>
      </w:r>
    </w:p>
    <w:p>
      <w:pPr>
        <w:pStyle w:val="Heading1"/>
      </w:pPr>
      <w:r>
        <w:t>7. 执行快照设计</w:t>
      </w:r>
    </w:p>
    <w:p>
      <w:r>
        <w:rPr>
          <w:rFonts w:ascii="Calibri" w:hAnsi="Calibri" w:eastAsia="Microsoft YaHei"/>
        </w:rPr>
        <w:t>执行快照在订单下达时物化，至少包含：产品和单位、计划数量、BOM 行及单位用量、物料追溯粒度、路线步骤与顺序、工位能力要求、身份策略、固件/配置要求、测试规范与必测项目、完工门禁和版本来源。快照必须可在源主数据后续变化时独立还原。</w:t>
      </w:r>
    </w:p>
    <w:p>
      <w:r>
        <w:rPr>
          <w:rFonts w:ascii="Calibri" w:hAnsi="Calibri" w:eastAsia="Microsoft YaHei"/>
        </w:rPr>
        <w:t>已投产后收到 ERP 变更时，系统创建变更提案，比较数量、产品、日期和执行依据影响。无在制时可重新下达新快照；有在制时必须选择仅影响未投产数量、新建订单或受控短结，不允许自动改写已执行 SN。</w:t>
      </w:r>
    </w:p>
    <w:p>
      <w:pPr>
        <w:pStyle w:val="Heading1"/>
      </w:pPr>
      <w:r>
        <w:t>8. 制造事件模型</w:t>
      </w:r>
    </w:p>
    <w:p>
      <w:r>
        <w:rPr>
          <w:rFonts w:ascii="Calibri" w:hAnsi="Calibri" w:eastAsia="Microsoft YaHei"/>
        </w:rPr>
        <w:t>建议采用通用事件信封与类型化载荷：事件 ID、事件类型、发生/记录时间、工厂、产线、工位、订单、成品 SN、主体、关联事件、相关业务键、载荷版本和载荷。核心事件包括订单接收/下达/暂停/恢复、START_WIP、过站、部件绑定/解绑、固件配置、测试开始/结束、不合格、质量保留、处置、返工、复测、报废、完工、仓储交接和集成回执。</w:t>
      </w:r>
    </w:p>
    <w:p>
      <w:r>
        <w:rPr>
          <w:rFonts w:ascii="Calibri" w:hAnsi="Calibri" w:eastAsia="Microsoft YaHei"/>
        </w:rPr>
        <w:t>当前状态与事件必须同事务提交。查询页面优先读取当前投影，谱系导出同时读取事实明细。业务审计描述“谁做了动作”，制造事件描述“产品发生了什么”，两者通过业务键关联但不互相替代。</w:t>
      </w:r>
    </w:p>
    <w:p>
      <w:pPr>
        <w:pStyle w:val="Heading1"/>
      </w:pPr>
      <w:r>
        <w:t>9. 物料与谱系模型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28"/>
        <w:gridCol w:w="1910"/>
        <w:gridCol w:w="3820"/>
        <w:gridCol w:w="2102"/>
      </w:tblGrid>
      <w:tr>
        <w:trPr>
          <w:tblHeader w:val="true"/>
          <w:cantSplit/>
        </w:trPr>
        <w:tc>
          <w:tcPr>
            <w:tcW w:type="dxa" w:w="152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追溯类型</w:t>
            </w:r>
          </w:p>
        </w:tc>
        <w:tc>
          <w:tcPr>
            <w:tcW w:type="dxa" w:w="19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记录时点</w:t>
            </w:r>
          </w:p>
        </w:tc>
        <w:tc>
          <w:tcPr>
            <w:tcW w:type="dxa" w:w="38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谱系表现</w:t>
            </w:r>
          </w:p>
        </w:tc>
        <w:tc>
          <w:tcPr>
            <w:tcW w:type="dxa" w:w="21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Serial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具体部件绑定到成品时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成品 SN -&gt; 部件 SN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主 PCBA、通信模块</w:t>
            </w:r>
          </w:p>
        </w:tc>
      </w:tr>
      <w:tr>
        <w:trPr>
          <w:cantSplit/>
        </w:trPr>
        <w:tc>
          <w:tcPr>
            <w:tcW w:type="dxa" w:w="1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Lot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指定工序实际耗用时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成品 SN -&gt; 物料 Lot + 数量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外壳批次、连接器批次</w:t>
            </w:r>
          </w:p>
        </w:tc>
      </w:tr>
      <w:tr>
        <w:trPr>
          <w:cantSplit/>
        </w:trPr>
        <w:tc>
          <w:tcPr>
            <w:tcW w:type="dxa" w:w="1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Quantity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批准的工序回冲时</w:t>
            </w:r>
          </w:p>
        </w:tc>
        <w:tc>
          <w:tcPr>
            <w:tcW w:type="dxa" w:w="3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成品 SN 或订单 -&gt; 数量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螺钉、标签耗材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物料事务类型至少包括 TransferIn、IssueToOrder、Consume、Return、Reverse 和 Adjust。每笔事务包含物料、Lot/Serial、数量、单位、来源/目标责任、订单、成品 SN、工序、原因、主体和关联原事务。余额和工单可用量由事务投影，禁止直接修改聚合数字。</w:t>
      </w:r>
    </w:p>
    <w:p>
      <w:pPr>
        <w:pStyle w:val="Heading1"/>
      </w:pPr>
      <w:r>
        <w:t>10. 固件与测试模型</w:t>
      </w:r>
    </w:p>
    <w:p>
      <w:r>
        <w:rPr>
          <w:rFonts w:ascii="Calibri" w:hAnsi="Calibri" w:eastAsia="Microsoft YaHei"/>
        </w:rPr>
        <w:t>固件/配置记录与普通过站分离，保存包 ID、版本、校验值、配置模板、工具/设备、参数摘要、执行结果和原始日志引用。测试规范定义项目、数据类型、单位、上下限或枚举规则及适用条件。每次 TestRun 下包含多条 Measurement，并可引用设备原始报告。失败测试触发不合格，但不自动决定返工或报废。</w:t>
      </w:r>
    </w:p>
    <w:p>
      <w:pPr>
        <w:pStyle w:val="Heading1"/>
      </w:pPr>
      <w:r>
        <w:t>11. 质量模型</w:t>
      </w:r>
    </w:p>
    <w:p>
      <w:r>
        <w:rPr>
          <w:rFonts w:ascii="Calibri" w:hAnsi="Calibri" w:eastAsia="Microsoft YaHei"/>
        </w:rPr>
        <w:t>质量闭环分为五个概念：检测结果、不合格记录、质量保留、处置决定、返工/复测执行。返工处置必须指向批准的返工作业或路线版本；让步接收必须有授权和适用范围；解除质量保留必须验证处置要求完成。原失败、处置、返工和复测全部进入谱系。</w:t>
      </w:r>
    </w:p>
    <w:p>
      <w:pPr>
        <w:pStyle w:val="Heading1"/>
      </w:pPr>
      <w:r>
        <w:t>12. 集成架构</w:t>
      </w:r>
    </w:p>
    <w:p>
      <w:pPr>
        <w:pStyle w:val="Heading2"/>
      </w:pPr>
      <w:r>
        <w:t>12.1 入站</w:t>
      </w:r>
    </w:p>
    <w:p>
      <w:r>
        <w:rPr>
          <w:rFonts w:ascii="Calibri" w:hAnsi="Calibri" w:eastAsia="Microsoft YaHei"/>
        </w:rPr>
        <w:t>ERP 消息先写入 Inbox，唯一键建议由 SourceSystem + MessageId 构成，业务去重可再使用 MessageType + BusinessKey + SourceVersion。处理流程包括结构校验、主数据引用校验、版本/顺序校验、领域命令执行和结果记录。失败保留原始载荷校验值与可读错误，不创建半成品业务记录。</w:t>
      </w:r>
    </w:p>
    <w:p>
      <w:pPr>
        <w:pStyle w:val="Heading2"/>
      </w:pPr>
      <w:r>
        <w:t>12.2 出站</w:t>
      </w:r>
    </w:p>
    <w:p>
      <w:r>
        <w:rPr>
          <w:rFonts w:ascii="Calibri" w:hAnsi="Calibri" w:eastAsia="Microsoft YaHei"/>
        </w:rPr>
        <w:t>领域事务同时写入 Outbox。后台发送器认领 Pending 消息，设置租约和 Processing，成功后等待或记录业务回执，失败则按退避策略重试；超过阈值进入 DeadLetter。人工重试不新造业务事实，只重新投递同一幂等消息或显式补偿消息。</w:t>
      </w:r>
    </w:p>
    <w:p>
      <w:pPr>
        <w:pStyle w:val="Heading2"/>
      </w:pPr>
      <w:r>
        <w:t>12.3 候选接口清单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21"/>
        <w:gridCol w:w="2113"/>
        <w:gridCol w:w="1358"/>
        <w:gridCol w:w="2568"/>
      </w:tblGrid>
      <w:tr>
        <w:trPr>
          <w:tblHeader w:val="true"/>
          <w:cantSplit/>
        </w:trPr>
        <w:tc>
          <w:tcPr>
            <w:tcW w:type="dxa" w:w="332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接口</w:t>
            </w:r>
          </w:p>
        </w:tc>
        <w:tc>
          <w:tcPr>
            <w:tcW w:type="dxa" w:w="211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方向</w:t>
            </w:r>
          </w:p>
        </w:tc>
        <w:tc>
          <w:tcPr>
            <w:tcW w:type="dxa" w:w="135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业务对象</w:t>
            </w:r>
          </w:p>
        </w:tc>
        <w:tc>
          <w:tcPr>
            <w:tcW w:type="dxa" w:w="25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关键要求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ProductMasterUpsert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 -&gt; MES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产品、单位、版本</w:t>
            </w:r>
          </w:p>
        </w:tc>
        <w:tc>
          <w:tcPr>
            <w:tcW w:type="dxa" w:w="2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幂等、版本控制、不可影响已冻结快照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MaterialMasterUpsert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 -&gt; MES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物料、单位</w:t>
            </w:r>
          </w:p>
        </w:tc>
        <w:tc>
          <w:tcPr>
            <w:tcW w:type="dxa" w:w="2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幂等、状态和基础属性校验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ProductionOrderUpsert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 -&gt; MES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订单和计划数量</w:t>
            </w:r>
          </w:p>
        </w:tc>
        <w:tc>
          <w:tcPr>
            <w:tcW w:type="dxa" w:w="2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下达后变更进入受控变更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MaterialTransferNotice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ERP/WMS -&gt; MES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物料、Lot、数量</w:t>
            </w:r>
          </w:p>
        </w:tc>
        <w:tc>
          <w:tcPr>
            <w:tcW w:type="dxa" w:w="2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与工单发料和耗用分离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ProductionCompletion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 -&gt; ERP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合格完工</w:t>
            </w:r>
          </w:p>
        </w:tc>
        <w:tc>
          <w:tcPr>
            <w:tcW w:type="dxa" w:w="2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至少一次投递、业务幂等键、回执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MaterialConsumption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 -&gt; ERP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耗用/冲正</w:t>
            </w:r>
          </w:p>
        </w:tc>
        <w:tc>
          <w:tcPr>
            <w:tcW w:type="dxa" w:w="2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支持序列、批次和数量汇总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ScrapDeclaration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 -&gt; ERP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报废</w:t>
            </w:r>
          </w:p>
        </w:tc>
        <w:tc>
          <w:tcPr>
            <w:tcW w:type="dxa" w:w="2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与质量处置和订单数量平衡关联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WarehouseHandoff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 &lt;-&gt; WMS/仓储</w:t>
            </w:r>
          </w:p>
        </w:tc>
        <w:tc>
          <w:tcPr>
            <w:tcW w:type="dxa" w:w="13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成品交接</w:t>
            </w:r>
          </w:p>
        </w:tc>
        <w:tc>
          <w:tcPr>
            <w:tcW w:type="dxa" w:w="25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不等同于 ERP 财务入账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具体字段、厂商 API、认证、批处理/实时方式和错误码均待 ERP 版本与客户接口能力确认。</w:t>
      </w:r>
    </w:p>
    <w:p>
      <w:pPr>
        <w:pStyle w:val="Heading1"/>
      </w:pPr>
      <w:r>
        <w:t>13. 安全与授权</w:t>
      </w:r>
    </w:p>
    <w:p>
      <w:pPr>
        <w:pStyle w:val="ListBullet"/>
      </w:pPr>
      <w:r>
        <w:rPr>
          <w:rFonts w:ascii="Calibri" w:hAnsi="Calibri" w:eastAsia="Microsoft YaHei"/>
        </w:rPr>
        <w:t>本地账号仅作为试点候选，密码使用强哈希；后续可通过适配边界接入 AD/SSO。</w:t>
      </w:r>
    </w:p>
    <w:p>
      <w:pPr>
        <w:pStyle w:val="ListBullet"/>
      </w:pPr>
      <w:r>
        <w:rPr>
          <w:rFonts w:ascii="Calibri" w:hAnsi="Calibri" w:eastAsia="Microsoft YaHei"/>
        </w:rPr>
        <w:t>账号可组合角色，API 按能力授权；前端隐藏按钮不构成安全控制。</w:t>
      </w:r>
    </w:p>
    <w:p>
      <w:pPr>
        <w:pStyle w:val="ListBullet"/>
      </w:pPr>
      <w:r>
        <w:rPr>
          <w:rFonts w:ascii="Calibri" w:hAnsi="Calibri" w:eastAsia="Microsoft YaHei"/>
        </w:rPr>
        <w:t>质量处置、工艺批准、系统管理和操作执行保留职责分离。</w:t>
      </w:r>
    </w:p>
    <w:p>
      <w:pPr>
        <w:pStyle w:val="ListBullet"/>
      </w:pPr>
      <w:r>
        <w:rPr>
          <w:rFonts w:ascii="Calibri" w:hAnsi="Calibri" w:eastAsia="Microsoft YaHei"/>
        </w:rPr>
        <w:t>JWT 密钥、数据库密码和 TLS 证书从仓库外注入，发现示例值时生产启动失败。</w:t>
      </w:r>
    </w:p>
    <w:p>
      <w:pPr>
        <w:pStyle w:val="ListBullet"/>
      </w:pPr>
      <w:r>
        <w:rPr>
          <w:rFonts w:ascii="Calibri" w:hAnsi="Calibri" w:eastAsia="Microsoft YaHei"/>
        </w:rPr>
        <w:t>业务审计记录关键动作，但敏感测试文件、证书材料和密码不得进入普通日志。</w:t>
      </w:r>
    </w:p>
    <w:p>
      <w:pPr>
        <w:pStyle w:val="Heading1"/>
      </w:pPr>
      <w:r>
        <w:t>14. 部署与运维</w:t>
      </w:r>
    </w:p>
    <w:p>
      <w:r>
        <w:rPr>
          <w:rFonts w:ascii="Calibri" w:hAnsi="Calibri" w:eastAsia="Microsoft YaHei"/>
        </w:rPr>
        <w:t xml:space="preserve">默认在厂内 Linux 主机运行 Nginx、ASP.NET Core API、后台任务和 SQL Server/客户 SQL Server。Nginx 是唯一网络入口并提供 HTTPS；API 和数据库位于内部容器网络，数据库不暴露到厂区客户端。正式环境使用 </w:t>
      </w:r>
      <w:r>
        <w:rPr>
          <w:rFonts w:ascii="Consolas" w:hAnsi="Consolas" w:eastAsia="Microsoft YaHei"/>
          <w:color w:val="0F2B5B"/>
        </w:rPr>
        <w:t>Production</w:t>
      </w:r>
      <w:r>
        <w:rPr>
          <w:rFonts w:ascii="Calibri" w:hAnsi="Calibri" w:eastAsia="Microsoft YaHei"/>
        </w:rPr>
        <w:t>、固定镜像版本、外部配置和最小权限账号。</w:t>
      </w:r>
    </w:p>
    <w:p>
      <w:r>
        <w:rPr>
          <w:rFonts w:ascii="Calibri" w:hAnsi="Calibri" w:eastAsia="Microsoft YaHei"/>
        </w:rPr>
        <w:t>部署按“备份 -&gt; 显式迁移 -&gt; 启动 -&gt; 就绪检查 -&gt; 冒烟测试”执行。每日完整备份、升级前备份并完成恢复演练。日志结构化、带关联 ID 并轮转；制造事件和业务审计不随运行日志轮转删除。试点候选目标为 RPO 24 小时、RTO 4 小时，最终以客户连续性要求为准。</w:t>
      </w:r>
    </w:p>
    <w:p>
      <w:pPr>
        <w:pStyle w:val="Heading1"/>
      </w:pPr>
      <w:r>
        <w:t>15. 数据库演进与测试</w:t>
      </w:r>
    </w:p>
    <w:p>
      <w:r>
        <w:rPr>
          <w:rFonts w:ascii="Calibri" w:hAnsi="Calibri" w:eastAsia="Microsoft YaHei"/>
        </w:rPr>
        <w:t>EF Core Migration 是唯一结构演进机制。API 不在生产启动时自动建库、删库或装载种子。快速测试可以使用 SQLite，但以下能力必须在临时 SQL Server 验证：空库迁移、上一版本带数据升级、唯一约束、事务回滚、Inbox/Outbox 幂等、并发认领和关键查询。</w:t>
      </w:r>
    </w:p>
    <w:p>
      <w:r>
        <w:rPr>
          <w:rFonts w:ascii="Calibri" w:hAnsi="Calibri" w:eastAsia="Microsoft YaHei"/>
        </w:rPr>
        <w:t>旧演示数据若无法证明缺失的执行快照、测试或物料事实，只能标记为 Legacy 并只读保留，不得补造历史。开发环境可显式重置演示数据库，但该路径与生产升级严格分离。</w:t>
      </w:r>
    </w:p>
    <w:p>
      <w:pPr>
        <w:pStyle w:val="Heading1"/>
      </w:pPr>
      <w:r>
        <w:t>16. 当前实现差距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42"/>
        <w:gridCol w:w="2246"/>
        <w:gridCol w:w="2372"/>
      </w:tblGrid>
      <w:tr>
        <w:trPr>
          <w:tblHeader w:val="true"/>
          <w:cantSplit/>
        </w:trPr>
        <w:tc>
          <w:tcPr>
            <w:tcW w:type="dxa" w:w="474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现状</w:t>
            </w:r>
          </w:p>
        </w:tc>
        <w:tc>
          <w:tcPr>
            <w:tcW w:type="dxa" w:w="224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风险</w:t>
            </w:r>
          </w:p>
        </w:tc>
        <w:tc>
          <w:tcPr>
            <w:tcW w:type="dxa" w:w="23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目标处理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下达仅保存 BOM/路线 ID 和版本字符串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源记录变化后无法还原实际依据</w:t>
            </w:r>
          </w:p>
        </w:tc>
        <w:tc>
          <w:tcPr>
            <w:tcW w:type="dxa" w:w="2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物化自包含执行快照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谱系主要含过站和部件绑定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缺固件、测试、Lot、解绑和更正历史</w:t>
            </w:r>
          </w:p>
        </w:tc>
        <w:tc>
          <w:tcPr>
            <w:tcW w:type="dxa" w:w="2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建立类型化制造事件和聚合查询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不合格、隔离、放行混在 ProductSerial 状态和通过记录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无法区分发现、保留、处置与复测</w:t>
            </w:r>
          </w:p>
        </w:tc>
        <w:tc>
          <w:tcPr>
            <w:tcW w:type="dxa" w:w="2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独立质量对象和门禁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发料直接影响库存并近似耗用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责任与实际装配混淆</w:t>
            </w:r>
          </w:p>
        </w:tc>
        <w:tc>
          <w:tcPr>
            <w:tcW w:type="dxa" w:w="2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交接/发料/耗用事务账分离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 Outbox 创建即 SimulatedSent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无失败、重试、回执和对账</w:t>
            </w:r>
          </w:p>
        </w:tc>
        <w:tc>
          <w:tcPr>
            <w:tcW w:type="dxa" w:w="2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真实状态机和模拟适配器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EnsureCreated + 开发自动删库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无可控升级路径</w:t>
            </w:r>
          </w:p>
        </w:tc>
        <w:tc>
          <w:tcPr>
            <w:tcW w:type="dxa" w:w="2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Migration + 显式部署步骤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所有 API 测试使用 SQLite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无法证明 SQL Server 行为</w:t>
            </w:r>
          </w:p>
        </w:tc>
        <w:tc>
          <w:tcPr>
            <w:tcW w:type="dxa" w:w="2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增加容器化 SQL Server 测试</w:t>
            </w:r>
          </w:p>
        </w:tc>
      </w:tr>
      <w:tr>
        <w:trPr>
          <w:cantSplit/>
        </w:trPr>
        <w:tc>
          <w:tcPr>
            <w:tcW w:type="dxa" w:w="4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Compose 内硬编码密钥、sa、Development、全开放 CORS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不满足试点安全底线</w:t>
            </w:r>
          </w:p>
        </w:tc>
        <w:tc>
          <w:tcPr>
            <w:tcW w:type="dxa" w:w="2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生产配置门禁和内部网络</w:t>
            </w:r>
          </w:p>
        </w:tc>
      </w:tr>
    </w:tbl>
    <w:p>
      <w:pPr>
        <w:spacing w:after="0"/>
      </w:pPr>
    </w:p>
    <w:p>
      <w:pPr>
        <w:pStyle w:val="Heading1"/>
      </w:pPr>
      <w:r>
        <w:t>17. 方案限制</w:t>
      </w:r>
    </w:p>
    <w:p>
      <w:r>
        <w:rPr>
          <w:rFonts w:ascii="Calibri" w:hAnsi="Calibri" w:eastAsia="Microsoft YaHei"/>
        </w:rPr>
        <w:t>本蓝图不证明参考路线是行业统一 SOP，不证明目标工厂一定使用本文接口字段，也不证明候选性能目标和保留年限已经被客户接受。真实落地前必须完成现场价值流、工位、SOP、质量、ERP、设备、网络、数据和运维工作坊，并将结论回写需求台账和 ADR。</w:t>
      </w:r>
    </w:p>
    <w:p>
      <w:r>
        <w:br w:type="page"/>
      </w:r>
    </w:p>
    <w:p>
      <w:pPr>
        <w:pStyle w:val="Heading1"/>
      </w:pPr>
      <w:r>
        <w:t>1. 目的</w:t>
      </w:r>
    </w:p>
    <w:p>
      <w:r>
        <w:rPr>
          <w:rFonts w:ascii="Calibri" w:hAnsi="Calibri" w:eastAsia="Microsoft YaHei"/>
        </w:rPr>
        <w:t>本计划防止候选 MES 把“可以编码的流程”误写成“真实工厂一定这样做”。公开标准用于稳定系统边界和追溯语义，厂商资料用于证明产品身份、固件和设备事实，现场调研用于决定具体站序、阈值、权限和责任。</w:t>
      </w:r>
    </w:p>
    <w:p>
      <w:pPr>
        <w:pStyle w:val="Heading1"/>
      </w:pPr>
      <w:r>
        <w:t>2. 当前公开证据基线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873"/>
        <w:gridCol w:w="2367"/>
      </w:tblGrid>
      <w:tr>
        <w:trPr>
          <w:tblHeader w:val="true"/>
          <w:cantSplit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来源</w:t>
            </w:r>
          </w:p>
        </w:tc>
        <w:tc>
          <w:tcPr>
            <w:tcW w:type="dxa" w:w="387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可支持的结论</w:t>
            </w:r>
          </w:p>
        </w:tc>
        <w:tc>
          <w:tcPr>
            <w:tcW w:type="dxa" w:w="23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不能支持的结论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IEC 62264-1 / GB/T 20720.1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企业计划层与制造运行管理层职责分层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某家用友/金蝶的具体接口字段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IEC 62264-2:2026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Level 3/4 交换信息对象和模型边界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工业路由器固定工位顺序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IEC 62264-5:2016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业务与制造应用之间的交换事务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当前客户采用实时还是批量接口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GS1 EPCIS 2.0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事件的 what/when/where/why、业务步骤、处置和纠错语义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某工厂必须采用 EPCIS 存储格式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IPC-1782A 发布说明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电子产品制造和供应链追溯应按风险确定最低要求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所有物料必须逐件 SN 追溯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Moxa 工业路由器产品与保修页面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工业路由器存在型号、固件、硬件、MAC/SN 等产品事实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Moxa 的真实工厂 SOP、测试阈值和站序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Microsoft Dynamics 365 WMS 文档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仓储接收、库位、波次、包装等属于仓储职责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 完工可直接等同仓储或 ERP 入账</w:t>
            </w:r>
          </w:p>
        </w:tc>
      </w:tr>
    </w:tbl>
    <w:p>
      <w:pPr>
        <w:spacing w:after="0"/>
      </w:pPr>
    </w:p>
    <w:p>
      <w:pPr>
        <w:pStyle w:val="Heading1"/>
      </w:pPr>
      <w:r>
        <w:t>3. 主要来源</w:t>
      </w:r>
    </w:p>
    <w:p>
      <w:pPr>
        <w:pStyle w:val="ListBullet"/>
      </w:pPr>
      <w:r>
        <w:rPr>
          <w:rFonts w:ascii="Calibri" w:hAnsi="Calibri" w:eastAsia="Microsoft YaHei"/>
        </w:rPr>
        <w:t>IEC 62264-1: https://webstore.iec.ch/en/publication/6675</w:t>
      </w:r>
    </w:p>
    <w:p>
      <w:pPr>
        <w:pStyle w:val="ListBullet"/>
      </w:pPr>
      <w:r>
        <w:rPr>
          <w:rFonts w:ascii="Calibri" w:hAnsi="Calibri" w:eastAsia="Microsoft YaHei"/>
        </w:rPr>
        <w:t>IEC 62264-2:2026: https://webstore.iec.ch/en/publication/75127</w:t>
      </w:r>
    </w:p>
    <w:p>
      <w:pPr>
        <w:pStyle w:val="ListBullet"/>
      </w:pPr>
      <w:r>
        <w:rPr>
          <w:rFonts w:ascii="Calibri" w:hAnsi="Calibri" w:eastAsia="Microsoft YaHei"/>
        </w:rPr>
        <w:t>IEC 62264-5:2016: https://webstore.iec.ch/en/publication/25465</w:t>
      </w:r>
    </w:p>
    <w:p>
      <w:pPr>
        <w:pStyle w:val="ListBullet"/>
      </w:pPr>
      <w:r>
        <w:rPr>
          <w:rFonts w:ascii="Calibri" w:hAnsi="Calibri" w:eastAsia="Microsoft YaHei"/>
        </w:rPr>
        <w:t>GS1 EPCIS 2.0 标准: https://ref.gs1.org/standards/epcis/</w:t>
      </w:r>
    </w:p>
    <w:p>
      <w:pPr>
        <w:pStyle w:val="ListBullet"/>
      </w:pPr>
      <w:r>
        <w:rPr>
          <w:rFonts w:ascii="Calibri" w:hAnsi="Calibri" w:eastAsia="Microsoft YaHei"/>
        </w:rPr>
        <w:t>GS1 EPCIS Ontology: https://ref.gs1.org/standards/epcis/epcis-ontology.ttl</w:t>
      </w:r>
    </w:p>
    <w:p>
      <w:pPr>
        <w:pStyle w:val="ListBullet"/>
      </w:pPr>
      <w:r>
        <w:rPr>
          <w:rFonts w:ascii="Calibri" w:hAnsi="Calibri" w:eastAsia="Microsoft YaHei"/>
        </w:rPr>
        <w:t>IPC 标准发布信息: https://emails.ipc.org/emails/tech/ipc-standards.html</w:t>
      </w:r>
    </w:p>
    <w:p>
      <w:pPr>
        <w:pStyle w:val="ListBullet"/>
      </w:pPr>
      <w:r>
        <w:rPr>
          <w:rFonts w:ascii="Calibri" w:hAnsi="Calibri" w:eastAsia="Microsoft YaHei"/>
        </w:rPr>
        <w:t>Moxa EDR-G9010 产品页: https://www.moxa.com/en/products/industrial-network-infrastructure/secure-routers/secure-routers/edr-g9010-series</w:t>
      </w:r>
    </w:p>
    <w:p>
      <w:pPr>
        <w:pStyle w:val="ListBullet"/>
      </w:pPr>
      <w:r>
        <w:rPr>
          <w:rFonts w:ascii="Calibri" w:hAnsi="Calibri" w:eastAsia="Microsoft YaHei"/>
        </w:rPr>
        <w:t>Moxa Warranty Check: https://www.moxa.com/en/support/repair-and-warranty/warranty-check</w:t>
      </w:r>
    </w:p>
    <w:p>
      <w:pPr>
        <w:pStyle w:val="ListBullet"/>
      </w:pPr>
      <w:r>
        <w:rPr>
          <w:rFonts w:ascii="Calibri" w:hAnsi="Calibri" w:eastAsia="Microsoft YaHei"/>
        </w:rPr>
        <w:t>Dynamics 365 Warehouse Management: https://learn.microsoft.com/en-us/dynamics365/supply-chain/warehousing/warehouse-management-overview</w:t>
      </w:r>
    </w:p>
    <w:p>
      <w:pPr>
        <w:pStyle w:val="Heading1"/>
      </w:pPr>
      <w:r>
        <w:t>4. 现场调研工作坊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3"/>
        <w:gridCol w:w="1936"/>
        <w:gridCol w:w="2420"/>
        <w:gridCol w:w="3391"/>
      </w:tblGrid>
      <w:tr>
        <w:trPr>
          <w:tblHeader w:val="true"/>
          <w:cantSplit/>
        </w:trPr>
        <w:tc>
          <w:tcPr>
            <w:tcW w:type="dxa" w:w="161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工作坊</w:t>
            </w:r>
          </w:p>
        </w:tc>
        <w:tc>
          <w:tcPr>
            <w:tcW w:type="dxa" w:w="1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参与人</w:t>
            </w:r>
          </w:p>
        </w:tc>
        <w:tc>
          <w:tcPr>
            <w:tcW w:type="dxa" w:w="24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输入</w:t>
            </w:r>
          </w:p>
        </w:tc>
        <w:tc>
          <w:tcPr>
            <w:tcW w:type="dxa" w:w="339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价值流与范围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发起人、计划、产线、工艺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订单、布局、SOP、班次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试点边界、主路径、例外和节拍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主数据与订单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计划、ERP、工艺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产品、物料、BOM、订单样例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权威矩阵、编码映射、下达和变更规则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身份与物料追溯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工艺、质量、物料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标签、关键件、Lot、召回要求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身份来源、追溯粒度和耗用时点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测试与质量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工艺、质量、测试工程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测试规范、报告、缺陷和返工记录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测试模型、处置权限、返工/复测规则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ERP/WMS 集成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ERP/IT、仓储、实施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接口文档、账号、单据和错误样例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接口清单、幂等键、回执、对账和补偿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工位与可用性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产线主管、操作工、IT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工位设备、扫码枪、网络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交互步骤、提示、防错和离线边界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运维与安全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IT、安全、项目经理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服务器、网络、备份和账号策略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部署拓扑、RPO/RTO、日志、监控和恢复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UAT 与上线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发起人、关键用户、项目组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需求、风险和场景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UAT 数据、验收人、试运行和上线门禁</w:t>
            </w:r>
          </w:p>
        </w:tc>
      </w:tr>
    </w:tbl>
    <w:p>
      <w:pPr>
        <w:spacing w:after="0"/>
      </w:pPr>
    </w:p>
    <w:p>
      <w:pPr>
        <w:pStyle w:val="Heading1"/>
      </w:pPr>
      <w:r>
        <w:t>5. 观察与取证原则</w:t>
      </w:r>
    </w:p>
    <w:p>
      <w:pPr>
        <w:pStyle w:val="ListBullet"/>
      </w:pPr>
      <w:r>
        <w:rPr>
          <w:rFonts w:ascii="Calibri" w:hAnsi="Calibri" w:eastAsia="Microsoft YaHei"/>
        </w:rPr>
        <w:t>观察实际工位操作，不仅访谈管理人员；记录纸单、扫码、返工和交接的真实顺序。</w:t>
      </w:r>
    </w:p>
    <w:p>
      <w:pPr>
        <w:pStyle w:val="ListBullet"/>
      </w:pPr>
      <w:r>
        <w:rPr>
          <w:rFonts w:ascii="Calibri" w:hAnsi="Calibri" w:eastAsia="Microsoft YaHei"/>
        </w:rPr>
        <w:t>对每条关键规则收集样例单据、报文、标签、测试报告或系统截图，并登记来源和脱敏要求。</w:t>
      </w:r>
    </w:p>
    <w:p>
      <w:pPr>
        <w:pStyle w:val="ListBullet"/>
      </w:pPr>
      <w:r>
        <w:rPr>
          <w:rFonts w:ascii="Calibri" w:hAnsi="Calibri" w:eastAsia="Microsoft YaHei"/>
        </w:rPr>
        <w:t>区分“规定流程”和“现场实际做法”，差异进入 Fit-Gap 和风险台账。</w:t>
      </w:r>
    </w:p>
    <w:p>
      <w:pPr>
        <w:pStyle w:val="ListBullet"/>
      </w:pPr>
      <w:r>
        <w:rPr>
          <w:rFonts w:ascii="Calibri" w:hAnsi="Calibri" w:eastAsia="Microsoft YaHei"/>
        </w:rPr>
        <w:t>对无法现场验证的内容保留 C/D 级，不通过多数意见或模型推断强行升级证据等级。</w:t>
      </w:r>
    </w:p>
    <w:p>
      <w:pPr>
        <w:pStyle w:val="ListBullet"/>
      </w:pPr>
      <w:r>
        <w:rPr>
          <w:rFonts w:ascii="Calibri" w:hAnsi="Calibri" w:eastAsia="Microsoft YaHei"/>
        </w:rPr>
        <w:t>现场人员确认的是业务事实；架构和实现方案仍由项目组评估可行性、风险和成本。</w:t>
      </w:r>
    </w:p>
    <w:p>
      <w:pPr>
        <w:pStyle w:val="Heading1"/>
      </w:pPr>
      <w:r>
        <w:t>6. 评审门禁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工艺路线和追溯粒度必须由工艺/质量评审后才能从候选配置升级为已确认。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测试阈值和设备参数必须来自批准规范或设备接口，不从互联网或开发代码推断。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ERP 字段和单据必须由目标版本接口文档和样例报文验证。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权限和职责分离必须由客户组织责任确认，不能照搬演示角色。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性能、保留年限和 RPO/RTO 必须经过容量与连续性评审。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只有真实试运行数据和签字结果才能将可信度升级为“现场验证通过”。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672"/>
        <w:sz w:val="18"/>
      </w:rPr>
      <w:t xml:space="preserve">工业路由器装配 MES 试点候选 | 李文韬 | </w:t>
    </w:r>
    <w:r>
      <w:rPr>
        <w:rFonts w:ascii="Calibri" w:hAnsi="Calibri" w:eastAsia="Microsoft YaHei"/>
        <w:color w:val="5A667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8DEE5"/>
      </w:pBdr>
    </w:pPr>
    <w:r>
      <w:rPr>
        <w:rFonts w:ascii="Calibri" w:hAnsi="Calibri" w:eastAsia="Microsoft YaHei"/>
        <w:color w:val="5A6672"/>
        <w:sz w:val="18"/>
      </w:rPr>
      <w:t>MES 解决方案蓝图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E6F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E6F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F2B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 解决方案蓝图</dc:title>
  <dc:subject>从单件追溯内核到企业集成与私有化交付</dc:subject>
  <dc:creator>李文韬</dc:creator>
  <cp:keywords>MES,工业路由器,需求分析,解决方案,项目管理</cp:keywords>
  <dc:description>generated by python-docx</dc:description>
  <cp:lastModifiedBy>李文韬</cp:lastModifiedBy>
  <cp:revision>1</cp:revision>
  <dcterms:created xsi:type="dcterms:W3CDTF">2013-12-23T23:15:00Z</dcterms:created>
  <dcterms:modified xsi:type="dcterms:W3CDTF">2013-12-23T23:15:00Z</dcterms:modified>
  <cp:category>MES 项目前期交付物</cp:category>
</cp:coreProperties>
</file>