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DIRECTION A · EXTANT COMPARATIVE ANATOMY AND EVOLUTIONARY RECONSTRUCTION</w:t>
      </w:r>
    </w:p>
    <w:p>
      <w:pPr>
        <w:pStyle w:val="Title"/>
      </w:pPr>
      <w:r>
        <w:t>Which Muscles Can Skeletal Anatomy Predict?</w:t>
      </w:r>
    </w:p>
    <w:p>
      <w:pPr>
        <w:pStyle w:val="Subtitle"/>
        <w:spacing w:after="240"/>
      </w:pPr>
      <w:r>
        <w:t>An extant-calibrated, mechanics-constrained test of how reliably bones predict homologous muscle geometry</w:t>
      </w:r>
    </w:p>
    <w:p>
      <w:pPr>
        <w:pStyle w:val="Heading1"/>
      </w:pPr>
      <w:r>
        <w:t>Evolutionary question</w:t>
      </w:r>
    </w:p>
    <w:p>
      <w:r>
        <w:t>Skeletal form and muscular anatomy covary, but the relationship is not one-to-one. I want to test how much of a muscle’s location, three-dimensional path, attachment extent and volume can be predicted from fossil-observable skeletal features in living vertebrates. The central output would be a calibrated range of possible anatomies—not a single attractive reconstruction. Understanding those limits is useful for comparative anatomy in living species and can later inform inferences about extinct lineages.</w:t>
      </w:r>
    </w:p>
    <w:p>
      <w:pPr>
        <w:pStyle w:val="Heading1"/>
      </w:pPr>
      <w:r>
        <w:t>What previous research establishes—and what remains open</w:t>
      </w:r>
    </w:p>
    <w:p>
      <w:r>
        <w:t>This is not the first attempt to reconstruct missing musculature. Bishop and Pierce (2024, 2026) have already established phylogenetically informed attachment and homology reconstructions in synapsids. Demuth et al. (2022) developed and tested three-dimensional polygonal muscle reconstructions against living specimens, with imperfect mass accuracy. More recently, Riem et al. (2026) showed that bone volumes predict individual muscle volumes in a large human MRI cohort. The unresolved question is whether a mechanics-constrained, uncertainty-calibrated relationship transfers across phylogenetically distant living vertebrates and still helps when muscle information is deliberately hidden.</w:t>
      </w:r>
    </w:p>
    <w:p>
      <w:pPr>
        <w:pStyle w:val="Heading1"/>
      </w:pPr>
      <w:r>
        <w:t>Hypothesis and competing explanations</w:t>
      </w:r>
    </w:p>
    <w:p>
      <w:r>
        <w:t>My hypothesis is that bone geometry, preserved attachment evidence and relatedness can predict some homologous muscle properties with useful, calibrated uncertainty, but that the recoverable information differs substantially by muscle, taxon and evidence quality. I would test whether anatomical and mechanical constraints improve held-out predictions beyond allometry and extant phylogenetic bracketing. A narrow interval only counts as an advance if it actually contains the hidden anatomy at the advertised rate.</w:t>
      </w:r>
    </w:p>
    <w:p>
      <w:pPr>
        <w:ind w:left="202" w:hanging="202"/>
      </w:pPr>
      <w:r>
        <w:t>• Alternative 1 — The bones are not informative enough. Size, phylogeny and attachment traces leave muscle paths or volumes too uncertain to improve reconstruction.</w:t>
      </w:r>
    </w:p>
    <w:p>
      <w:pPr>
        <w:ind w:left="202" w:hanging="202"/>
      </w:pPr>
      <w:r>
        <w:t>• Alternative 2 — Existing approaches suffice. Physics-based screening removes obvious intersections but adds no out-of-clade predictive accuracy beyond the methods of Demuth et al. or a careful comparative bracket.</w:t>
      </w:r>
    </w:p>
    <w:p>
      <w:pPr>
        <w:ind w:left="202" w:hanging="202"/>
      </w:pPr>
      <w:r>
        <w:t>• Alternative 3 — Transfer breaks across clades. Apparent success on randomly held-out specimens disappears when a lineage or distinct locomotor morphology is withheld.</w:t>
      </w:r>
    </w:p>
    <w:p>
      <w:pPr>
        <w:pStyle w:val="Heading1"/>
      </w:pPr>
      <w:r>
        <w:t>Research plan and decisive tests</w:t>
      </w:r>
    </w:p>
    <w:p>
      <w:pPr>
        <w:pStyle w:val="Heading2"/>
      </w:pPr>
      <w:r>
        <w:t>Aim 1 | Measure what skeletons predict across living vertebrates.</w:t>
      </w:r>
    </w:p>
    <w:p>
      <w:r>
        <w:t>I would begin with one clearly homologized shoulder–elbow muscle group in a small number of carefully matched living mammal and reptile specimens, subject to access. Bone CT or surface geometry would be paired at the specimen level with dissection, MRI or diceCT measurements of muscle paths, attachment regions and volumes. Before reconstruction, I would hide all tissue information that a fossil would not preserve. The main test is how closely predicted ranges match the withheld three-dimensional anatomy; it does not assume that all muscle types are equally reconstructable.</w:t>
      </w:r>
    </w:p>
    <w:p>
      <w:pPr>
        <w:pStyle w:val="Heading2"/>
      </w:pPr>
      <w:r>
        <w:t>Aim 2 | Add physically meaningful constraints.</w:t>
      </w:r>
    </w:p>
    <w:p>
      <w:r>
        <w:t>I would compare size-based scaling, extant phylogenetic bracketing, manual volumetric reconstruction and probabilistic anatomical models with and without mechanical constraints. Plausible routes must connect homologous attachments, wrap around bones without penetrating them, and have reasonable length changes over specified joint poses. Mechanical screening can reject impossible paths; it cannot infer activation, fascicle architecture, force capacity or the true muscle route uniquely. I would evaluate both error and interval calibration on whole-species or whole-clade holdouts.</w:t>
      </w:r>
    </w:p>
    <w:p>
      <w:pPr>
        <w:pStyle w:val="Heading2"/>
      </w:pPr>
      <w:r>
        <w:t>Aim 3 | Test comparative function, then extend to fossil anatomy.</w:t>
      </w:r>
    </w:p>
    <w:p>
      <w:r>
        <w:t>I would quantify which muscle traits are predictable across different living vertebrates, and whether the atlas identifies skeletal observations that would be most useful to collect next. Only if those tests succeed would I transfer uncertainty distributions to well-documented extinct taxa, using Pierce and Bishop’s attachment reconstructions as explicit phylogenetic priors. The historical analysis would report which comparisons survive the uncertainty and which remain unresolved.</w:t>
      </w:r>
    </w:p>
    <w:p>
      <w:pPr>
        <w:pStyle w:val="Heading1"/>
      </w:pPr>
      <w:r>
        <w:t>Validation and comparisons</w:t>
      </w:r>
    </w:p>
    <w:p>
      <w:pPr>
        <w:ind w:left="202" w:hanging="202"/>
      </w:pPr>
      <w:r>
        <w:t>• Primary outcomes. Held-out three-dimensional muscle path distance, attachment-region overlap, volume error and empirical coverage of predicted 50% and 90% intervals, all reported separately by muscle and taxon.</w:t>
      </w:r>
    </w:p>
    <w:p>
      <w:pPr>
        <w:ind w:left="202" w:hanging="202"/>
      </w:pPr>
      <w:r>
        <w:t>• Baselines. Body-size and bone-volume regression; extant phylogenetic bracketing; Demuth-style manually constructed muscle volumes; and a learned anatomical atlas with and without mechanical screening.</w:t>
      </w:r>
    </w:p>
    <w:p>
      <w:pPr>
        <w:ind w:left="202" w:hanging="202"/>
      </w:pPr>
      <w:r>
        <w:t>• Leakage prevention. Withhold an entire species or clade before fitting; do not allow the hidden dissection, muscle volume or non-osteological attachment information into the predictor. Record which attachment traces could realistically survive fossilization.</w:t>
      </w:r>
    </w:p>
    <w:p>
      <w:pPr>
        <w:ind w:left="202" w:hanging="202"/>
      </w:pPr>
      <w:r>
        <w:t>• Sample-size and identifiability limits. A few paired specimens can establish a reproducible pilot, not a universally transferable distribution. Measure the effect of phylogenetic coverage and preservation quality; do not use thin confidence bands as evidence of accuracy without held-out coverage.</w:t>
      </w:r>
    </w:p>
    <w:p>
      <w:pPr>
        <w:pStyle w:val="Heading1"/>
      </w:pPr>
      <w:r>
        <w:t>What would count as evidence</w:t>
      </w:r>
    </w:p>
    <w:p>
      <w:pPr>
        <w:ind w:left="202" w:hanging="202"/>
      </w:pPr>
      <w:r>
        <w:t>• Success. The full candidate set predicts held-out muscle properties with useful, calibrated uncertainty and improves on simpler comparative baselines in at least one well-defined muscle group.</w:t>
      </w:r>
    </w:p>
    <w:p>
      <w:pPr>
        <w:ind w:left="202" w:hanging="202"/>
      </w:pPr>
      <w:r>
        <w:t>• Informative failure. If skeletal evidence cannot constrain a property, map that information limit and identify which additional extant measurement would be most informative. This is still a useful comparative-anatomy result.</w:t>
      </w:r>
    </w:p>
    <w:p>
      <w:pPr>
        <w:ind w:left="202" w:hanging="202"/>
      </w:pPr>
      <w:r>
        <w:t>• Evolutionary interpretation. The resulting distribution is conditional on observed extant taxa, homology assumptions, and preservation. It is not a direct measurement of extinct muscular anatomy or proof that one lineage evolved a particular muscle force.</w:t>
      </w:r>
    </w:p>
    <w:p>
      <w:pPr>
        <w:pStyle w:val="Heading1"/>
      </w:pPr>
      <w:r>
        <w:t>Immediate pilot, data needs, and comparative extension</w:t>
      </w:r>
    </w:p>
    <w:p>
      <w:r>
        <w:t>The immediate computational pilot would reproduce the polygonal reconstruction and muscle-mass comparisons of Demuth et al. (2022), then test a masked-muscle workflow using matched extant data. Riem et al. (2026) provide a quantitative bone–muscle scaling benchmark, although their sample is human and not a substitute for cross-clade data. A first paper could establish anatomy-prediction error and uncertainty coverage in living species; a later paper could ask what these calibrated limits imply for fossil anatomy.</w:t>
      </w:r>
    </w:p>
    <w:p>
      <w:pPr>
        <w:pStyle w:val="Heading1"/>
      </w:pPr>
      <w:r>
        <w:t>How this complements Pierce’s research</w:t>
      </w:r>
    </w:p>
    <w:p>
      <w:r>
        <w:t>This project would combine Pierce’s expertise in muscle homology, extant comparative anatomy and evolutionary inference with my work on inverse mechanics, compatibility sets and experimental design. My main contribution would be a clear quantitative answer to a question important to her existing reconstructions: which muscular properties are supported by skeletal evidence, and how certain can we be?</w:t>
      </w:r>
    </w:p>
    <w:p>
      <w:pPr>
        <w:pStyle w:val="Heading1"/>
      </w:pPr>
      <w:r>
        <w:t>Key references</w:t>
      </w:r>
    </w:p>
    <w:p>
      <w:pPr>
        <w:spacing w:after="0" w:line="240" w:lineRule="auto"/>
      </w:pPr>
      <w:r>
        <w:rPr>
          <w:sz w:val="16"/>
        </w:rPr>
        <w:t>1. Bishop &amp; Pierce (2024), appendicular muscle evolution, forelimb, The Anatomical Record.  https://doi.org/10.1002/ar.25312</w:t>
      </w:r>
    </w:p>
    <w:p>
      <w:pPr>
        <w:spacing w:after="0" w:line="240" w:lineRule="auto"/>
      </w:pPr>
      <w:r>
        <w:rPr>
          <w:sz w:val="16"/>
        </w:rPr>
        <w:t>2. Bishop &amp; Pierce (2024), appendicular muscle evolution, hindlimb, The Anatomical Record.  https://doi.org/10.1002/ar.25310</w:t>
      </w:r>
    </w:p>
    <w:p>
      <w:pPr>
        <w:spacing w:after="0" w:line="240" w:lineRule="auto"/>
      </w:pPr>
      <w:r>
        <w:rPr>
          <w:sz w:val="16"/>
        </w:rPr>
        <w:t>3. Bishop &amp; Pierce (2026), reconstructed forelimb muscles in pre-therian synapsids, Bulletin MCZ.  https://doi.org/10.3099/MCZ85.1</w:t>
      </w:r>
    </w:p>
    <w:p>
      <w:pPr>
        <w:spacing w:after="0" w:line="240" w:lineRule="auto"/>
      </w:pPr>
      <w:r>
        <w:rPr>
          <w:sz w:val="16"/>
        </w:rPr>
        <w:t>4. Demuth et al. (2022), 3D polygonal muscle modeling and mass comparison in living/extinct taxa, Scientific Reports.  https://doi.org/10.1038/s41598-022-07074-x</w:t>
      </w:r>
    </w:p>
    <w:p>
      <w:pPr>
        <w:spacing w:after="0" w:line="240" w:lineRule="auto"/>
      </w:pPr>
      <w:r>
        <w:rPr>
          <w:sz w:val="16"/>
        </w:rPr>
        <w:t>5. Riem et al. (2026), MRI-based bone–muscle volume relationships across 70 human muscles, Journal of Applied Physiology.  https://doi.org/10.1152/japplphysiol.00772.2025</w:t>
      </w:r>
    </w:p>
    <w:p>
      <w:pPr>
        <w:spacing w:after="0" w:line="240" w:lineRule="auto"/>
      </w:pPr>
      <w:r>
        <w:rPr>
          <w:sz w:val="16"/>
        </w:rPr>
        <w:t>6. Bishop &amp; Pierce (2024), late acquisition of erect hindlimb function in synapsids, Science Advances.  https://doi.org/10.1126/sciadv.adr2722</w:t>
      </w:r>
    </w:p>
    <w:sectPr w:rsidR="00FC693F" w:rsidRPr="0006063C" w:rsidSect="00034616">
      <w:footerReference w:type="default" r:id="rId9"/>
      <w:pgSz w:w="12240" w:h="15840"/>
      <w:pgMar w:top="691" w:right="1123" w:bottom="61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ptos" w:hAnsi="Aptos"/>
      <w:color w:val="1B304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3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40" w:after="3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