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6D74"/>
          <w:sz w:val="16"/>
        </w:rPr>
        <w:t>DIRECTION B · COMPARATIVE JOINT FUNCTION AND EVOLUTION</w:t>
      </w:r>
    </w:p>
    <w:p>
      <w:pPr>
        <w:pStyle w:val="Title"/>
      </w:pPr>
      <w:r>
        <w:t>When Do Soft Tissues Change Our Interpretation of Joint Function?</w:t>
      </w:r>
    </w:p>
    <w:p>
      <w:pPr>
        <w:pStyle w:val="Subtitle"/>
        <w:spacing w:after="240"/>
      </w:pPr>
      <w:r>
        <w:t>Testing whether uncertainty in soft tissues changes functional comparisons across living vertebrates</w:t>
      </w:r>
    </w:p>
    <w:p>
      <w:pPr>
        <w:pStyle w:val="Heading1"/>
      </w:pPr>
      <w:r>
        <w:t>Evolutionary question</w:t>
      </w:r>
    </w:p>
    <w:p>
      <w:r>
        <w:t>Bones constrain joint geometry, but skin, capsule, muscles, cartilage and their attachment states also shape movement. Wright and Pierce (2026) showed this directly in tegu lizards and Virginia opossums: different tissue layers limit their hips in different ways. I want to test which comparisons of joint function remain reliable when several tissue anatomies and mechanical behaviors fit the available evidence. Living species are the first biological target; evolutionary reconstruction is a later application.</w:t>
      </w:r>
    </w:p>
    <w:p>
      <w:pPr>
        <w:pStyle w:val="Heading1"/>
      </w:pPr>
      <w:r>
        <w:t>What previous research establishes—and what remains open</w:t>
      </w:r>
    </w:p>
    <w:p>
      <w:r>
        <w:t>High-dimensional joint reconstruction is already well developed: APSE searches joint poses, and Manafzadeh and Gatesy (2021) show why all six degrees of freedom matter. Wright and Pierce (2026) measured how soft-tissue removal changes hip mobility, while Brocklehurst et al. (2025) investigated shape–function relations. Dalman and Saul (2026) also propagated ligament and cartilage uncertainty through a shoulder model and found slack length particularly influential. My proposed contribution is narrower than “including soft tissues”: test whether alternative, independently compatible tissue response laws change held-out movement predictions or the direction of an interspecific functional comparison after geometry, slack length and attachments are accounted for.</w:t>
      </w:r>
    </w:p>
    <w:p>
      <w:pPr>
        <w:pStyle w:val="Heading1"/>
      </w:pPr>
      <w:r>
        <w:t>Hypothesis and competing explanations</w:t>
      </w:r>
    </w:p>
    <w:p>
      <w:r>
        <w:t>My hypothesis is that different anatomically and constitutively compatible tissue combinations can sometimes reproduce the same measured joint conditions while implying different behavior under an untested condition. A mechanics-based compatibility set should identify when comparative joint conclusions are robust, when they depend on an uncertain tissue assumption, and which additional tissue or movement test would resolve the difference.</w:t>
      </w:r>
    </w:p>
    <w:p>
      <w:pPr>
        <w:ind w:left="202" w:hanging="202"/>
      </w:pPr>
      <w:r>
        <w:t>• Alternative 1 — Anatomy dominates. Uncertainty in attachment geometry, tissue slack length, prestrain and contact explains most variation; comparing material families contributes little.</w:t>
      </w:r>
    </w:p>
    <w:p>
      <w:pPr>
        <w:ind w:left="202" w:hanging="202"/>
      </w:pPr>
      <w:r>
        <w:t>• Alternative 2 — The comparison is robust. Every reasonable tissue combination preserves the direction of the living-species contrast, so set-based modeling changes confidence but not the biological conclusion.</w:t>
      </w:r>
    </w:p>
    <w:p>
      <w:pPr>
        <w:ind w:left="202" w:hanging="202"/>
      </w:pPr>
      <w:r>
        <w:t>• Alternative 3 — The model does not transfer. A model fitted to one tissue-removal stage or loading condition excludes observed poses in an untouched stage.</w:t>
      </w:r>
    </w:p>
    <w:p>
      <w:pPr>
        <w:pStyle w:val="Heading1"/>
      </w:pPr>
      <w:r>
        <w:t>Research plan and decisive tests</w:t>
      </w:r>
    </w:p>
    <w:p>
      <w:pPr>
        <w:pStyle w:val="Heading2"/>
      </w:pPr>
      <w:r>
        <w:t>Aim 1 | Establish an experimental joint-mechanics baseline.</w:t>
      </w:r>
    </w:p>
    <w:p>
      <w:r>
        <w:t>I would start from Wright and Pierce’s tegu–opossum experiments, in which layered tissue removal and XROMM distinguish passive ex vivo joint mobility from joint excursions during walking. If specimen-resolved geometries, joint trajectories and test conditions are accessible, I would register the bones, contact surfaces and tissue paths, and calibrate against a predefined subset. Entire specimens, tissue-removal stages or load conditions would remain held out. Published summary figures alone support only a methodological reproduction, not a claim of validated specimen-level prediction.</w:t>
      </w:r>
    </w:p>
    <w:p>
      <w:pPr>
        <w:pStyle w:val="Heading2"/>
      </w:pPr>
      <w:r>
        <w:t>Aim 2 | Measure what is identifiable and which tests would help.</w:t>
      </w:r>
    </w:p>
    <w:p>
      <w:r>
        <w:t>For each tissue, I would represent the range of plausible geometry, slack length, prestrain and mechanical response permitted by independent observations. I would distinguish bone-only six-DOF pose feasibility from passive load-achievable movement and from actively generated or observed motion. Comparisons would include a fixed-law model, within-family parameter uncertainty, anatomical uncertainty, and response-set uncertainty. Experimental-design analysis would then identify which next deformation mode or joint loading state best separates competing predictions.</w:t>
      </w:r>
    </w:p>
    <w:p>
      <w:pPr>
        <w:pStyle w:val="Heading2"/>
      </w:pPr>
      <w:r>
        <w:t>Aim 3 | Compare living species and test evolutionary extrapolation.</w:t>
      </w:r>
    </w:p>
    <w:p>
      <w:r>
        <w:t>I would predefine an interpretable contrast between living species—for example, difference in passive hip mobility under standardized test conditions—and ask whether its sign or magnitude survives all defensible assumptions. A broader sample could assess within-species variation and phylogenetic structure. Only once the extant model passes its held-out tests would fossil-related priors be introduced to examine a carefully specified evolutionary question.</w:t>
      </w:r>
    </w:p>
    <w:p>
      <w:pPr>
        <w:pStyle w:val="Heading1"/>
      </w:pPr>
      <w:r>
        <w:t>Validation and comparisons</w:t>
      </w:r>
    </w:p>
    <w:p>
      <w:pPr>
        <w:ind w:left="202" w:hanging="202"/>
      </w:pPr>
      <w:r>
        <w:t>• Baselines. Bone-only search; a single calibrated tissue law; Monte Carlo within-family parameter variation; uncertain attachments and slack lengths with a fixed law; and combined anatomical and constitutive compatibility sets.</w:t>
      </w:r>
    </w:p>
    <w:p>
      <w:pPr>
        <w:ind w:left="202" w:hanging="202"/>
      </w:pPr>
      <w:r>
        <w:t>• Validation. Measure held-out pose inclusion and false exclusion, calibration of predicted mobility regions, standardized load–pose curves and violations of contact or stability constraints. Report the precise experimental loads and degrees of freedom tested.</w:t>
      </w:r>
    </w:p>
    <w:p>
      <w:pPr>
        <w:ind w:left="202" w:hanging="202"/>
      </w:pPr>
      <w:r>
        <w:t>• Comparison. Define the functional contrast before model selection. Test sensitivity to geometry, size, tissue path, slack length, load protocol and relatedness; do not treat two exemplar species as an evolutionary time series.</w:t>
      </w:r>
    </w:p>
    <w:p>
      <w:pPr>
        <w:ind w:left="202" w:hanging="202"/>
      </w:pPr>
      <w:r>
        <w:t>• Model adequacy. My published atlas approach is a starting framework, not proof that isotropic hyperelastic models describe animal muscle, capsule or ligament. Where needed, add measured anisotropy, tensile recruitment, active force or rate dependence—or explicitly report that available data are insufficient.</w:t>
      </w:r>
    </w:p>
    <w:p>
      <w:pPr>
        <w:pStyle w:val="Heading1"/>
      </w:pPr>
      <w:r>
        <w:t>What would count as evidence</w:t>
      </w:r>
    </w:p>
    <w:p>
      <w:pPr>
        <w:ind w:left="202" w:hanging="202"/>
      </w:pPr>
      <w:r>
        <w:t>• Success. Compared with strong baselines, the uncertainty-aware model predicts untouched experimental conditions more reliably or quantifies a real ambiguity that changes which extant functional difference the evidence supports.</w:t>
      </w:r>
    </w:p>
    <w:p>
      <w:pPr>
        <w:ind w:left="202" w:hanging="202"/>
      </w:pPr>
      <w:r>
        <w:t>• Informative failure. A simpler anatomical model matches or exceeds the full approach, or all plausible tissue responses imply the same biological conclusion. That would identify when extra constitutive detail is unnecessary.</w:t>
      </w:r>
    </w:p>
    <w:p>
      <w:pPr>
        <w:ind w:left="202" w:hanging="202"/>
      </w:pPr>
      <w:r>
        <w:t>• Interpretation. A passive mobility envelope is not an animal’s gait; changing tissue constraints may also alter joint stabilization or contact. No simulated contrast alone demonstrates an evolutionary transition.</w:t>
      </w:r>
    </w:p>
    <w:p>
      <w:pPr>
        <w:pStyle w:val="Heading1"/>
      </w:pPr>
      <w:r>
        <w:t>Immediate pilot and comparative research plan</w:t>
      </w:r>
    </w:p>
    <w:p>
      <w:r>
        <w:t>The first deliverable would reproduce an existing bone-only and layered soft-tissue mobility benchmark and write a blinded validation protocol for extant specimens. Conditional on accessing the necessary experimental measurements, a first comparative paper would quantify prediction coverage and identify the assumptions that control the tegu–opossum contrast. An evolutionary extension would follow only with suitable additional taxa and phylogenetic context.</w:t>
      </w:r>
    </w:p>
    <w:p>
      <w:pPr>
        <w:pStyle w:val="Heading1"/>
      </w:pPr>
      <w:r>
        <w:t>How this complements Pierce’s research</w:t>
      </w:r>
    </w:p>
    <w:p>
      <w:r>
        <w:t>Pierce’s group already supplies the comparative question, XROMM framework and anatomical expertise. I would add quantitative material-response compatibility, identifiability analysis and experiment selection. The value of the collaboration is not another joint visualization; it is a defensible statement about which differences in joint function can actually be inferred from limited biological measurements.</w:t>
      </w:r>
    </w:p>
    <w:p>
      <w:pPr>
        <w:pStyle w:val="Heading1"/>
      </w:pPr>
      <w:r>
        <w:t>Key references</w:t>
      </w:r>
    </w:p>
    <w:p>
      <w:pPr>
        <w:spacing w:after="0" w:line="240" w:lineRule="auto"/>
      </w:pPr>
      <w:r>
        <w:rPr>
          <w:sz w:val="16"/>
        </w:rPr>
        <w:t>1. Wright &amp; Pierce (2026), tissue-specific constraints on tegu/opossum hip mobility, Journal of Experimental Biology.  https://doi.org/10.1242/jeb.251911</w:t>
      </w:r>
    </w:p>
    <w:p>
      <w:pPr>
        <w:spacing w:after="0" w:line="240" w:lineRule="auto"/>
      </w:pPr>
      <w:r>
        <w:rPr>
          <w:sz w:val="16"/>
        </w:rPr>
        <w:t>2. Bishop et al. (2023), APSE high-dimensional joint pose search, Methods in Ecology and Evolution.  https://doi.org/10.1111/2041-210X.14016</w:t>
      </w:r>
    </w:p>
    <w:p>
      <w:pPr>
        <w:spacing w:after="0" w:line="240" w:lineRule="auto"/>
      </w:pPr>
      <w:r>
        <w:rPr>
          <w:sz w:val="16"/>
        </w:rPr>
        <w:t>3. Manafzadeh &amp; Gatesy (2021), six-DOF articular reconstruction, Journal of Anatomy.  https://doi.org/10.1111/joa.13513</w:t>
      </w:r>
    </w:p>
    <w:p>
      <w:pPr>
        <w:spacing w:after="0" w:line="240" w:lineRule="auto"/>
      </w:pPr>
      <w:r>
        <w:rPr>
          <w:sz w:val="16"/>
        </w:rPr>
        <w:t>4. Brocklehurst et al. (2025), joint shape and function through ex vivo XROMM, Journal of Experimental Biology.  https://doi.org/10.1242/jeb.249261</w:t>
      </w:r>
    </w:p>
    <w:p>
      <w:pPr>
        <w:spacing w:after="0" w:line="240" w:lineRule="auto"/>
      </w:pPr>
      <w:r>
        <w:rPr>
          <w:sz w:val="16"/>
        </w:rPr>
        <w:t>5. Dalman &amp; Saul (2026), sensitivity of shoulder joint simulation to uncertain soft tissues, Journal of Biomechanics.  https://doi.org/10.1016/j.jbiomech.2025.113114</w:t>
      </w:r>
    </w:p>
    <w:p>
      <w:pPr>
        <w:spacing w:after="0" w:line="240" w:lineRule="auto"/>
      </w:pPr>
      <w:r>
        <w:rPr>
          <w:sz w:val="16"/>
        </w:rPr>
        <w:t>6. Asadi &amp; Laksari (2026), noise-aware constitutive compatibility atlas, bioRxiv preprint.  https://doi.org/10.64898/2026.10.12.758616</w:t>
      </w:r>
    </w:p>
    <w:p>
      <w:pPr>
        <w:spacing w:after="0" w:line="240" w:lineRule="auto"/>
      </w:pPr>
      <w:r>
        <w:rPr>
          <w:sz w:val="16"/>
        </w:rPr>
        <w:t>7. Bishop &amp; Pierce (2024), late acquisition of erect hindlimb function, Science Advances.  https://doi.org/10.1126/sciadv.adr2722</w:t>
      </w:r>
    </w:p>
    <w:sectPr w:rsidR="00FC693F" w:rsidRPr="0006063C" w:rsidSect="00034616">
      <w:footerReference w:type="default" r:id="rId9"/>
      <w:pgSz w:w="12240" w:h="15840"/>
      <w:pgMar w:top="691" w:right="1123" w:bottom="61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636F"/>
        <w:sz w:val="15"/>
      </w:rPr>
      <w:t xml:space="preserve">RESEARCH CONCEPT  •  OCT 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52" w:lineRule="auto"/>
    </w:pPr>
    <w:rPr>
      <w:rFonts w:ascii="Aptos" w:hAnsi="Aptos"/>
      <w:color w:val="1B3042"/>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30"/>
      <w:outlineLvl w:val="0"/>
    </w:pPr>
    <w:rPr>
      <w:rFonts w:asciiTheme="majorHAnsi" w:eastAsiaTheme="majorEastAsia" w:hAnsiTheme="majorHAnsi" w:cstheme="majorBidi" w:ascii="Aptos" w:hAnsi="Aptos"/>
      <w:b/>
      <w:bCs/>
      <w:color w:val="006D74"/>
      <w:sz w:val="21"/>
      <w:szCs w:val="28"/>
    </w:rPr>
  </w:style>
  <w:style w:type="paragraph" w:styleId="Heading2">
    <w:name w:val="heading 2"/>
    <w:basedOn w:val="Normal"/>
    <w:next w:val="Normal"/>
    <w:link w:val="Heading2Char"/>
    <w:uiPriority w:val="9"/>
    <w:unhideWhenUsed/>
    <w:qFormat/>
    <w:rsid w:val="00FC693F"/>
    <w:pPr>
      <w:keepNext/>
      <w:keepLines/>
      <w:spacing w:before="40" w:after="30"/>
      <w:outlineLvl w:val="1"/>
    </w:pPr>
    <w:rPr>
      <w:rFonts w:asciiTheme="majorHAnsi" w:eastAsiaTheme="majorEastAsia" w:hAnsiTheme="majorHAnsi" w:cstheme="majorBidi" w:ascii="Aptos" w:hAnsi="Aptos"/>
      <w:b/>
      <w:bCs/>
      <w:color w:val="1B3042"/>
      <w:sz w:val="1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B3042"/>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