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6D74"/>
          <w:sz w:val="16"/>
        </w:rPr>
        <w:t>DIRECTION C · COMPARATIVE AXIAL BIOMECHANICS AND EVOLUTION</w:t>
      </w:r>
    </w:p>
    <w:p>
      <w:pPr>
        <w:pStyle w:val="Title"/>
      </w:pPr>
      <w:r>
        <w:t>How Does Vertebral Regionalization Shape Whole-Spine Function?</w:t>
      </w:r>
    </w:p>
    <w:p>
      <w:pPr>
        <w:pStyle w:val="Subtitle"/>
        <w:spacing w:after="240"/>
      </w:pPr>
      <w:r>
        <w:t>Testing when regional organization and mechanical coupling alter vertebral-column function</w:t>
      </w:r>
    </w:p>
    <w:p>
      <w:pPr>
        <w:pStyle w:val="Heading1"/>
      </w:pPr>
      <w:r>
        <w:t>Evolutionary question</w:t>
      </w:r>
    </w:p>
    <w:p>
      <w:r>
        <w:t>Vertebrate backbones differ not only in vertebral shape but also in where mobile and stiff segments occur and how adjacent regions interact. I want to test whether that organization changes the distribution of bending and torsion under comparable loads. Living animals let us test the mechanism directly across different axial designs. Evolutionary comparisons—including fossil taxa—would follow only when the mechanics and anatomical assumptions are sufficiently constrained.</w:t>
      </w:r>
    </w:p>
    <w:p>
      <w:pPr>
        <w:pStyle w:val="Heading1"/>
      </w:pPr>
      <w:r>
        <w:t>What previous research establishes—and what remains open</w:t>
      </w:r>
    </w:p>
    <w:p>
      <w:r>
        <w:t>Pierce and collaborators have already shown how vertebral regionalization and joint function changed in mammal evolution (Jones et al., 2018, 2020, 2021, 2024). Their digital bending experiments quantify regional joint mobility, but do not measure the loaded response of a complete, living spine. Gillet, Jones and Pierce (2024) also documented repatterning of the cetacean backbone, while Roberts and Head (2026) found independent origins of complex regionalization in reptiles and challenged the view that this feature is uniquely mammalian. The new question is whether measured intersegmental mechanical coupling improves predictions of whole-column function beyond independent-joint estimates, and whether regional order still matters once ribs, size and loading are controlled.</w:t>
      </w:r>
    </w:p>
    <w:p>
      <w:pPr>
        <w:pStyle w:val="Heading1"/>
      </w:pPr>
      <w:r>
        <w:t>Hypothesis and competing explanations</w:t>
      </w:r>
    </w:p>
    <w:p>
      <w:r>
        <w:t>My hypothesis is that vertebral order and coupling can influence where bending, torsion and mechanical demand concentrate, even when the inventory of local joint stiffnesses is held fixed. The effect should appear under specific, justified loading conditions and predict observations in an intact extant spine—not merely emerge from an illustrative chain of springs. Different evolutionary patterns of regionalization could therefore yield different mechanical outcomes, but that is a hypothesis to test rather than evidence of adaptation.</w:t>
      </w:r>
    </w:p>
    <w:p>
      <w:pPr>
        <w:ind w:left="202" w:hanging="202"/>
      </w:pPr>
      <w:r>
        <w:t>• Alternative 1 — Exact order-invariance null. In a chain of independent linear rotational springs subjected to the same constant bending moment, summing rotations is invariant to the order of stiffnesses.</w:t>
      </w:r>
    </w:p>
    <w:p>
      <w:pPr>
        <w:ind w:left="202" w:hanging="202"/>
      </w:pPr>
      <w:r>
        <w:t>• Alternative 2 — Added complexity does not help. Coupled models do not improve held-out whole-column motion over calibrated independent-joint predictions.</w:t>
      </w:r>
    </w:p>
    <w:p>
      <w:pPr>
        <w:ind w:left="202" w:hanging="202"/>
      </w:pPr>
      <w:r>
        <w:t>• Alternative 3 — Correlated anatomy explains the result. Ribs, muscle recruitment, vertebral size or test boundary conditions—not the arrangement of local stiffness alone—account for a measured regional contrast.</w:t>
      </w:r>
    </w:p>
    <w:p>
      <w:pPr>
        <w:pStyle w:val="Heading1"/>
      </w:pPr>
      <w:r>
        <w:t>Research plan and decisive tests</w:t>
      </w:r>
    </w:p>
    <w:p>
      <w:pPr>
        <w:pStyle w:val="Heading2"/>
      </w:pPr>
      <w:r>
        <w:t>Aim 1 | Reproduce the known axial-mechanics baseline.</w:t>
      </w:r>
    </w:p>
    <w:p>
      <w:r>
        <w:t>I would first reproduce joint-level digital bending patterns in the public Jones–Angielczyk–Pierce (2024) Dryad archive, including the sensitivity to geometric assumptions. In parallel I would select an extant comparison with contrasting axial organizations, ideally a terrestrial and an axial-driven locomotor form where suitable geometry and loading data exist. The Dryad archive is a valuable baseline; it is not itself a whole-column deformation or material-test dataset.</w:t>
      </w:r>
    </w:p>
    <w:p>
      <w:pPr>
        <w:pStyle w:val="Heading2"/>
      </w:pPr>
      <w:r>
        <w:t>Aim 2 | Quantify coupling across living vertebrates.</w:t>
      </w:r>
    </w:p>
    <w:p>
      <w:r>
        <w:t>I would measure or obtain controlled intact-column bending/torsion observations, including the applied load and segmental kinematics. Starting with a transparent serial-joint model, I would add only coupling mechanisms supported by anatomy or data: ligament paths, rib interactions, contacts and specified muscle contributions. Held-out load directions and, where sample size permits, a held-out species would test transfer. Model comparison should include both local-rotation accuracy and whole-column compliance.</w:t>
      </w:r>
    </w:p>
    <w:p>
      <w:pPr>
        <w:pStyle w:val="Heading2"/>
      </w:pPr>
      <w:r>
        <w:t>Aim 3 | Test comparative and evolutionary counterfactuals.</w:t>
      </w:r>
    </w:p>
    <w:p>
      <w:r>
        <w:t>I would compare regionally organized spines with mechanically matched counterfactuals: the actual arrangement, permutations that preserve the stiffness distribution, contiguous regional rearrangements, and a uniform reference. I would test all against the exact uncoupled limit, normalize for size and control for the rib cage and boundary conditions. Once extant results are validated, phylogenetically informed contrasts could examine whether differences in regional function track known evolutionary shifts; a mechanical advantage alone would not establish selection.</w:t>
      </w:r>
    </w:p>
    <w:p>
      <w:pPr>
        <w:pStyle w:val="Heading1"/>
      </w:pPr>
      <w:r>
        <w:t>Validation and comparisons</w:t>
      </w:r>
    </w:p>
    <w:p>
      <w:pPr>
        <w:ind w:left="202" w:hanging="202"/>
      </w:pPr>
      <w:r>
        <w:t>• Endpoints. Held-out global compliance, segment rotations, curvature localization and force–displacement accuracy under documented loading. Predict internal stress only if additional tissue and load data constrain it.</w:t>
      </w:r>
    </w:p>
    <w:p>
      <w:pPr>
        <w:ind w:left="202" w:hanging="202"/>
      </w:pPr>
      <w:r>
        <w:t>• Nulls and controls. Prove and reproduce the independent-joint order-invariance limit; compare identical loads and joint inventories; add coupling stepwise and test how much each mechanism contributes.</w:t>
      </w:r>
    </w:p>
    <w:p>
      <w:pPr>
        <w:ind w:left="202" w:hanging="202"/>
      </w:pPr>
      <w:r>
        <w:t>• Biological comparisons. Record vertebral length, rib patterns, body size, phylogenetic distance and locomotor ecology; avoid treating high regionalization as a uniquely mammalian feature in light of Roberts and Head (2026).</w:t>
      </w:r>
    </w:p>
    <w:p>
      <w:pPr>
        <w:ind w:left="202" w:hanging="202"/>
      </w:pPr>
      <w:r>
        <w:t>• Data boundary. Public 2024 Dryad tables make the baseline reproducible, but they do not provide validated intersegmental stiffness, muscle forces or intact-spine load histories. Those remain separate experimental dependencies.</w:t>
      </w:r>
    </w:p>
    <w:p>
      <w:pPr>
        <w:pStyle w:val="Heading1"/>
      </w:pPr>
      <w:r>
        <w:t>What would count as evidence</w:t>
      </w:r>
    </w:p>
    <w:p>
      <w:pPr>
        <w:ind w:left="202" w:hanging="202"/>
      </w:pPr>
      <w:r>
        <w:t>• Success. Physically supported coupling gives better predictions on withheld intact-spine tests, and the resulting between-species difference survives matched anatomical and loading controls.</w:t>
      </w:r>
    </w:p>
    <w:p>
      <w:pPr>
        <w:ind w:left="202" w:hanging="202"/>
      </w:pPr>
      <w:r>
        <w:t>• Informative failure. Jointwise models are sufficient, or apparent regional-order effects vanish after controlling rib anatomy, size or boundaries. This limits claims about regionalization rather than supporting a new evolutionary mechanism.</w:t>
      </w:r>
    </w:p>
    <w:p>
      <w:pPr>
        <w:ind w:left="202" w:hanging="202"/>
      </w:pPr>
      <w:r>
        <w:t>• Interpretation. Regionality, function and phylogeny are related but different questions. A simulated response is not by itself evidence for a behavioral advantage, fitness effect or selective cause.</w:t>
      </w:r>
    </w:p>
    <w:p>
      <w:pPr>
        <w:pStyle w:val="Heading1"/>
      </w:pPr>
      <w:r>
        <w:t>Immediate pilot and pathway to comparative evolution</w:t>
      </w:r>
    </w:p>
    <w:p>
      <w:r>
        <w:t>I would begin with the open Jones et al. (2024) data and a unit-tested reduced-order spine model, including the zero-coupling analytical null. The next step would be identifying an extant dataset or collaborator able to supply matched segmental motion and loading data. The Gillet et al. (2024) cetacean comparison and Roberts and Head (2026) reptile results provide compelling candidate biological contrasts, but neither paper alone supplies the mechanical validation measurements required here.</w:t>
      </w:r>
    </w:p>
    <w:p>
      <w:pPr>
        <w:pStyle w:val="Heading1"/>
      </w:pPr>
      <w:r>
        <w:t>How this complements Pierce’s research</w:t>
      </w:r>
    </w:p>
    <w:p>
      <w:r>
        <w:t>This is aligned with Pierce’s established work on vertebral form, regionalization and locomotor diversity, without claiming to rediscover axial regions. Her lab would guide taxon selection, functional morphology and phylogenetic inference; I would contribute transparent coupled mechanics, held-out prediction and uncertainty analysis. The near-term goal is an independently testable comparative spine result in living vertebrates.</w:t>
      </w:r>
    </w:p>
    <w:p>
      <w:pPr>
        <w:pStyle w:val="Heading1"/>
      </w:pPr>
      <w:r>
        <w:t>Key references</w:t>
      </w:r>
    </w:p>
    <w:p>
      <w:pPr>
        <w:spacing w:after="0" w:line="240" w:lineRule="auto"/>
      </w:pPr>
      <w:r>
        <w:rPr>
          <w:sz w:val="16"/>
        </w:rPr>
        <w:t>1. Jones et al. (2018), evolution of the mammalian regionalized spine, Science.  https://doi.org/10.1126/science.aar3126</w:t>
      </w:r>
    </w:p>
    <w:p>
      <w:pPr>
        <w:spacing w:after="0" w:line="240" w:lineRule="auto"/>
      </w:pPr>
      <w:r>
        <w:rPr>
          <w:sz w:val="16"/>
        </w:rPr>
        <w:t>2. Jones et al. (2020), regionalization before functional adaptation, Nature Ecology &amp; Evolution.  https://doi.org/10.1038/s41559-020-1094-9</w:t>
      </w:r>
    </w:p>
    <w:p>
      <w:pPr>
        <w:spacing w:after="0" w:line="240" w:lineRule="auto"/>
      </w:pPr>
      <w:r>
        <w:rPr>
          <w:sz w:val="16"/>
        </w:rPr>
        <w:t>3. Jones et al. (2021), axial adaptive landscapes, Current Biology.  https://doi.org/10.1016/j.cub.2021.02.009</w:t>
      </w:r>
    </w:p>
    <w:p>
      <w:pPr>
        <w:spacing w:after="0" w:line="240" w:lineRule="auto"/>
      </w:pPr>
      <w:r>
        <w:rPr>
          <w:sz w:val="16"/>
        </w:rPr>
        <w:t>4. Jones, Angielczyk &amp; Pierce (2024), digital bending and vertebral function, Proceedings of the Royal Society B.  https://doi.org/10.1098/rspb.2024.0820</w:t>
      </w:r>
    </w:p>
    <w:p>
      <w:pPr>
        <w:spacing w:after="0" w:line="240" w:lineRule="auto"/>
      </w:pPr>
      <w:r>
        <w:rPr>
          <w:sz w:val="16"/>
        </w:rPr>
        <w:t>5. Jones et al. (2024), digital-bending results and morphometrics, Dryad dataset.  https://doi.org/10.5061/dryad.2547d7wx9</w:t>
      </w:r>
    </w:p>
    <w:p>
      <w:pPr>
        <w:spacing w:after="0" w:line="240" w:lineRule="auto"/>
      </w:pPr>
      <w:r>
        <w:rPr>
          <w:sz w:val="16"/>
        </w:rPr>
        <w:t>6. Gillet, Jones &amp; Pierce (2024), cetacean backbone regionalization, Nature Communications.  https://doi.org/10.1038/s41467-024-51963-w</w:t>
      </w:r>
    </w:p>
    <w:p>
      <w:pPr>
        <w:spacing w:after="0" w:line="240" w:lineRule="auto"/>
      </w:pPr>
      <w:r>
        <w:rPr>
          <w:sz w:val="16"/>
        </w:rPr>
        <w:t>7. Roberts &amp; Head (2026), independently evolving reptile spinal regionalization, Nature Communications.  https://doi.org/10.1038/s41467-026-72071-x</w:t>
      </w:r>
    </w:p>
    <w:sectPr w:rsidR="00FC693F" w:rsidRPr="0006063C" w:rsidSect="00034616">
      <w:footerReference w:type="default" r:id="rId9"/>
      <w:pgSz w:w="12240" w:h="15840"/>
      <w:pgMar w:top="691" w:right="1123" w:bottom="61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36F"/>
        <w:sz w:val="15"/>
      </w:rPr>
      <w:t xml:space="preserve">RESEARCH CONCEPT  •  OCT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2" w:lineRule="auto"/>
    </w:pPr>
    <w:rPr>
      <w:rFonts w:ascii="Aptos" w:hAnsi="Aptos"/>
      <w:color w:val="1B304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30"/>
      <w:outlineLvl w:val="0"/>
    </w:pPr>
    <w:rPr>
      <w:rFonts w:asciiTheme="majorHAnsi" w:eastAsiaTheme="majorEastAsia" w:hAnsiTheme="majorHAnsi" w:cstheme="majorBidi" w:ascii="Aptos" w:hAnsi="Aptos"/>
      <w:b/>
      <w:bCs/>
      <w:color w:val="006D74"/>
      <w:sz w:val="21"/>
      <w:szCs w:val="28"/>
    </w:rPr>
  </w:style>
  <w:style w:type="paragraph" w:styleId="Heading2">
    <w:name w:val="heading 2"/>
    <w:basedOn w:val="Normal"/>
    <w:next w:val="Normal"/>
    <w:link w:val="Heading2Char"/>
    <w:uiPriority w:val="9"/>
    <w:unhideWhenUsed/>
    <w:qFormat/>
    <w:rsid w:val="00FC693F"/>
    <w:pPr>
      <w:keepNext/>
      <w:keepLines/>
      <w:spacing w:before="40" w:after="30"/>
      <w:outlineLvl w:val="1"/>
    </w:pPr>
    <w:rPr>
      <w:rFonts w:asciiTheme="majorHAnsi" w:eastAsiaTheme="majorEastAsia" w:hAnsiTheme="majorHAnsi" w:cstheme="majorBidi" w:ascii="Aptos" w:hAnsi="Aptos"/>
      <w:b/>
      <w:bCs/>
      <w:color w:val="1B3042"/>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B304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