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PROPOSED DIRECTION A · EXTANT-VALIDATED FOSSIL RECONSTRUCTION</w:t>
      </w:r>
    </w:p>
    <w:p>
      <w:pPr>
        <w:pStyle w:val="Title"/>
      </w:pPr>
      <w:r>
        <w:t>Which Muscles Can Fossil Bones Actually Predict?</w:t>
      </w:r>
    </w:p>
    <w:p>
      <w:pPr>
        <w:pStyle w:val="Subtitle"/>
        <w:spacing w:after="240"/>
      </w:pPr>
      <w:r>
        <w:t>A mechanics-constrained atlas of plausible fossil muscle anatomy, trained and tested using living vertebrates</w:t>
      </w:r>
    </w:p>
    <w:p>
      <w:pPr>
        <w:pStyle w:val="Heading1"/>
      </w:pPr>
      <w:r>
        <w:t>Evolutionary question</w:t>
      </w:r>
    </w:p>
    <w:p>
      <w:r>
        <w:t>Fossils preserve bone, but rarely tell us the full volume, path or architecture of a muscle. I want to test what we can actually infer from the skeleton—and where the evidence stops. The question is especially relevant to the synapsid–mammal transition: when a reconstructed muscle appears to change, is that change supported by osteology and extant anatomy, or mainly by the reconstruction assumptions?</w:t>
      </w:r>
    </w:p>
    <w:p>
      <w:pPr>
        <w:pStyle w:val="Heading1"/>
      </w:pPr>
      <w:r>
        <w:t>Why this is not already done</w:t>
      </w:r>
    </w:p>
    <w:p>
      <w:r>
        <w:t>Bishop and Pierce have already identified muscle homologies and reconstructed attachment sites in fossil synapsids (2024, 2026). Demuth and colleagues (2022) showed how three-dimensional muscle volumes and paths can be estimated in living and extinct animals. My proposal is not to repeat those reconstructions. It is to quantify the range of muscle anatomies that remain compatible with the same skeletal evidence, test whether mechanical constraints narrow that range, and measure reconstruction accuracy in living species whose soft tissues we can independently observe.</w:t>
      </w:r>
    </w:p>
    <w:p>
      <w:pPr>
        <w:pStyle w:val="Heading1"/>
      </w:pPr>
      <w:r>
        <w:t>Falsifiable hypothesis and alternatives</w:t>
      </w:r>
    </w:p>
    <w:p>
      <w:r>
        <w:t>My hypothesis is that some properties of homologous muscles—such as attachment regions and broad paths—can be recovered with useful, calibrated uncertainty from bone geometry and phylogenetic information. Other properties, particularly detailed volume or fiber architecture, may remain weakly constrained. I would test whether a mechanics-based compatibility atlas improves predictions beyond conventional skeletal scaling and phylogenetic reconstruction, rather than assuming that it will.</w:t>
      </w:r>
    </w:p>
    <w:p>
      <w:pPr>
        <w:ind w:left="202" w:hanging="202"/>
      </w:pPr>
      <w:r>
        <w:t>• Alternative 1 — Not enough information. Bone size, shape and attachments cannot predict muscle paths or volumes more tightly than an extant phylogenetic bracket.</w:t>
      </w:r>
    </w:p>
    <w:p>
      <w:pPr>
        <w:ind w:left="202" w:hanging="202"/>
      </w:pPr>
      <w:r>
        <w:t>• Alternative 2 — Mechanics adds little. Geometric and mechanical screening rejects obviously impossible routes but does not improve predictions on unseen species.</w:t>
      </w:r>
    </w:p>
    <w:p>
      <w:pPr>
        <w:ind w:left="202" w:hanging="202"/>
      </w:pPr>
      <w:r>
        <w:t>• Alternative 3 — Poor evolutionary transfer. Apparent success disappears when an entire lineage, rather than random specimens, is withheld.</w:t>
      </w:r>
    </w:p>
    <w:p>
      <w:pPr>
        <w:pStyle w:val="Heading1"/>
      </w:pPr>
      <w:r>
        <w:t>Research aims and decisive tests</w:t>
      </w:r>
    </w:p>
    <w:p>
      <w:pPr>
        <w:pStyle w:val="Heading2"/>
      </w:pPr>
      <w:r>
        <w:t>Aim 1 | Learn what fossil-observable anatomy can predict.</w:t>
      </w:r>
    </w:p>
    <w:p>
      <w:r>
        <w:t>I would start with a small set of homologous shoulder or elbow muscles in living mammals and reptiles. For each specimen, we need a registered skeleton and independently measured muscle paths, attachment extent and volumes from dissection, CT or contrast-enhanced imaging. I would then hide the soft tissues and all anatomical information that a fossil would not preserve. The model would predict a set or distribution of possible muscles from the remaining evidence; the hidden measurements provide the test.</w:t>
      </w:r>
    </w:p>
    <w:p>
      <w:pPr>
        <w:pStyle w:val="Heading2"/>
      </w:pPr>
      <w:r>
        <w:t>Aim 2 | Add physically meaningful constraints.</w:t>
      </w:r>
    </w:p>
    <w:p>
      <w:r>
        <w:t>Candidate reconstructions would preserve muscle identity and plausible origin–insertion regions. I would test bone avoidance, available volume, wrapping paths, and muscle length changes over specified joint motions. The aim is to remove incompatible configurations, not force the algorithm to produce a unique muscle. Tendon routing, pennation, activation and force capacity would remain uncertain unless independently constrained by comparative measurements.</w:t>
      </w:r>
    </w:p>
    <w:p>
      <w:pPr>
        <w:pStyle w:val="Heading2"/>
      </w:pPr>
      <w:r>
        <w:t>Aim 3 | Ask what this changes in fossils.</w:t>
      </w:r>
    </w:p>
    <w:p>
      <w:r>
        <w:t>Once the atlas passes living-species tests, I would apply it to a bounded forelimb region in selected fossil synapsids, using Bishop and Pierce’s published reconstructions as anatomical starting points. Instead of showing one muscle volume per taxon, I would report the compatible range and propagate it into moment arms and torque-potential estimates under stated assumptions. The evolutionary question is whether inferred functional differences remain robust across those reconstructions.</w:t>
      </w:r>
    </w:p>
    <w:p>
      <w:pPr>
        <w:pStyle w:val="Heading1"/>
      </w:pPr>
      <w:r>
        <w:t>Experimental/computational design</w:t>
      </w:r>
    </w:p>
    <w:p>
      <w:pPr>
        <w:ind w:left="202" w:hanging="202"/>
      </w:pPr>
      <w:r>
        <w:t>• Main test. Hold out entire species or clades and evaluate errors and interval coverage for muscle path, volume and attachment extent. Report results separately for each muscle and preservation condition.</w:t>
      </w:r>
    </w:p>
    <w:p>
      <w:pPr>
        <w:ind w:left="202" w:hanging="202"/>
      </w:pPr>
      <w:r>
        <w:t>• Comparators. Evaluate skeletal scaling, extant phylogenetic bracketing, manual/volumetric reconstruction, an unconstrained statistical atlas, and the mechanics-constrained atlas under the same masked inputs.</w:t>
      </w:r>
    </w:p>
    <w:p>
      <w:pPr>
        <w:ind w:left="202" w:hanging="202"/>
      </w:pPr>
      <w:r>
        <w:t>• Leakage control. Keep target-species dissections and any fossil-invisible attachment information out of training and prediction. Include realistic preservation masks.</w:t>
      </w:r>
    </w:p>
    <w:p>
      <w:pPr>
        <w:ind w:left="202" w:hanging="202"/>
      </w:pPr>
      <w:r>
        <w:t>• Functional check. Compare predicted muscle moment arms with values measured or reconstructed independently in living specimens. Do not infer maximum muscle force directly from attachment marks.</w:t>
      </w:r>
    </w:p>
    <w:p>
      <w:pPr>
        <w:pStyle w:val="Heading1"/>
      </w:pPr>
      <w:r>
        <w:t>Decision criteria and scientifically useful failure</w:t>
      </w:r>
    </w:p>
    <w:p>
      <w:pPr>
        <w:ind w:left="202" w:hanging="202"/>
      </w:pPr>
      <w:r>
        <w:t>• A useful positive result. The atlas gives intervals that contain held-out anatomy at the stated rate and are more informative than established alternatives, without sacrificing coverage.</w:t>
      </w:r>
    </w:p>
    <w:p>
      <w:pPr>
        <w:ind w:left="202" w:hanging="202"/>
      </w:pPr>
      <w:r>
        <w:t>• A useful negative result. If the intervals stay broad or performance collapses outside the training clade, quantify that limit. Identifying which fossil observations cannot constrain muscle anatomy is itself useful.</w:t>
      </w:r>
    </w:p>
    <w:p>
      <w:pPr>
        <w:ind w:left="202" w:hanging="202"/>
      </w:pPr>
      <w:r>
        <w:t>• Interpretation. A fossil reconstruction is always conditional on comparative data, preservation and prior assumptions. High model confidence is not direct evidence of extinct soft tissue.</w:t>
      </w:r>
    </w:p>
    <w:p>
      <w:pPr>
        <w:pStyle w:val="Heading1"/>
      </w:pPr>
      <w:r>
        <w:t>Immediate pilot, dependencies, and route to fossils</w:t>
      </w:r>
    </w:p>
    <w:p>
      <w:r>
        <w:t>The first computational step is to reproduce and audit the open reconstructions and code from Demuth et al. (2022). Those resources are useful for testing the pipeline but are not a balanced cross-clade training set. A credible atlas will require additional specimen-matched skeleton and soft-tissue measurements from museums or collaborators, with access confirmed in advance. I would begin with one joint region before considering larger musculoskeletal systems.</w:t>
      </w:r>
    </w:p>
    <w:p>
      <w:pPr>
        <w:pStyle w:val="Heading1"/>
      </w:pPr>
      <w:r>
        <w:t>Why this collaboration is complementary</w:t>
      </w:r>
    </w:p>
    <w:p>
      <w:r>
        <w:t>This project would combine the lab’s expertise in fossil muscle homology, comparative anatomy and synapsid evolution with my background in inverse mechanics, compatibility analysis and experimental design. The central deliverable would be an honest test of what missing anatomy can be recovered from the evidence—not a more detailed-looking fossil model.</w:t>
      </w:r>
    </w:p>
    <w:p>
      <w:pPr>
        <w:pStyle w:val="Heading1"/>
      </w:pPr>
      <w:r>
        <w:t>Selected evidence and methodological precedents</w:t>
      </w:r>
    </w:p>
    <w:p>
      <w:pPr>
        <w:spacing w:after="40"/>
      </w:pPr>
      <w:r>
        <w:rPr>
          <w:sz w:val="16"/>
        </w:rPr>
        <w:t xml:space="preserve">1. Bishop &amp; Pierce (2024), fossil appendicular muscle evolution, Part I (forelimb), Anatomical Record.  </w:t>
      </w:r>
      <w:r>
        <w:rPr>
          <w:color w:val="006D74"/>
          <w:sz w:val="15"/>
        </w:rPr>
        <w:t>https://doi.org/10.1002/ar.25312</w:t>
      </w:r>
    </w:p>
    <w:p>
      <w:pPr>
        <w:spacing w:after="40"/>
      </w:pPr>
      <w:r>
        <w:rPr>
          <w:sz w:val="16"/>
        </w:rPr>
        <w:t xml:space="preserve">2. Bishop &amp; Pierce (2024), fossil appendicular muscle evolution, Part II (hindlimb), Anatomical Record.  </w:t>
      </w:r>
      <w:r>
        <w:rPr>
          <w:color w:val="006D74"/>
          <w:sz w:val="15"/>
        </w:rPr>
        <w:t>https://doi.org/10.1002/ar.25310</w:t>
      </w:r>
    </w:p>
    <w:p>
      <w:pPr>
        <w:spacing w:after="40"/>
      </w:pPr>
      <w:r>
        <w:rPr>
          <w:sz w:val="16"/>
        </w:rPr>
        <w:t xml:space="preserve">3. Bishop &amp; Pierce (2026), Reconstructions of Forelimb Musculature in Extinct Pre-Therian Synapsids.  </w:t>
      </w:r>
      <w:r>
        <w:rPr>
          <w:color w:val="006D74"/>
          <w:sz w:val="15"/>
        </w:rPr>
        <w:t>https://doi.org/10.3099/MCZ85.1</w:t>
      </w:r>
    </w:p>
    <w:p>
      <w:pPr>
        <w:spacing w:after="40"/>
      </w:pPr>
      <w:r>
        <w:rPr>
          <w:sz w:val="16"/>
        </w:rPr>
        <w:t xml:space="preserve">4. Demuth et al. (2022), 3D polygonal muscle modelling, Scientific Reports; public models/code.  </w:t>
      </w:r>
      <w:r>
        <w:rPr>
          <w:color w:val="006D74"/>
          <w:sz w:val="15"/>
        </w:rPr>
        <w:t>https://doi.org/10.1038/s41598-022-07074-x</w:t>
      </w:r>
    </w:p>
    <w:p>
      <w:pPr>
        <w:spacing w:after="40"/>
      </w:pPr>
      <w:r>
        <w:rPr>
          <w:sz w:val="16"/>
        </w:rPr>
        <w:t xml:space="preserve">5. Bishop &amp; Pierce (2024), Late acquisition of erect hindlimb function in synapsids, Science Advances.  </w:t>
      </w:r>
      <w:r>
        <w:rPr>
          <w:color w:val="006D74"/>
          <w:sz w:val="15"/>
        </w:rPr>
        <w:t>https://doi.org/10.1126/sciadv.adr2722</w:t>
      </w:r>
    </w:p>
    <w:p>
      <w:pPr>
        <w:spacing w:after="40"/>
      </w:pPr>
      <w:r>
        <w:rPr>
          <w:sz w:val="16"/>
        </w:rPr>
        <w:t xml:space="preserve">6. Hutchinson et al. (2023), modern 3D locomotor biomechanics in tetrapods, JEB.  </w:t>
      </w:r>
      <w:r>
        <w:rPr>
          <w:color w:val="006D74"/>
          <w:sz w:val="15"/>
        </w:rPr>
        <w:t>https://doi.org/10.1242/jeb.245132</w:t>
      </w:r>
    </w:p>
    <w:sectPr w:rsidR="00FC693F" w:rsidRPr="0006063C" w:rsidSect="00034616">
      <w:footerReference w:type="default" r:id="rId9"/>
      <w:pgSz w:w="12240" w:h="15840"/>
      <w:pgMar w:top="778" w:right="1123" w:bottom="76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62" w:lineRule="auto"/>
    </w:pPr>
    <w:rPr>
      <w:rFonts w:ascii="Aptos" w:hAnsi="Aptos"/>
      <w:color w:val="1B304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