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PROPOSED DIRECTION B · FOSSIL LOCOMOTOR FUNCTION</w:t>
      </w:r>
    </w:p>
    <w:p>
      <w:pPr>
        <w:pStyle w:val="Title"/>
      </w:pPr>
      <w:r>
        <w:t>When Does Missing Soft Tissue Change an Evolutionary Conclusion?</w:t>
      </w:r>
    </w:p>
    <w:p>
      <w:pPr>
        <w:pStyle w:val="Subtitle"/>
        <w:spacing w:after="240"/>
      </w:pPr>
      <w:r>
        <w:t>Testing whether uncertainty in lost soft tissues changes functional interpretations of synapsid evolution</w:t>
      </w:r>
    </w:p>
    <w:p>
      <w:pPr>
        <w:pStyle w:val="Heading1"/>
      </w:pPr>
      <w:r>
        <w:t>Evolutionary question</w:t>
      </w:r>
    </w:p>
    <w:p>
      <w:r>
        <w:t>Pierce and colleagues have shown that the transition toward erect mammalian locomotion was not a simple, steady progression. I want to ask how much of that functional history is determined by the bones, and how much depends on the muscles, capsules and other tissues that fossils do not preserve. The goal is to identify which comparisons between extinct animals remain supported across plausible tissue reconstructions.</w:t>
      </w:r>
    </w:p>
    <w:p>
      <w:pPr>
        <w:pStyle w:val="Heading1"/>
      </w:pPr>
      <w:r>
        <w:t>Why this is not already done</w:t>
      </w:r>
    </w:p>
    <w:p>
      <w:r>
        <w:t>This would build directly on existing work, not replace it. APSE already searches six-degree-of-freedom joint mobility (Bishop et al., 2023), while Manafzadeh and Gatesy (2021) showed why joint translations matter. Wright and Pierce (2026) demonstrated species-specific effects of removing hip tissues, and Bishop and Pierce (2024) estimated hindlimb force-generating performance in fossil synapsids. What remains open is whether multiple anatomies and material responses that fit the living-animal evidence lead to the same—or different—comparative evolutionary conclusions.</w:t>
      </w:r>
    </w:p>
    <w:p>
      <w:pPr>
        <w:pStyle w:val="Heading1"/>
      </w:pPr>
      <w:r>
        <w:t>Falsifiable hypothesis and alternatives</w:t>
      </w:r>
    </w:p>
    <w:p>
      <w:r>
        <w:t>My hypothesis is that different soft-tissue configurations can satisfy available experimental evidence yet lead to different estimates of passive joint motion or load-dependent performance. A compatibility-set approach would distinguish results that are robust across those alternatives from results that need additional anatomical or material measurements. The hypothesis could also fail: tissue uncertainty may have little effect compared with bone geometry.</w:t>
      </w:r>
    </w:p>
    <w:p>
      <w:pPr>
        <w:ind w:left="202" w:hanging="202"/>
      </w:pPr>
      <w:r>
        <w:t>• Alternative 1 — Material laws do not matter enough. Attachment sites, slack lengths and contact geometry explain most prediction uncertainty.</w:t>
      </w:r>
    </w:p>
    <w:p>
      <w:pPr>
        <w:ind w:left="202" w:hanging="202"/>
      </w:pPr>
      <w:r>
        <w:t>• Alternative 2 — The evolutionary comparison is already robust. All defensible tissue models preserve the direction of the selected functional difference.</w:t>
      </w:r>
    </w:p>
    <w:p>
      <w:pPr>
        <w:ind w:left="202" w:hanging="202"/>
      </w:pPr>
      <w:r>
        <w:t>• Alternative 3 — Extant validation fails. A model fitted to one tissue-removal stage or loading condition cannot predict another.</w:t>
      </w:r>
    </w:p>
    <w:p>
      <w:pPr>
        <w:pStyle w:val="Heading1"/>
      </w:pPr>
      <w:r>
        <w:t>Research aims and decisive tests</w:t>
      </w:r>
    </w:p>
    <w:p>
      <w:pPr>
        <w:pStyle w:val="Heading2"/>
      </w:pPr>
      <w:r>
        <w:t>Aim 1 | Establish an experimental joint-mechanics baseline.</w:t>
      </w:r>
    </w:p>
    <w:p>
      <w:r>
        <w:t>I would begin with the tegu–opossum hip experiments. Where specimen-level XROMM, tissue-removal, loading and geometry data are available, I would register bone surfaces and plausible tissue attachments, including slack length, prestrain and contact uncertainty. Some specimens or loading conditions would be reserved entirely for validation. If only published group-level envelopes are accessible, the initial analysis would remain a methodological reproduction—not an experimentally validated prediction.</w:t>
      </w:r>
    </w:p>
    <w:p>
      <w:pPr>
        <w:pStyle w:val="Heading2"/>
      </w:pPr>
      <w:r>
        <w:t>Aim 2 | Measure what is identifiable and which tests would help.</w:t>
      </w:r>
    </w:p>
    <w:p>
      <w:r>
        <w:t>For each tissue, I would propagate all response laws and anatomical states compatible with its measurements, rather than select one best-fit law. I would keep geometric pose availability, passive movement under prescribed forces, potential muscle torque and observed gait as separate quantities. Sensitivity and experimental-design analysis would then identify whether an additional tissue test, motion direction or loading condition could meaningfully narrow the range of functional predictions.</w:t>
      </w:r>
    </w:p>
    <w:p>
      <w:pPr>
        <w:pStyle w:val="Heading2"/>
      </w:pPr>
      <w:r>
        <w:t>Aim 3 | Revisit one specific fossil comparison.</w:t>
      </w:r>
    </w:p>
    <w:p>
      <w:r>
        <w:t>After the living-animal model passes its held-out tests, I would choose a predeclared synapsid comparison from Pierce’s published evolutionary work. I would ask whether the inferred difference in passive mobility or force-generating potential persists when uncertain tissue anatomy and mechanics are included. Results would be classified as robust, unresolved or sensitive to a stated assumption. A small exemplar comparison would not, by itself, demonstrate a phylogenetic trend.</w:t>
      </w:r>
    </w:p>
    <w:p>
      <w:pPr>
        <w:pStyle w:val="Heading1"/>
      </w:pPr>
      <w:r>
        <w:t>Experimental/computational design</w:t>
      </w:r>
    </w:p>
    <w:p>
      <w:pPr>
        <w:ind w:left="202" w:hanging="202"/>
      </w:pPr>
      <w:r>
        <w:t>• Comparators. Bone-only pose search; one fixed tissue model; parameter sampling within that model; uncertain anatomy with fixed materials; and joint propagation of anatomical and constitutive compatibility sets.</w:t>
      </w:r>
    </w:p>
    <w:p>
      <w:pPr>
        <w:ind w:left="202" w:hanging="202"/>
      </w:pPr>
      <w:r>
        <w:t>• Validation. Report inclusion of held-out observed poses, false exclusions, uncertainty calibration, feasible movement volume under a defined loading protocol, and any contact or stability violations.</w:t>
      </w:r>
    </w:p>
    <w:p>
      <w:pPr>
        <w:ind w:left="202" w:hanging="202"/>
      </w:pPr>
      <w:r>
        <w:t>• Evolutionary statistic. Define the functional comparison before running the fossil models, then test sensitivity to body size, preservation, taxon selection and extant phylogenetic assumptions.</w:t>
      </w:r>
    </w:p>
    <w:p>
      <w:pPr>
        <w:ind w:left="202" w:hanging="202"/>
      </w:pPr>
      <w:r>
        <w:t>• Material realism. My current isotropic hyperelastic atlas is a methodological starting point, not a ready-made library for muscle or capsule. Anisotropy, recruitment, active tension and rate dependence must be introduced where experiments require them.</w:t>
      </w:r>
    </w:p>
    <w:p>
      <w:pPr>
        <w:pStyle w:val="Heading1"/>
      </w:pPr>
      <w:r>
        <w:t>Decision criteria and scientifically useful failure</w:t>
      </w:r>
    </w:p>
    <w:p>
      <w:pPr>
        <w:ind w:left="202" w:hanging="202"/>
      </w:pPr>
      <w:r>
        <w:t>• A useful positive result. Compatibility sets improve held-out prediction or show that the confidence in a fossil functional contrast changes relative to simpler methods.</w:t>
      </w:r>
    </w:p>
    <w:p>
      <w:pPr>
        <w:ind w:left="202" w:hanging="202"/>
      </w:pPr>
      <w:r>
        <w:t>• A useful negative result. If a fixed-family model predicts equally well, or if plausible tissues leave the evolutionary interpretation unchanged, we report that boundary rather than claim new functional evolution.</w:t>
      </w:r>
    </w:p>
    <w:p>
      <w:pPr>
        <w:ind w:left="202" w:hanging="202"/>
      </w:pPr>
      <w:r>
        <w:t>• Interpretation. A predicted passive movement envelope is not the gait an animal used. Load, tissue activation, and anatomical assumptions must remain explicit.</w:t>
      </w:r>
    </w:p>
    <w:p>
      <w:pPr>
        <w:pStyle w:val="Heading1"/>
      </w:pPr>
      <w:r>
        <w:t>Immediate pilot, dependencies, and route to fossils</w:t>
      </w:r>
    </w:p>
    <w:p>
      <w:r>
        <w:t>I would first reproduce the published bone-only and tegu/opossum comparisons. The next step would require access to specimen-resolved tissue-removal or loading data to test generalization. Only after that would I transfer the calibrated uncertainty model to a selected fossil comparison. The muscle-reconstruction project could later supply anatomical priors, but this project can begin with existing documented priors.</w:t>
      </w:r>
    </w:p>
    <w:p>
      <w:pPr>
        <w:pStyle w:val="Heading1"/>
      </w:pPr>
      <w:r>
        <w:t>Why this collaboration is complementary</w:t>
      </w:r>
    </w:p>
    <w:p>
      <w:r>
        <w:t>Pierce’s team brings the evolutionary comparisons, anatomy, XROMM experiments and established joint-search tools. I would contribute constitutive compatibility sets, mechanics-constrained uncertainty propagation and experiments designed to discriminate competing explanations. This would test the robustness of prior findings without assuming that those findings are incorrect.</w:t>
      </w:r>
    </w:p>
    <w:p>
      <w:pPr>
        <w:pStyle w:val="Heading1"/>
      </w:pPr>
      <w:r>
        <w:t>Selected evidence and methodological precedents</w:t>
      </w:r>
    </w:p>
    <w:p>
      <w:pPr>
        <w:spacing w:after="40"/>
      </w:pPr>
      <w:r>
        <w:rPr>
          <w:sz w:val="16"/>
        </w:rPr>
        <w:t xml:space="preserve">1. Wright &amp; Pierce (2026), soft-tissue constraints on hip joint mobility in tegu and opossum, JEB.  </w:t>
      </w:r>
      <w:r>
        <w:rPr>
          <w:color w:val="006D74"/>
          <w:sz w:val="15"/>
        </w:rPr>
        <w:t>https://doi.org/10.1242/jeb.251911</w:t>
      </w:r>
    </w:p>
    <w:p>
      <w:pPr>
        <w:spacing w:after="40"/>
      </w:pPr>
      <w:r>
        <w:rPr>
          <w:sz w:val="16"/>
        </w:rPr>
        <w:t xml:space="preserve">2. Bishop et al. (2023), APSE high-dimensional joint pose search, Methods Ecol Evol.  </w:t>
      </w:r>
      <w:r>
        <w:rPr>
          <w:color w:val="006D74"/>
          <w:sz w:val="15"/>
        </w:rPr>
        <w:t>https://doi.org/10.1111/2041-210X.14016</w:t>
      </w:r>
    </w:p>
    <w:p>
      <w:pPr>
        <w:spacing w:after="40"/>
      </w:pPr>
      <w:r>
        <w:rPr>
          <w:sz w:val="16"/>
        </w:rPr>
        <w:t xml:space="preserve">3. Manafzadeh &amp; Gatesy (2021), six-DOF joint reconstruction, Journal of Anatomy.  </w:t>
      </w:r>
      <w:r>
        <w:rPr>
          <w:color w:val="006D74"/>
          <w:sz w:val="15"/>
        </w:rPr>
        <w:t>https://doi.org/10.1111/joa.13513</w:t>
      </w:r>
    </w:p>
    <w:p>
      <w:pPr>
        <w:spacing w:after="40"/>
      </w:pPr>
      <w:r>
        <w:rPr>
          <w:sz w:val="16"/>
        </w:rPr>
        <w:t xml:space="preserve">4. Bishop &amp; Pierce (2024), erect hindlimb posture and function, Science Advances.  </w:t>
      </w:r>
      <w:r>
        <w:rPr>
          <w:color w:val="006D74"/>
          <w:sz w:val="15"/>
        </w:rPr>
        <w:t>https://doi.org/10.1126/sciadv.adr2722</w:t>
      </w:r>
    </w:p>
    <w:p>
      <w:pPr>
        <w:spacing w:after="40"/>
      </w:pPr>
      <w:r>
        <w:rPr>
          <w:sz w:val="16"/>
        </w:rPr>
        <w:t xml:space="preserve">5. Brocklehurst et al. (2025), joint shape and function through XROMM, JEB.  </w:t>
      </w:r>
      <w:r>
        <w:rPr>
          <w:color w:val="006D74"/>
          <w:sz w:val="15"/>
        </w:rPr>
        <w:t>https://doi.org/10.1242/jeb.249261</w:t>
      </w:r>
    </w:p>
    <w:p>
      <w:pPr>
        <w:spacing w:after="40"/>
      </w:pPr>
      <w:r>
        <w:rPr>
          <w:sz w:val="16"/>
        </w:rPr>
        <w:t xml:space="preserve">6. Asadi &amp; Laksari (2026), noise-aware constitutive compatibility atlas, bioRxiv preprint.  </w:t>
      </w:r>
      <w:r>
        <w:rPr>
          <w:color w:val="006D74"/>
          <w:sz w:val="15"/>
        </w:rPr>
        <w:t>https://doi.org/10.64898/2026.10.12.758616</w:t>
      </w:r>
    </w:p>
    <w:sectPr w:rsidR="00FC693F" w:rsidRPr="0006063C" w:rsidSect="00034616">
      <w:footerReference w:type="default" r:id="rId9"/>
      <w:pgSz w:w="12240" w:h="15840"/>
      <w:pgMar w:top="778" w:right="1123" w:bottom="76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62" w:lineRule="auto"/>
    </w:pPr>
    <w:rPr>
      <w:rFonts w:ascii="Aptos" w:hAnsi="Aptos"/>
      <w:color w:val="1B304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