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D74"/>
          <w:sz w:val="16"/>
        </w:rPr>
        <w:t>PROPOSED DIRECTION A · EXTANT-VALIDATED FOSSIL RECONSTRUCTION</w:t>
      </w:r>
    </w:p>
    <w:p>
      <w:pPr>
        <w:pStyle w:val="Title"/>
      </w:pPr>
      <w:r>
        <w:t>Which Muscles Can Fossil Bones Actually Predict?</w:t>
      </w:r>
    </w:p>
    <w:p>
      <w:pPr>
        <w:pStyle w:val="Subtitle"/>
        <w:spacing w:after="240"/>
      </w:pPr>
      <w:r>
        <w:t>A phylogenetically informed, mechanics-constrained compatibility atlas for reconstructing the missing musculature of extinct synapsids</w:t>
      </w:r>
    </w:p>
    <w:p>
      <w:pPr>
        <w:pStyle w:val="Heading1"/>
      </w:pPr>
      <w:r>
        <w:t>Evolutionary question</w:t>
      </w:r>
    </w:p>
    <w:p>
      <w:r>
        <w:t>The fossil record preserves much of the skeleton but little direct evidence of muscle volumes, three-dimensional paths or architecture. Which aspects of an extinct animal’s musculoskeletal anatomy are actually identifiable from fossil-observable skeletal features, and which remain irreducibly ambiguous even after phylogenetic and physical constraints are applied? The evolutionary payoff is a defensible account of when reconstructed muscle changes along the synapsid–mammal transition represent evidence rather than prior assumptions.</w:t>
      </w:r>
    </w:p>
    <w:p>
      <w:pPr>
        <w:pStyle w:val="Heading1"/>
      </w:pPr>
      <w:r>
        <w:t>Why this is not already done</w:t>
      </w:r>
    </w:p>
    <w:p>
      <w:r>
        <w:t>Bishop and Pierce have already reconstructed appendicular muscle homologies, origins and insertions across extinct synapsids (2024, 2026). Demuth and colleagues (2022) already reconstruct 3D muscle volume and lines of action, while extant phylogenetic bracketing and anatomical sensitivity analysis are established. Thus neither “rebuilding fossil muscles” nor adding a physics constraint is the new claim. The candidate advance is calibrated, set-valued recovery of missing muscle geometry from fossil-visible evidence, evaluated against genuinely hidden soft-tissue ground truth and against those strong baselines.</w:t>
      </w:r>
    </w:p>
    <w:p>
      <w:pPr>
        <w:pStyle w:val="Heading1"/>
      </w:pPr>
      <w:r>
        <w:t>Falsifiable hypothesis and alternatives</w:t>
      </w:r>
    </w:p>
    <w:p>
      <w:r>
        <w:t>A phylogenetically constrained conditional distribution over homologous muscle paths, volumes and attachment extent can predict extant held-out muscular anatomy with calibrated coverage. Physical constraints may improve anatomical and functional inference beyond skeletal scaling and manual reconstruction—but only for subsets of muscles and preservation conditions with sufficient evidence.</w:t>
      </w:r>
    </w:p>
    <w:p>
      <w:pPr>
        <w:ind w:left="202" w:hanging="202"/>
      </w:pPr>
      <w:r>
        <w:rPr>
          <w:b/>
          <w:color w:val="006D74"/>
        </w:rPr>
        <w:t xml:space="preserve">• Null A — non-identifiability.  </w:t>
      </w:r>
      <w:r>
        <w:t>After body-size, relatedness and attachment morphology are accounted for, observed bones contain too little additional information to narrow muscle-volume or path intervals.</w:t>
      </w:r>
    </w:p>
    <w:p>
      <w:pPr>
        <w:ind w:left="202" w:hanging="202"/>
      </w:pPr>
      <w:r>
        <w:rPr>
          <w:b/>
          <w:color w:val="006D74"/>
        </w:rPr>
        <w:t xml:space="preserve">• Null B — no mechanical gain.  </w:t>
      </w:r>
      <w:r>
        <w:t>Packing and path feasibility reject implausible extreme models but do not improve out-of-taxon predictions relative to a well-built anatomical bracket.</w:t>
      </w:r>
    </w:p>
    <w:p>
      <w:pPr>
        <w:ind w:left="202" w:hanging="202"/>
      </w:pPr>
      <w:r>
        <w:rPr>
          <w:b/>
          <w:color w:val="006D74"/>
        </w:rPr>
        <w:t xml:space="preserve">• Null C — phylogenetic leakage.  </w:t>
      </w:r>
      <w:r>
        <w:t>A model appearing accurate on random specimen splits collapses when an entire lineage is excluded.</w:t>
      </w:r>
    </w:p>
    <w:p>
      <w:pPr>
        <w:pStyle w:val="Heading1"/>
      </w:pPr>
      <w:r>
        <w:t>Research aims and decisive tests</w:t>
      </w:r>
    </w:p>
    <w:p>
      <w:pPr>
        <w:pStyle w:val="Heading2"/>
      </w:pPr>
      <w:r>
        <w:t>Aim 1 | Quantify what bone-only evidence can recover.</w:t>
      </w:r>
    </w:p>
    <w:p>
      <w:r>
        <w:t>Assemble an extant reference with registered bone CT or surface geometry, homologized appendicular muscle imaging/dissection, measured mass/volumes, and attachment observations. Define a “fossil mask”: skeletal evidence, preservation class, estimated body size and phylogenetic relationships only. Hide muscle volumes and three-dimensional paths before training or reconstruction. Predict full conditional ranges, not one polished anatomical rendering.</w:t>
      </w:r>
    </w:p>
    <w:p>
      <w:pPr>
        <w:pStyle w:val="Heading2"/>
      </w:pPr>
      <w:r>
        <w:t>Aim 2 | Enforce biological compatibility without inventing tissue.</w:t>
      </w:r>
    </w:p>
    <w:p>
      <w:r>
        <w:t>Generate a candidate set using homologous muscle identities, attachment-region priors, scaled space occupancy and extant species variation. Reject bone penetration, impossible connective paths and severe muscle overlap; penalize violated length-change and wrapping requirements over specified joint poses. Permit variable tendon routing and multiple valid anatomical solutions. Muscular activation, fiber type, force–length properties and physiological cross-sectional area cannot be read from the skeleton and remain uncertain parameters.</w:t>
      </w:r>
    </w:p>
    <w:p>
      <w:pPr>
        <w:pStyle w:val="Heading2"/>
      </w:pPr>
      <w:r>
        <w:t>Aim 3 | Test whether uncertainty alters fossil evolutionary interpretation.</w:t>
      </w:r>
    </w:p>
    <w:p>
      <w:r>
        <w:t>Use published Bishop–Pierce synapsid attachment reconstructions as paleontological priors; reconstruct distributions of muscle paths/volumes for one bounded forelimb region and one or two fossil exemplars selected for phylogenetic contrast and preservation quality. Propagate candidate anatomies into moment-arm and torque-potential distributions, and identify which claimed evolutionary contrasts are robust versus reconstruction-dependent. No extinct ground truth is asserted.</w:t>
      </w:r>
    </w:p>
    <w:p>
      <w:pPr>
        <w:pStyle w:val="Heading1"/>
      </w:pPr>
      <w:r>
        <w:t>Experimental/computational design</w:t>
      </w:r>
    </w:p>
    <w:p>
      <w:pPr>
        <w:ind w:left="202" w:hanging="202"/>
      </w:pPr>
      <w:r>
        <w:rPr>
          <w:b/>
          <w:color w:val="006D74"/>
        </w:rPr>
        <w:t xml:space="preserve">• Primary endpoint.  </w:t>
      </w:r>
      <w:r>
        <w:t>Species-held-out calibration and error for individual muscle 3D volume, path geometry, attachment extent and uncertainty intervals; report separately by muscle and inferred osteological evidence tier.</w:t>
      </w:r>
    </w:p>
    <w:p>
      <w:pPr>
        <w:ind w:left="202" w:hanging="202"/>
      </w:pPr>
      <w:r>
        <w:rPr>
          <w:b/>
          <w:color w:val="006D74"/>
        </w:rPr>
        <w:t xml:space="preserve">• Controls.  </w:t>
      </w:r>
      <w:r>
        <w:t>Extant phylogenetic bracket/manual polygonal reconstruction; bone-size/shape allometry; unconstrained probabilistic atlas; mechanically constrained atlas; single best-fit reconstruction.</w:t>
      </w:r>
    </w:p>
    <w:p>
      <w:pPr>
        <w:ind w:left="202" w:hanging="202"/>
      </w:pPr>
      <w:r>
        <w:rPr>
          <w:b/>
          <w:color w:val="006D74"/>
        </w:rPr>
        <w:t xml:space="preserve">• Prevent target leakage.  </w:t>
      </w:r>
      <w:r>
        <w:t>Phylogenetic branch held out before atlas fitting; no dissection-derived attachment detail passed to the model when invisible in fossils; stratify by skeletal preservation quality.</w:t>
      </w:r>
    </w:p>
    <w:p>
      <w:pPr>
        <w:ind w:left="202" w:hanging="202"/>
      </w:pPr>
      <w:r>
        <w:rPr>
          <w:b/>
          <w:color w:val="006D74"/>
        </w:rPr>
        <w:t xml:space="preserve">• Optional functional endpoint.  </w:t>
      </w:r>
      <w:r>
        <w:t>Moment-arm direction and magnitude vs intact extant specimen measurements, with uncertainty coverage—not assumed maximum muscle force from bone scars.</w:t>
      </w:r>
    </w:p>
    <w:p>
      <w:pPr>
        <w:pStyle w:val="Heading1"/>
      </w:pPr>
      <w:r>
        <w:t>Decision criteria and scientifically useful failure</w:t>
      </w:r>
    </w:p>
    <w:p>
      <w:pPr>
        <w:ind w:left="202" w:hanging="202"/>
      </w:pPr>
      <w:r>
        <w:rPr>
          <w:b/>
          <w:color w:val="006D74"/>
        </w:rPr>
        <w:t xml:space="preserve">• Go.  </w:t>
      </w:r>
      <w:r>
        <w:t>Held-out muscle intervals demonstrate defensible coverage and are sharper than bracket-only predictions without excess failures; constraints improve an independent anatomical or functional endpoint.</w:t>
      </w:r>
    </w:p>
    <w:p>
      <w:pPr>
        <w:ind w:left="202" w:hanging="202"/>
      </w:pPr>
      <w:r>
        <w:rPr>
          <w:b/>
          <w:color w:val="006D74"/>
        </w:rPr>
        <w:t xml:space="preserve">• No-go.  </w:t>
      </w:r>
      <w:r>
        <w:t>A wide set remains after constraints or lineage-held-out error is poor. Report an explicit information-limit map and anatomical features worth measuring; do not present precision that the fossil record cannot support.</w:t>
      </w:r>
    </w:p>
    <w:p>
      <w:pPr>
        <w:ind w:left="202" w:hanging="202"/>
      </w:pPr>
      <w:r>
        <w:rPr>
          <w:b/>
          <w:color w:val="006D74"/>
        </w:rPr>
        <w:t xml:space="preserve">• Paleontological interpretation.  </w:t>
      </w:r>
      <w:r>
        <w:t>Use the full posterior/compatibility set: fossil reconstruction probability reflects assumptions and priors, not a directly measured evolutionary state.</w:t>
      </w:r>
    </w:p>
    <w:p>
      <w:pPr>
        <w:pStyle w:val="Heading1"/>
      </w:pPr>
      <w:r>
        <w:t>Immediate pilot, dependencies, and route to fossils</w:t>
      </w:r>
    </w:p>
    <w:p>
      <w:r>
        <w:t>Immediately reproducible groundwork: use the Demuth et al. (2022) openly archived muscle reconstructions and analysis resources for a workflow and uncertainty audit, recognizing they are not a balanced multi-clade training cohort. Seek additional registered CT/diceCT/dissection data across extant mammal–reptile lineages from museum or collaborator collections; availability and rights require confirmation. The first validation study must stop at a defined joint region (e.g., shoulder/elbow muscles), not promise whole-body tissue reconstruction. The later atlas could expand to tendons and joint capsules only with appropriate ground truth.</w:t>
      </w:r>
    </w:p>
    <w:p>
      <w:pPr>
        <w:pStyle w:val="Heading1"/>
      </w:pPr>
      <w:r>
        <w:t>Why this collaboration is complementary</w:t>
      </w:r>
    </w:p>
    <w:p>
      <w:r>
        <w:t>Pierce/Bishop provide muscle homology, fossil evidence interpretation, extant phylogenetic sampling, and synapsid reconstructions; the computational-mechanics contribution is controlled identifiability analysis, inverse geometric reconstruction, physical compatibility and honest uncertainty propagation. The project extends rather than restates the lab’s existing fossil-muscle literature.</w:t>
      </w:r>
    </w:p>
    <w:p>
      <w:pPr>
        <w:pStyle w:val="Heading1"/>
      </w:pPr>
      <w:r>
        <w:t>Selected evidence and methodological precedents</w:t>
      </w:r>
    </w:p>
    <w:p>
      <w:pPr>
        <w:spacing w:after="40"/>
      </w:pPr>
      <w:r>
        <w:rPr>
          <w:sz w:val="16"/>
        </w:rPr>
        <w:t xml:space="preserve">1. Bishop &amp; Pierce (2024), fossil appendicular muscle evolution, Part I (forelimb), Anatomical Record.  </w:t>
      </w:r>
      <w:r>
        <w:rPr>
          <w:color w:val="006D74"/>
          <w:sz w:val="15"/>
        </w:rPr>
        <w:t>https://doi.org/10.1002/ar.25312</w:t>
      </w:r>
    </w:p>
    <w:p>
      <w:pPr>
        <w:spacing w:after="40"/>
      </w:pPr>
      <w:r>
        <w:rPr>
          <w:sz w:val="16"/>
        </w:rPr>
        <w:t xml:space="preserve">2. Bishop &amp; Pierce (2024), fossil appendicular muscle evolution, Part II (hindlimb), Anatomical Record.  </w:t>
      </w:r>
      <w:r>
        <w:rPr>
          <w:color w:val="006D74"/>
          <w:sz w:val="15"/>
        </w:rPr>
        <w:t>https://doi.org/10.1002/ar.25310</w:t>
      </w:r>
    </w:p>
    <w:p>
      <w:pPr>
        <w:spacing w:after="40"/>
      </w:pPr>
      <w:r>
        <w:rPr>
          <w:sz w:val="16"/>
        </w:rPr>
        <w:t xml:space="preserve">3. Bishop &amp; Pierce (2026), Reconstructions of Forelimb Musculature in Extinct Pre-Therian Synapsids.  </w:t>
      </w:r>
      <w:r>
        <w:rPr>
          <w:color w:val="006D74"/>
          <w:sz w:val="15"/>
        </w:rPr>
        <w:t>https://doi.org/10.3099/MCZ85.1</w:t>
      </w:r>
    </w:p>
    <w:p>
      <w:pPr>
        <w:spacing w:after="40"/>
      </w:pPr>
      <w:r>
        <w:rPr>
          <w:sz w:val="16"/>
        </w:rPr>
        <w:t xml:space="preserve">4. Demuth et al. (2022), 3D polygonal muscle modelling, Scientific Reports; public models/code.  </w:t>
      </w:r>
      <w:r>
        <w:rPr>
          <w:color w:val="006D74"/>
          <w:sz w:val="15"/>
        </w:rPr>
        <w:t>https://doi.org/10.1038/s41598-022-07074-x</w:t>
      </w:r>
    </w:p>
    <w:p>
      <w:pPr>
        <w:spacing w:after="40"/>
      </w:pPr>
      <w:r>
        <w:rPr>
          <w:sz w:val="16"/>
        </w:rPr>
        <w:t xml:space="preserve">5. Bishop &amp; Pierce (2024), Late acquisition of erect hindlimb function in synapsids, Science Advances.  </w:t>
      </w:r>
      <w:r>
        <w:rPr>
          <w:color w:val="006D74"/>
          <w:sz w:val="15"/>
        </w:rPr>
        <w:t>https://doi.org/10.1126/sciadv.adr2722</w:t>
      </w:r>
    </w:p>
    <w:p>
      <w:pPr>
        <w:spacing w:after="40"/>
      </w:pPr>
      <w:r>
        <w:rPr>
          <w:sz w:val="16"/>
        </w:rPr>
        <w:t xml:space="preserve">6. Hutchinson et al. (2023), modern 3D locomotor biomechanics in tetrapods, JEB.  </w:t>
      </w:r>
      <w:r>
        <w:rPr>
          <w:color w:val="006D74"/>
          <w:sz w:val="15"/>
        </w:rPr>
        <w:t>https://doi.org/10.1242/jeb.245132</w:t>
      </w:r>
    </w:p>
    <w:sectPr w:rsidR="00FC693F" w:rsidRPr="0006063C" w:rsidSect="00034616">
      <w:footerReference w:type="default" r:id="rId9"/>
      <w:pgSz w:w="12240" w:h="15840"/>
      <w:pgMar w:top="778" w:right="1123" w:bottom="76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6F"/>
        <w:sz w:val="15"/>
      </w:rPr>
      <w:t xml:space="preserve">RESEARCH CONCEPT  •  OCT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62" w:lineRule="auto"/>
    </w:pPr>
    <w:rPr>
      <w:rFonts w:ascii="Aptos" w:hAnsi="Aptos"/>
      <w:color w:val="1B30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006D74"/>
      <w:sz w:val="21"/>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1B3042"/>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B30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