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6D74"/>
          <w:sz w:val="16"/>
        </w:rPr>
        <w:t>PROPOSED DIRECTION B · FOSSIL LOCOMOTOR FUNCTION</w:t>
      </w:r>
    </w:p>
    <w:p>
      <w:pPr>
        <w:pStyle w:val="Title"/>
      </w:pPr>
      <w:r>
        <w:t>When Does Missing Soft Tissue Change an Evolutionary Conclusion?</w:t>
      </w:r>
    </w:p>
    <w:p>
      <w:pPr>
        <w:pStyle w:val="Subtitle"/>
        <w:spacing w:after="240"/>
      </w:pPr>
      <w:r>
        <w:t>Extant-validated, compatibility-set inference of joint function across the synapsid–mammal transition</w:t>
      </w:r>
    </w:p>
    <w:p>
      <w:pPr>
        <w:pStyle w:val="Heading1"/>
      </w:pPr>
      <w:r>
        <w:t>Evolutionary question</w:t>
      </w:r>
    </w:p>
    <w:p>
      <w:r>
        <w:t>Pierce’s group has shown that fossil synapsids underwent complex, nonlinear changes in hindlimb locomotor function. But does that comparative narrative remain robust across anatomically and constitutively plausible lost soft tissues? The evolutionary target is not a new joint animation: it is identifying which contrasts in functional capacity are recoverable from the fossil evidence and which depend on untestable muscular or capsular assumptions.</w:t>
      </w:r>
    </w:p>
    <w:p>
      <w:pPr>
        <w:pStyle w:val="Heading1"/>
      </w:pPr>
      <w:r>
        <w:t>Why this is not already done</w:t>
      </w:r>
    </w:p>
    <w:p>
      <w:r>
        <w:t>APSE already samples six-dimensional joint mobility efficiently (Bishop et al., 2023). Manafzadeh and Gatesy (2021) established that joint translations matter. Wright and Pierce (2026) measured layer-specific, species-dependent tissue constraints with XROMM; Bishop and Pierce (2024) reconstructed force-generating performance in synapsids. These works preclude claiming novelty for simply adding soft tissues or another uncertain material model. The research gap is independent, held-out quantification of whether tissue-response compatibility sets materially change the robustness of comparative locomotor conclusions.</w:t>
      </w:r>
    </w:p>
    <w:p>
      <w:pPr>
        <w:pStyle w:val="Heading1"/>
      </w:pPr>
      <w:r>
        <w:t>Falsifiable hypothesis and alternatives</w:t>
      </w:r>
    </w:p>
    <w:p>
      <w:r>
        <w:t>Multiple tissue anatomies and constitutive responses can remain compatible with extant evidence yet imply meaningfully different passive feasible-pose spaces and selected loading-dependent functional predictions. A calibrated set-valued analysis will identify fossil functional contrasts that are robust to those alternatives—and reveal when conventional point estimates overstate evidence.</w:t>
      </w:r>
    </w:p>
    <w:p>
      <w:pPr>
        <w:ind w:left="202" w:hanging="202"/>
      </w:pPr>
      <w:r>
        <w:rPr>
          <w:b/>
          <w:color w:val="006D74"/>
        </w:rPr>
        <w:t xml:space="preserve">• Null A — material irrelevance.  </w:t>
      </w:r>
      <w:r>
        <w:t>Uncertain slack lengths, insertions and cartilage geometry dominate the result; material-family ambiguity adds no predictive value.</w:t>
      </w:r>
    </w:p>
    <w:p>
      <w:pPr>
        <w:ind w:left="202" w:hanging="202"/>
      </w:pPr>
      <w:r>
        <w:rPr>
          <w:b/>
          <w:color w:val="006D74"/>
        </w:rPr>
        <w:t xml:space="preserve">• Null B — evolutionary robustness.  </w:t>
      </w:r>
      <w:r>
        <w:t>The published between-taxon functional ranking survives every defensible tissue prior, so more complex uncertainty propagation changes confidence rather than the biological conclusion.</w:t>
      </w:r>
    </w:p>
    <w:p>
      <w:pPr>
        <w:ind w:left="202" w:hanging="202"/>
      </w:pPr>
      <w:r>
        <w:rPr>
          <w:b/>
          <w:color w:val="006D74"/>
        </w:rPr>
        <w:t xml:space="preserve">• Null C — poor transfer.  </w:t>
      </w:r>
      <w:r>
        <w:t>Living-species models fitted to one posture or tissue-removal stage cannot predict other experimentally observed stages.</w:t>
      </w:r>
    </w:p>
    <w:p>
      <w:pPr>
        <w:pStyle w:val="Heading1"/>
      </w:pPr>
      <w:r>
        <w:t>Research aims and decisive tests</w:t>
      </w:r>
    </w:p>
    <w:p>
      <w:pPr>
        <w:pStyle w:val="Heading2"/>
      </w:pPr>
      <w:r>
        <w:t>Aim 1 | Identify tissue constraints using extant experimental contrasts.</w:t>
      </w:r>
    </w:p>
    <w:p>
      <w:r>
        <w:t>For a tegu–opossum pilot, use documented intact and sequential tissue-removal hip mobility/XROMM observations with explicit specimen, load and registration information where accessible. Model bone surfaces, cartilage/contact uncertainty, tissue origin–insertion paths, slack length and directional constitutive behavior. Calibration uses a designated subset of specimens, tissue layers or loading conditions; other conditions remain strictly held out. Where only a published envelope is accessible, conduct a transparent methodological pilot rather than claim specimen-level validation.</w:t>
      </w:r>
    </w:p>
    <w:p>
      <w:pPr>
        <w:pStyle w:val="Heading2"/>
      </w:pPr>
      <w:r>
        <w:t>Aim 2 | Estimate identifiability and discriminating experiments.</w:t>
      </w:r>
    </w:p>
    <w:p>
      <w:r>
        <w:t>Represent a response compatibility set conditional on external testing evidence, not a family classification treated as ground truth. Distinguish geometric 6-DOF pose viability, passive load-achievable motion, muscle-generated torques, and observed in vivo gait. Perform variance/identifiability analysis over attachment geometry, initial strain, constitutive response, cartilage and loads. Use experimental-design criteria to identify a realistic added tissue test or motion condition with maximum power to distinguish evolutionary alternatives.</w:t>
      </w:r>
    </w:p>
    <w:p>
      <w:pPr>
        <w:pStyle w:val="Heading2"/>
      </w:pPr>
      <w:r>
        <w:t>Aim 3 | Reassess one bounded fossil inference.</w:t>
      </w:r>
    </w:p>
    <w:p>
      <w:r>
        <w:t>For a small selection of synapsid hip models from published comparative studies, propagate the extant-calibrated uncertainty structure, with phylogenetic and preservation-informed priors. Test a preselected evolutionary claim—for example the robustness of a comparison in passive pose availability or torque capacity across an inferred postural transition. Report if the comparison is robust, unresolved, or changes sign under plausible missing-tissue states. A two-taxon test does not establish a phylogenetic transition by itself.</w:t>
      </w:r>
    </w:p>
    <w:p>
      <w:pPr>
        <w:pStyle w:val="Heading1"/>
      </w:pPr>
      <w:r>
        <w:t>Experimental/computational design</w:t>
      </w:r>
    </w:p>
    <w:p>
      <w:pPr>
        <w:ind w:left="202" w:hanging="202"/>
      </w:pPr>
      <w:r>
        <w:rPr>
          <w:b/>
          <w:color w:val="006D74"/>
        </w:rPr>
        <w:t xml:space="preserve">• Baseline ladder.  </w:t>
      </w:r>
      <w:r>
        <w:t>Bone-only joint search; point-estimate soft tissues; Monte Carlo parameter uncertainty within one family; anatomically uncertain but fixed-family models; full response-set + anatomical-uncertainty propagation.</w:t>
      </w:r>
    </w:p>
    <w:p>
      <w:pPr>
        <w:ind w:left="202" w:hanging="202"/>
      </w:pPr>
      <w:r>
        <w:rPr>
          <w:b/>
          <w:color w:val="006D74"/>
        </w:rPr>
        <w:t xml:space="preserve">• Primary metrics.  </w:t>
      </w:r>
      <w:r>
        <w:t>Held-out pose-space coverage, false exclusion of observed poses, viable-volume calibration, uncertainty width, standardized predicted load–pose curves and stability/contact violations.</w:t>
      </w:r>
    </w:p>
    <w:p>
      <w:pPr>
        <w:ind w:left="202" w:hanging="202"/>
      </w:pPr>
      <w:r>
        <w:rPr>
          <w:b/>
          <w:color w:val="006D74"/>
        </w:rPr>
        <w:t xml:space="preserve">• Evolutionary endpoint.  </w:t>
      </w:r>
      <w:r>
        <w:t>Predeclare the comparative effect statistic and its direction; perform sensitivity to body size, sampling, osteological preservation and extant phylogenetic priors.</w:t>
      </w:r>
    </w:p>
    <w:p>
      <w:pPr>
        <w:ind w:left="202" w:hanging="202"/>
      </w:pPr>
      <w:r>
        <w:rPr>
          <w:b/>
          <w:color w:val="006D74"/>
        </w:rPr>
        <w:t xml:space="preserve">• Model adequacy.  </w:t>
      </w:r>
      <w:r>
        <w:t>Original seven isotropic hyperelastic families are only a starting baseline; directional recruitment, active muscle tension and rate effects are added only if measured data require them.</w:t>
      </w:r>
    </w:p>
    <w:p>
      <w:pPr>
        <w:pStyle w:val="Heading1"/>
      </w:pPr>
      <w:r>
        <w:t>Decision criteria and scientifically useful failure</w:t>
      </w:r>
    </w:p>
    <w:p>
      <w:pPr>
        <w:ind w:left="202" w:hanging="202"/>
      </w:pPr>
      <w:r>
        <w:rPr>
          <w:b/>
          <w:color w:val="006D74"/>
        </w:rPr>
        <w:t xml:space="preserve">• Go.  </w:t>
      </w:r>
      <w:r>
        <w:t>Set-valued predictions improve calibrated held-out pose inclusion or reveal a demonstrably different supported evolutionary interpretation relative to strong baselines.</w:t>
      </w:r>
    </w:p>
    <w:p>
      <w:pPr>
        <w:ind w:left="202" w:hanging="202"/>
      </w:pPr>
      <w:r>
        <w:rPr>
          <w:b/>
          <w:color w:val="006D74"/>
        </w:rPr>
        <w:t xml:space="preserve">• No-go.  </w:t>
      </w:r>
      <w:r>
        <w:t>No improvement beyond anatomical or parameter uncertainty; report conditions under which material detail cannot be inferred or does not matter to comparative function.</w:t>
      </w:r>
    </w:p>
    <w:p>
      <w:pPr>
        <w:ind w:left="202" w:hanging="202"/>
      </w:pPr>
      <w:r>
        <w:rPr>
          <w:b/>
          <w:color w:val="006D74"/>
        </w:rPr>
        <w:t xml:space="preserve">• Uncertainty honesty.  </w:t>
      </w:r>
      <w:r>
        <w:t>Avoid “full movement reconstructed” from passive tests. Separate admissible movements under specified external loading from locomotion actually used.</w:t>
      </w:r>
    </w:p>
    <w:p>
      <w:pPr>
        <w:pStyle w:val="Heading1"/>
      </w:pPr>
      <w:r>
        <w:t>Immediate pilot, dependencies, and route to fossils</w:t>
      </w:r>
    </w:p>
    <w:p>
      <w:r>
        <w:t>Stage 1: reproduce APSE bone-only and published tegu/opossum mobility comparisons from reported geometry or accessible datasets. Stage 2: request specimen-resolved layered-XROMM and material-test access; preregister held-out tissue layers or loading modes if available. Stage 3: only after stage-2 success propagate constraints into a selected, already documented fossil synapsid comparison. Direction A supplies muscle-anatomy uncertainty if developed; Direction B can start independently using published anatomical priors.</w:t>
      </w:r>
    </w:p>
    <w:p>
      <w:pPr>
        <w:pStyle w:val="Heading1"/>
      </w:pPr>
      <w:r>
        <w:t>Why this collaboration is complementary</w:t>
      </w:r>
    </w:p>
    <w:p>
      <w:r>
        <w:t>Pierce contributes the primary evolutionary contrast and comparative XROMM/anatomical framework; Bishop/APSE provides tested pose-search methods. The new mechanics contribution is response-set identifiability, staged forward-model validation and tests of what the fossil record can actually justify. This directly evaluates, rather than implicitly contests, the group’s earlier functional reconstructions.</w:t>
      </w:r>
    </w:p>
    <w:p>
      <w:pPr>
        <w:pStyle w:val="Heading1"/>
      </w:pPr>
      <w:r>
        <w:t>Selected evidence and methodological precedents</w:t>
      </w:r>
    </w:p>
    <w:p>
      <w:pPr>
        <w:spacing w:after="40"/>
      </w:pPr>
      <w:r>
        <w:rPr>
          <w:sz w:val="16"/>
        </w:rPr>
        <w:t xml:space="preserve">1. Wright &amp; Pierce (2026), soft-tissue constraints on hip joint mobility in tegu and opossum, JEB.  </w:t>
      </w:r>
      <w:r>
        <w:rPr>
          <w:color w:val="006D74"/>
          <w:sz w:val="15"/>
        </w:rPr>
        <w:t>https://doi.org/10.1242/jeb.251911</w:t>
      </w:r>
    </w:p>
    <w:p>
      <w:pPr>
        <w:spacing w:after="40"/>
      </w:pPr>
      <w:r>
        <w:rPr>
          <w:sz w:val="16"/>
        </w:rPr>
        <w:t xml:space="preserve">2. Bishop et al. (2023), APSE high-dimensional joint pose search, Methods Ecol Evol.  </w:t>
      </w:r>
      <w:r>
        <w:rPr>
          <w:color w:val="006D74"/>
          <w:sz w:val="15"/>
        </w:rPr>
        <w:t>https://doi.org/10.1111/2041-210X.14016</w:t>
      </w:r>
    </w:p>
    <w:p>
      <w:pPr>
        <w:spacing w:after="40"/>
      </w:pPr>
      <w:r>
        <w:rPr>
          <w:sz w:val="16"/>
        </w:rPr>
        <w:t xml:space="preserve">3. Manafzadeh &amp; Gatesy (2021), six-DOF joint reconstruction, Journal of Anatomy.  </w:t>
      </w:r>
      <w:r>
        <w:rPr>
          <w:color w:val="006D74"/>
          <w:sz w:val="15"/>
        </w:rPr>
        <w:t>https://doi.org/10.1111/joa.13513</w:t>
      </w:r>
    </w:p>
    <w:p>
      <w:pPr>
        <w:spacing w:after="40"/>
      </w:pPr>
      <w:r>
        <w:rPr>
          <w:sz w:val="16"/>
        </w:rPr>
        <w:t xml:space="preserve">4. Bishop &amp; Pierce (2024), erect hindlimb posture and function, Science Advances.  </w:t>
      </w:r>
      <w:r>
        <w:rPr>
          <w:color w:val="006D74"/>
          <w:sz w:val="15"/>
        </w:rPr>
        <w:t>https://doi.org/10.1126/sciadv.adr2722</w:t>
      </w:r>
    </w:p>
    <w:p>
      <w:pPr>
        <w:spacing w:after="40"/>
      </w:pPr>
      <w:r>
        <w:rPr>
          <w:sz w:val="16"/>
        </w:rPr>
        <w:t xml:space="preserve">5. Brocklehurst et al. (2025), joint shape and function through XROMM, JEB.  </w:t>
      </w:r>
      <w:r>
        <w:rPr>
          <w:color w:val="006D74"/>
          <w:sz w:val="15"/>
        </w:rPr>
        <w:t>https://doi.org/10.1242/jeb.249261</w:t>
      </w:r>
    </w:p>
    <w:p>
      <w:pPr>
        <w:spacing w:after="40"/>
      </w:pPr>
      <w:r>
        <w:rPr>
          <w:sz w:val="16"/>
        </w:rPr>
        <w:t xml:space="preserve">6. Asadi &amp; Laksari (2026), noise-aware constitutive compatibility atlas, bioRxiv preprint.  </w:t>
      </w:r>
      <w:r>
        <w:rPr>
          <w:color w:val="006D74"/>
          <w:sz w:val="15"/>
        </w:rPr>
        <w:t>https://doi.org/10.64898/2026.10.12.758616</w:t>
      </w:r>
    </w:p>
    <w:sectPr w:rsidR="00FC693F" w:rsidRPr="0006063C" w:rsidSect="00034616">
      <w:footerReference w:type="default" r:id="rId9"/>
      <w:pgSz w:w="12240" w:h="15840"/>
      <w:pgMar w:top="778" w:right="1123" w:bottom="76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6F"/>
        <w:sz w:val="15"/>
      </w:rPr>
      <w:t xml:space="preserve">RESEARCH CONCEPT  •  OCT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62" w:lineRule="auto"/>
    </w:pPr>
    <w:rPr>
      <w:rFonts w:ascii="Aptos" w:hAnsi="Aptos"/>
      <w:color w:val="1B30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006D74"/>
      <w:sz w:val="21"/>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1B3042"/>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B30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