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PROPOSED DIRECTION C · AXIAL EVOLUTION AND EMERGENT FUNCTION</w:t>
      </w:r>
    </w:p>
    <w:p>
      <w:pPr>
        <w:pStyle w:val="Title"/>
      </w:pPr>
      <w:r>
        <w:t>Did Vertebral Regionalization Change What the Whole Spine Can Do?</w:t>
      </w:r>
    </w:p>
    <w:p>
      <w:pPr>
        <w:pStyle w:val="Subtitle"/>
        <w:spacing w:after="240"/>
      </w:pPr>
      <w:r>
        <w:t>A mechanically coupled, comparative test of vertebral-column function during mammalian evolution</w:t>
      </w:r>
    </w:p>
    <w:p>
      <w:pPr>
        <w:pStyle w:val="Heading1"/>
      </w:pPr>
      <w:r>
        <w:t>Evolutionary question</w:t>
      </w:r>
    </w:p>
    <w:p>
      <w:r>
        <w:t>The synapsid fossil record indicates that vertebral regionalization and functional differentiation did not emerge in lockstep. Did particular arrangements of neighboring vertebral regions create new whole-column load-bearing and movement capabilities even when isolated joints had similar bending limits? Conversely, might local vertebral differences have had little effect on coupled function until other axial structures changed?</w:t>
      </w:r>
    </w:p>
    <w:p>
      <w:pPr>
        <w:pStyle w:val="Heading1"/>
      </w:pPr>
      <w:r>
        <w:t>Why this is not already done</w:t>
      </w:r>
    </w:p>
    <w:p>
      <w:r>
        <w:t>Pierce and colleagues have already reconstructed synapsid axial regionalization, adaptive landscapes, vertebral mobility and joint-level stiffness (Jones et al., 2018, 2020, 2021, 2024). Their 2024 digital bending study varied intervertebral joint assumptions; replotting isolated-joint ROM or adding arbitrary springs is not novel. What remains testable is whether experimentally calibrated coupling through ligaments, ribs, abdominal pressure, axial musculature and load distribution changes whole-column predictions—and inferences about the timing of functional innovation. It must be shown rather than assumed.</w:t>
      </w:r>
    </w:p>
    <w:p>
      <w:pPr>
        <w:pStyle w:val="Heading1"/>
      </w:pPr>
      <w:r>
        <w:t>Falsifiable hypothesis and alternatives</w:t>
      </w:r>
    </w:p>
    <w:p>
      <w:r>
        <w:t>At specified body-scale boundary conditions, the spatial arrangement of regional joints can change distribution of curvature, torsion and internal mechanical demand beyond that predicted from independent-joint ROM alone. These emergent effects will be condition-dependent, testable in intact extant spines, and not automatically interpreted as adaptation or selection.</w:t>
      </w:r>
    </w:p>
    <w:p>
      <w:pPr>
        <w:ind w:left="202" w:hanging="202"/>
      </w:pPr>
      <w:r>
        <w:rPr>
          <w:b/>
          <w:color w:val="006D74"/>
        </w:rPr>
        <w:t xml:space="preserve">• Null A — order invariance.  </w:t>
      </w:r>
      <w:r>
        <w:t>Under constant moment and independent serial bending joints, permuting segment stiffness leaves total compliance unchanged. Any claimed regional-order effect must vanish under this deliberately simple null.</w:t>
      </w:r>
    </w:p>
    <w:p>
      <w:pPr>
        <w:ind w:left="202" w:hanging="202"/>
      </w:pPr>
      <w:r>
        <w:rPr>
          <w:b/>
          <w:color w:val="006D74"/>
        </w:rPr>
        <w:t xml:space="preserve">• Null B — no added explanatory power.  </w:t>
      </w:r>
      <w:r>
        <w:t>Coupled models produce attractive patterns but cannot outperform sums of calibrated segment predictions on extant intact-column experiments.</w:t>
      </w:r>
    </w:p>
    <w:p>
      <w:pPr>
        <w:ind w:left="202" w:hanging="202"/>
      </w:pPr>
      <w:r>
        <w:rPr>
          <w:b/>
          <w:color w:val="006D74"/>
        </w:rPr>
        <w:t xml:space="preserve">• Null C — confounded regionality.  </w:t>
      </w:r>
      <w:r>
        <w:t>Differences reflect size, rib cage, muscle architecture or boundary loading rather than historical ordering of vertebral morphologies.</w:t>
      </w:r>
    </w:p>
    <w:p>
      <w:pPr>
        <w:pStyle w:val="Heading1"/>
      </w:pPr>
      <w:r>
        <w:t>Research aims and decisive tests</w:t>
      </w:r>
    </w:p>
    <w:p>
      <w:pPr>
        <w:pStyle w:val="Heading2"/>
      </w:pPr>
      <w:r>
        <w:t>Aim 1 | Reproduce known vertebral evolutionary results before extending them.</w:t>
      </w:r>
    </w:p>
    <w:p>
      <w:r>
        <w:t>Reanalyze the archived Jones–Angielczyk–Pierce (2024) Dryad dataset of digital bending and morphological outcomes, reproduce reported taxon contrasts and parameter sensitivities, and map quantities that are directly observed versus reconstructed. The archive is joint-level simulated ROM and morphometrics, not experimental measurements of whole-column loading; do not relabel it as such.</w:t>
      </w:r>
    </w:p>
    <w:p>
      <w:pPr>
        <w:pStyle w:val="Heading2"/>
      </w:pPr>
      <w:r>
        <w:t>Aim 2 | Predict and validate whole-column coupling.</w:t>
      </w:r>
    </w:p>
    <w:p>
      <w:r>
        <w:t>Develop a mechanically interpretable reduced-order serial vertebral model with heterogeneous 3D joint stiffness, geometric contact, rib/ligament coupling and relevant trunk loads. Obtain or collaborate to measure whole-column moments, segmental kinematics and where possible muscle or strain signals in an extant comparative sample. Test held-out load directions and species. Establish the simplest admissible model before introducing complex nonlinear constitutive laws.</w:t>
      </w:r>
    </w:p>
    <w:p>
      <w:pPr>
        <w:pStyle w:val="Heading2"/>
      </w:pPr>
      <w:r>
        <w:t>Aim 3 | Evaluate a genuine evolutionary counterfactual.</w:t>
      </w:r>
    </w:p>
    <w:p>
      <w:r>
        <w:t>Compare fossil-informed regional configurations under identical body-size-normalized loading: observed arrangement, permuted order with matched segment stiffness histogram, contiguous-block rearrangements that preserve local autocorrelation, uniform columns and null independent joints. For any functional difference, localize the mechanical interaction that causes it. Apply phylogenetically and allometrically controlled contrasts across sufficiently sampled taxa to ask whether functional changes coincided with reconstructed evolutionary transitions.</w:t>
      </w:r>
    </w:p>
    <w:p>
      <w:pPr>
        <w:pStyle w:val="Heading1"/>
      </w:pPr>
      <w:r>
        <w:t>Experimental/computational design</w:t>
      </w:r>
    </w:p>
    <w:p>
      <w:pPr>
        <w:ind w:left="202" w:hanging="202"/>
      </w:pPr>
      <w:r>
        <w:rPr>
          <w:b/>
          <w:color w:val="006D74"/>
        </w:rPr>
        <w:t xml:space="preserve">• Functional endpoints.  </w:t>
      </w:r>
      <w:r>
        <w:t>Global bending/torsional compliance, distribution of local rotation, load-bearing margin, peak segment stresses, curvature localization, model prediction accuracy against extant observations.</w:t>
      </w:r>
    </w:p>
    <w:p>
      <w:pPr>
        <w:ind w:left="202" w:hanging="202"/>
      </w:pPr>
      <w:r>
        <w:rPr>
          <w:b/>
          <w:color w:val="006D74"/>
        </w:rPr>
        <w:t xml:space="preserve">• Control hierarchy.  </w:t>
      </w:r>
      <w:r>
        <w:t>Uncoupled independent-joint sum with exact analytic invariances → calibrated nearest-neighbor coupling → rib-informed 3D column → soft-tissue sensitivity; prevent comparisons that trivially differ because models received different loads.</w:t>
      </w:r>
    </w:p>
    <w:p>
      <w:pPr>
        <w:ind w:left="202" w:hanging="202"/>
      </w:pPr>
      <w:r>
        <w:rPr>
          <w:b/>
          <w:color w:val="006D74"/>
        </w:rPr>
        <w:t xml:space="preserve">• Comparative controls.  </w:t>
      </w:r>
      <w:r>
        <w:t>Scale by body and vertebral size, preserve actual rib-bearing patterns when biologically plausible, test uncertainty in missing discs/ligaments, use fossil preservation weights and phylogenetic uncertainty.</w:t>
      </w:r>
    </w:p>
    <w:p>
      <w:pPr>
        <w:ind w:left="202" w:hanging="202"/>
      </w:pPr>
      <w:r>
        <w:rPr>
          <w:b/>
          <w:color w:val="006D74"/>
        </w:rPr>
        <w:t xml:space="preserve">• Data boundaries.  </w:t>
      </w:r>
      <w:r>
        <w:t>Dryad 2024 supports a simulation reanalysis immediately. Cross-species intact-column measurements or secured access to raw geometry are separate dependencies.</w:t>
      </w:r>
    </w:p>
    <w:p>
      <w:pPr>
        <w:pStyle w:val="Heading1"/>
      </w:pPr>
      <w:r>
        <w:t>Decision criteria and scientifically useful failure</w:t>
      </w:r>
    </w:p>
    <w:p>
      <w:pPr>
        <w:ind w:left="202" w:hanging="202"/>
      </w:pPr>
      <w:r>
        <w:rPr>
          <w:b/>
          <w:color w:val="006D74"/>
        </w:rPr>
        <w:t xml:space="preserve">• Go.  </w:t>
      </w:r>
      <w:r>
        <w:t>Coupled models make reproducibly better predictions of measured extant whole-column deformation across withheld loading conditions; fossil group effects survive appropriate allometric, soft-tissue and order-shuffle null models.</w:t>
      </w:r>
    </w:p>
    <w:p>
      <w:pPr>
        <w:ind w:left="202" w:hanging="202"/>
      </w:pPr>
      <w:r>
        <w:rPr>
          <w:b/>
          <w:color w:val="006D74"/>
        </w:rPr>
        <w:t xml:space="preserve">• No-go.  </w:t>
      </w:r>
      <w:r>
        <w:t>Coupling does not improve held-out predictions or regional effects vanish under defensible priors. Report a mechanically meaningful negative constraint, not adaptive advantage.</w:t>
      </w:r>
    </w:p>
    <w:p>
      <w:pPr>
        <w:ind w:left="202" w:hanging="202"/>
      </w:pPr>
      <w:r>
        <w:rPr>
          <w:b/>
          <w:color w:val="006D74"/>
        </w:rPr>
        <w:t xml:space="preserve">• Evolutionary claim.  </w:t>
      </w:r>
      <w:r>
        <w:t>A biomechanical performance difference alone is not evidence of fitness benefit, ecological causation or historical selection without additional independent support.</w:t>
      </w:r>
    </w:p>
    <w:p>
      <w:pPr>
        <w:pStyle w:val="Heading1"/>
      </w:pPr>
      <w:r>
        <w:t>Immediate pilot, dependencies, and route to fossils</w:t>
      </w:r>
    </w:p>
    <w:p>
      <w:r>
        <w:t>Month-one computational pilot: reproduce the public 2024 Dryad jointwise-ROM tables and implement a serial-chain benchmark where uniform-moment bending is provably order-invariant. Next: register a prospective extant load/kinematics test with a comparative anatomy collaborator. Only after this validation should nonmammalian synapsid configurations be modeled to test whether a regionalized column confers distinct function beyond shape statistics. The existing gait-based wearable support demonstration is a separate engineering project and should not be used to illustrate the fossil hypothesis.</w:t>
      </w:r>
    </w:p>
    <w:p>
      <w:pPr>
        <w:pStyle w:val="Heading1"/>
      </w:pPr>
      <w:r>
        <w:t>Why this collaboration is complementary</w:t>
      </w:r>
    </w:p>
    <w:p>
      <w:r>
        <w:t>This is a direct extension of Pierce’s axial evolution program, not a new claim to have discovered spinal regionalization. Pierce and comparative anatomy collaborators specify homologous regional landmarks and phylogenetic hypotheses; the computational contribution is mechanical coupling, transparent null models, uncertainty quantification and independent physical validation.</w:t>
      </w:r>
    </w:p>
    <w:p>
      <w:pPr>
        <w:pStyle w:val="Heading1"/>
      </w:pPr>
      <w:r>
        <w:t>Selected evidence and methodological precedents</w:t>
      </w:r>
    </w:p>
    <w:p>
      <w:pPr>
        <w:spacing w:after="40"/>
      </w:pPr>
      <w:r>
        <w:rPr>
          <w:sz w:val="16"/>
        </w:rPr>
        <w:t xml:space="preserve">1. Jones et al. (2018), fossils reveal evolution of the mammalian regionalized spine, Science.  </w:t>
      </w:r>
      <w:r>
        <w:rPr>
          <w:color w:val="006D74"/>
          <w:sz w:val="15"/>
        </w:rPr>
        <w:t>https://doi.org/10.1126/science.aar3126</w:t>
      </w:r>
    </w:p>
    <w:p>
      <w:pPr>
        <w:spacing w:after="40"/>
      </w:pPr>
      <w:r>
        <w:rPr>
          <w:sz w:val="16"/>
        </w:rPr>
        <w:t xml:space="preserve">2. Jones et al. (2020), regionalization predates functional adaptation, Nat Ecol Evol.  </w:t>
      </w:r>
      <w:r>
        <w:rPr>
          <w:color w:val="006D74"/>
          <w:sz w:val="15"/>
        </w:rPr>
        <w:t>https://www.nature.com/articles/s41559-020-1094-9</w:t>
      </w:r>
    </w:p>
    <w:p>
      <w:pPr>
        <w:spacing w:after="40"/>
      </w:pPr>
      <w:r>
        <w:rPr>
          <w:sz w:val="16"/>
        </w:rPr>
        <w:t xml:space="preserve">3. Jones et al. (2021), adaptive landscapes challenge the lateral-to-sagittal paradigm, Current Biology.  </w:t>
      </w:r>
      <w:r>
        <w:rPr>
          <w:color w:val="006D74"/>
          <w:sz w:val="15"/>
        </w:rPr>
        <w:t>https://doi.org/10.1016/j.cub.2021.02.009</w:t>
      </w:r>
    </w:p>
    <w:p>
      <w:pPr>
        <w:spacing w:after="40"/>
      </w:pPr>
      <w:r>
        <w:rPr>
          <w:sz w:val="16"/>
        </w:rPr>
        <w:t xml:space="preserve">4. Jones et al. (2024), origins of mammalian vertebral function, Proc R Soc B.  </w:t>
      </w:r>
      <w:r>
        <w:rPr>
          <w:color w:val="006D74"/>
          <w:sz w:val="15"/>
        </w:rPr>
        <w:t>https://doi.org/10.1098/rspb.2024.0820</w:t>
      </w:r>
    </w:p>
    <w:p>
      <w:pPr>
        <w:spacing w:after="40"/>
      </w:pPr>
      <w:r>
        <w:rPr>
          <w:sz w:val="16"/>
        </w:rPr>
        <w:t xml:space="preserve">5. Jones et al. (2024), archived digital bending data, Dryad.  </w:t>
      </w:r>
      <w:r>
        <w:rPr>
          <w:color w:val="006D74"/>
          <w:sz w:val="15"/>
        </w:rPr>
        <w:t>https://doi.org/10.5061/dryad.2547d7wx9</w:t>
      </w:r>
    </w:p>
    <w:p>
      <w:pPr>
        <w:spacing w:after="40"/>
      </w:pPr>
      <w:r>
        <w:rPr>
          <w:sz w:val="16"/>
        </w:rPr>
        <w:t xml:space="preserve">6. Pierce laboratory, evolution of the mammalian vertebral column research program.  </w:t>
      </w:r>
      <w:r>
        <w:rPr>
          <w:color w:val="006D74"/>
          <w:sz w:val="15"/>
        </w:rPr>
        <w:t>https://stephaniepiercelab.oeb.harvard.edu/research</w:t>
      </w:r>
    </w:p>
    <w:sectPr w:rsidR="00FC693F" w:rsidRPr="0006063C" w:rsidSect="00034616">
      <w:footerReference w:type="default" r:id="rId9"/>
      <w:pgSz w:w="12240" w:h="15840"/>
      <w:pgMar w:top="778" w:right="1123" w:bottom="76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62" w:lineRule="auto"/>
    </w:pPr>
    <w:rPr>
      <w:rFonts w:ascii="Aptos" w:hAnsi="Aptos"/>
      <w:color w:val="1B304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