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color w:val="1F707E"/>
          <w:sz w:val="16"/>
        </w:rPr>
        <w:t>RESEARCH DIRECTION 1  /  REFEREE-STYLE REVISED CONCEPT  /  OCTOBER 2026</w:t>
      </w:r>
    </w:p>
    <w:p>
      <w:pPr>
        <w:pStyle w:val="Title"/>
        <w:spacing w:after="40"/>
      </w:pPr>
      <w:r>
        <w:t>The Evolution of Joint Mobility</w:t>
      </w:r>
    </w:p>
    <w:p>
      <w:r>
        <w:rPr>
          <w:b/>
          <w:color w:val="125364"/>
          <w:sz w:val="22"/>
        </w:rPr>
        <w:t>Can soft-tissue mechanics change the evolutionary interpretation of skeletal form and locomotor function?</w:t>
      </w:r>
    </w:p>
    <w:p>
      <w:pPr>
        <w:pStyle w:val="Subtitle"/>
      </w:pPr>
      <w:r>
        <w:t>Joint form–function inference · constitutive nonuniqueness · APSE and XROMM · synapsid locomotor transitions</w:t>
      </w:r>
    </w:p>
    <w:p>
      <w:pPr>
        <w:pStyle w:val="Heading1"/>
        <w:keepNext/>
        <w:spacing w:before="140" w:after="40"/>
      </w:pPr>
      <w:r>
        <w:rPr>
          <w:sz w:val="21"/>
        </w:rPr>
        <w:t>Evolutionary problem and a specific unanswered question</w:t>
      </w:r>
    </w:p>
    <w:p>
      <w:pPr>
        <w:widowControl/>
      </w:pPr>
      <w:r>
        <w:t>How did vertebrates acquire new locomotor capabilities without a one-to-one relationship between joint shape and movement? Pierce and colleagues showed that tegu and opossum hip constraints differ with tissue removal, and that skeletal shape is an unreliable proxy for mobility [1–3]. The open evolutionary question is not simply whether soft tissues limit range of motion. It is whether biologically plausible differences in their mechanical responses change which skeletal forms are interpreted as functionally convergent, divergent, or transitional.</w:t>
      </w:r>
    </w:p>
    <w:p>
      <w:pPr>
        <w:widowControl/>
      </w:pPr>
      <w:r>
        <w:t>The causal chain must be kept separate: tissue material behavior and attachment geometry → passive, load-achievable six-degree-of-freedom (6-DOF) poses → locomotor usage observed with XROMM → comparative evolutionary interpretation. We will not infer extinct locomotion directly from one allowable pose envelope.</w:t>
      </w:r>
    </w:p>
    <w:p>
      <w:pPr>
        <w:pStyle w:val="Heading1"/>
        <w:keepNext/>
        <w:spacing w:before="140" w:after="40"/>
      </w:pPr>
      <w:r>
        <w:rPr>
          <w:sz w:val="21"/>
        </w:rPr>
        <w:t>What exists; the narrow novelty that remains</w:t>
      </w:r>
    </w:p>
    <w:p>
      <w:pPr>
        <w:widowControl/>
      </w:pPr>
      <w:r>
        <w:t>APSE already samples high-dimensional joint mobility efficiently [2]; all six joint degrees of freedom matter for paleobiological reconstruction [4]. Experimental and modeled ligament/tissue constraints and uncertainty analyses are also established [1,5,6]. Therefore, adding a soft-tissue spring, another mobility manifold, or PCA of material parameters is not the novelty.</w:t>
      </w:r>
    </w:p>
    <w:p>
      <w:pPr>
        <w:widowControl/>
      </w:pPr>
      <w:r>
        <w:t>New test: when different tissue constitutive families are equally compatible with measured multi-axial responses, do they nevertheless yield different functional rankings of joint morphologies? Conversely, can anatomically different species attain similar passive functions through compensating tissue mechanics? The target contribution is a tested nonuniqueness-to-evolution link, with sensitivity to tissue location, slack length, and load treated as serious alternatives.</w:t>
      </w:r>
    </w:p>
    <w:p>
      <w:pPr>
        <w:pStyle w:val="Heading1"/>
        <w:keepNext/>
        <w:spacing w:before="140" w:after="40"/>
      </w:pPr>
      <w:r>
        <w:rPr>
          <w:sz w:val="21"/>
        </w:rPr>
        <w:t>Alternative hypotheses and preregistered decision contrasts</w:t>
      </w:r>
    </w:p>
    <w:p>
      <w:pPr>
        <w:widowControl/>
      </w:pPr>
      <w:r>
        <w:t>H1 (material mediation): tissue-response compatibility sets change predeclared contrasts in passive hip mobility or gait-phase accessibility after conditioning on bone geometry and attachment paths. H0: geometry, slack length, and tissue placement explain these contrasts; material-family ambiguity adds negligible information. H2 (form–function convergence): two contrasting bone geometries can occupy overlapping validated movement spaces through defensible material and attachment variation. H0: predicted convergence disappears under held-out conditions or is achievable only with biologically implausible tissue states.</w:t>
      </w:r>
    </w:p>
    <w:p>
      <w:pPr>
        <w:widowControl/>
      </w:pPr>
      <w:r>
        <w:t>Primary outcome: cross-specimen change in 6-DOF feasible-pose overlap and rank/order of direction-specific torque-limited mobility; secondary outcome: coverage of observed tissue-removal shifts and in-vivo stance/swing poses. Predefine comparable loads and coordinate frames. For each result report effect size, 95% interval, and whether its sign/rank survives all plausible tissue priors.</w:t>
      </w:r>
    </w:p>
    <w:p>
      <w:pPr>
        <w:pStyle w:val="Heading1"/>
        <w:keepNext/>
        <w:spacing w:before="140" w:after="40"/>
      </w:pPr>
      <w:r>
        <w:rPr>
          <w:sz w:val="21"/>
        </w:rPr>
        <w:t>Aim 1 — Validate the operator on living joints</w:t>
      </w:r>
    </w:p>
    <w:p>
      <w:pPr>
        <w:widowControl/>
      </w:pPr>
      <w:r>
        <w:t>Use the published tegu–opossum hip comparison as the anatomical entry point [1]. Where access is agreed, register individual bones, capsular/skin/muscle paths, prestrain and contact; use ex vivo tissue force–displacement or stress–stretch tests and available XROMM/tissue-removal trials. Separate geometric collision, passive torque-limited reachability, joint stability/alignment and actually used in-vivo movements. A tissue may stabilize an articulation as well as restrict it; removal need not monotonically enlarge mobility.</w:t>
      </w:r>
    </w:p>
    <w:p>
      <w:pPr>
        <w:widowControl/>
      </w:pPr>
      <w:r>
        <w:t>Compare (i) bone-only APSE, (ii) conventional single-family mechanics, (iii) within-family parameter ensembles and (iv) response-compatibility sets, while matching tissue placement and slack-length uncertainty. Withhold one tissue-removal layer or loading direction during calibration. The gate is improved held-out accuracy/calibration or a demonstrably altered and robust biological inference—not mere model complexity.</w:t>
      </w:r>
    </w:p>
    <w:p>
      <w:pPr>
        <w:pStyle w:val="Heading1"/>
        <w:keepNext/>
        <w:spacing w:before="140" w:after="40"/>
      </w:pPr>
      <w:r>
        <w:rPr>
          <w:sz w:val="21"/>
        </w:rPr>
        <w:t>Aim 2 — Dissect evolutionary counterfactuals without inventing ancestral tissues</w:t>
      </w:r>
    </w:p>
    <w:p>
      <w:pPr>
        <w:widowControl/>
      </w:pPr>
      <w:r>
        <w:t>Perform crossed, anatomically admissible comparisons in which geometry varies while soft-tissue response is held constant, and vice versa. This identifies whether extant differences arise mainly from osteology, paths/prestrain, or material response. Tissues are not literally transferred between species unless their scaled attachments and composition remain biologically defensible; otherwise the comparison is explicitly a sensitivity experiment.</w:t>
      </w:r>
    </w:p>
    <w:p>
      <w:pPr>
        <w:widowControl/>
      </w:pPr>
      <w:r>
        <w:t>Model the contrast between sprawling and more parasagittal limb use using extant data, not a claim that a tegu is the ancestor of an opossum. Only if held-out extant predictions succeed would fossil synapsid analyses report bounded feasible-function hypotheses under graded tissue priors, not reconstructed ancestral muscle material laws.</w:t>
      </w:r>
    </w:p>
    <w:p>
      <w:pPr>
        <w:pStyle w:val="Heading1"/>
        <w:keepNext/>
        <w:spacing w:before="140" w:after="40"/>
      </w:pPr>
      <w:r>
        <w:rPr>
          <w:sz w:val="21"/>
        </w:rPr>
        <w:t>Aim 3 — Make a defensible comparative evolutionary test</w:t>
      </w:r>
    </w:p>
    <w:p>
      <w:pPr>
        <w:widowControl/>
      </w:pPr>
      <w:r>
        <w:t>With an adequately sampled extant taxon panel and homologous measurements, test the association among passive function, tissue response, morphology, body size, locomotor ecology, and shared ancestry. Explicitly quantify within-species variation and do not fit phylogenetic models to two tip species. Simulate phylogenetically structured null traits and assess whether the observed form–function convergence exceeds null expectations; use leave-one-taxon-out tests if feasible.</w:t>
      </w:r>
    </w:p>
    <w:p>
      <w:pPr>
        <w:widowControl/>
      </w:pPr>
      <w:r>
        <w:t>The resulting comparative claim would be whether material variability changes a particular inferred functional transition, not that a model explains the evolution of mammalian posture from the tegu–opossum contrast alone.</w:t>
      </w:r>
    </w:p>
    <w:p>
      <w:pPr>
        <w:pStyle w:val="Heading1"/>
        <w:keepNext/>
        <w:spacing w:before="140" w:after="40"/>
      </w:pPr>
      <w:r>
        <w:rPr>
          <w:sz w:val="21"/>
        </w:rPr>
        <w:t>Immediate data plan, go/no-go and collaboration</w:t>
      </w:r>
    </w:p>
    <w:p>
      <w:pPr>
        <w:widowControl/>
      </w:pPr>
      <w:r>
        <w:t>First 4–8 week scoping deliverable: reproduce the published geometric/tissue-removal comparison as far as accessible; prepare a transparent inventory of specimen-level geometry, tissue mechanical tests and load/pose data; quantify whether required input distributions are identifiable. APSE code/data are archived in Harvard Dataverse [2]. The availability of specimen-matched, independent tissue mechanical measurements in Pierce’s 2026 study is not established; these must be requested or newly measured.</w:t>
      </w:r>
    </w:p>
    <w:p>
      <w:pPr>
        <w:widowControl/>
      </w:pPr>
      <w:r>
        <w:t>Go/no-go A: bone-only and tissue-layer changes can be predicted with held-out coverage. B: material compatibility contributes information beyond paths/slack/contact. C: replication across individuals/taxa supports the evolutionary comparison. Failure of B is valuable: it identifies which tissue attributes can actually be inferred from fossil geometry. Pierce contributes taxa, anatomy, comparative questions and experimental interpretation; constitutive inference and uncertainty propagation are the engineering contribution.</w:t>
      </w:r>
    </w:p>
    <w:p>
      <w:pPr>
        <w:pStyle w:val="Heading1"/>
        <w:keepNext/>
        <w:spacing w:before="140" w:after="40"/>
      </w:pPr>
      <w:r>
        <w:rPr>
          <w:sz w:val="21"/>
        </w:rPr>
        <w:t>What the demonstration does and does not show</w:t>
      </w:r>
    </w:p>
    <w:p>
      <w:pPr>
        <w:widowControl/>
      </w:pPr>
      <w:r>
        <w:t>The interactive interface preserves four selectable tissue responses and a synthetic passive hip-pose envelope. A linked factorial counterfactual now separates a hypothetical contact-clearance change from a hypothetical soft-tissue energy change and tests whether the modeled anatomical contrast persists, vanishes, or reverses. These are controlled surrogate manipulations, not tegu/opossum observations, reconstructed ancestral tissues, evolutionary estimates, or held-out validation.</w:t>
      </w:r>
    </w:p>
    <w:p>
      <w:pPr>
        <w:pStyle w:val="Heading1"/>
        <w:keepNext/>
      </w:pPr>
      <w:r>
        <w:rPr>
          <w:sz w:val="21"/>
        </w:rPr>
        <w:t>Selected literature and reproducible resources</w:t>
      </w:r>
    </w:p>
    <w:p>
      <w:pPr>
        <w:spacing w:after="40"/>
        <w:ind w:left="173"/>
      </w:pPr>
      <w:r>
        <w:rPr>
          <w:sz w:val="15"/>
        </w:rPr>
        <w:t>[1] Wright &amp; Pierce (2026), soft-tissue constraints in tegu and opossum hips, J Exp Biol. https://doi.org/10.1242/jeb.251911</w:t>
      </w:r>
    </w:p>
    <w:p>
      <w:pPr>
        <w:spacing w:after="40"/>
        <w:ind w:left="173"/>
      </w:pPr>
      <w:r>
        <w:rPr>
          <w:sz w:val="15"/>
        </w:rPr>
        <w:t>[2] Bishop, Brocklehurst &amp; Pierce (2023), APSE; code/data archived, Methods Ecol Evol. https://doi.org/10.1111/2041-210X.14016</w:t>
      </w:r>
    </w:p>
    <w:p>
      <w:pPr>
        <w:spacing w:after="40"/>
        <w:ind w:left="173"/>
      </w:pPr>
      <w:r>
        <w:rPr>
          <w:sz w:val="15"/>
        </w:rPr>
        <w:t>[3] Brocklehurst et al. (2025), joint shape and mobility from XROMM, J Exp Biol. https://doi.org/10.1242/jeb.249261</w:t>
      </w:r>
    </w:p>
    <w:p>
      <w:pPr>
        <w:spacing w:after="40"/>
        <w:ind w:left="173"/>
      </w:pPr>
      <w:r>
        <w:rPr>
          <w:sz w:val="15"/>
        </w:rPr>
        <w:t>[4] Manafzadeh &amp; Gatesy (2021), six-degree-of-freedom mobility, J Anat. https://doi.org/10.1111/joa.13513</w:t>
      </w:r>
    </w:p>
    <w:p>
      <w:pPr>
        <w:spacing w:after="40"/>
        <w:ind w:left="173"/>
      </w:pPr>
      <w:r>
        <w:rPr>
          <w:sz w:val="15"/>
        </w:rPr>
        <w:t>[5] Demuth et al. (2025), soft-tissue constraints in avian shoulder mobility, J Exp Biol. https://doi.org/10.1242/jeb.250952</w:t>
      </w:r>
    </w:p>
    <w:p>
      <w:pPr>
        <w:spacing w:after="40"/>
        <w:ind w:left="173"/>
      </w:pPr>
      <w:r>
        <w:rPr>
          <w:sz w:val="15"/>
        </w:rPr>
        <w:t>[6] Dalman &amp; Saul (2026), soft-tissue uncertainty in shoulder models, J Biomech. https://doi.org/10.1016/j.jbiomech.2025.113114</w:t>
      </w:r>
    </w:p>
    <w:p>
      <w:pPr>
        <w:spacing w:after="40"/>
        <w:ind w:left="173"/>
      </w:pPr>
      <w:r>
        <w:rPr>
          <w:sz w:val="15"/>
        </w:rPr>
        <w:t>[7] Brocklehurst et al. (2025), synapsid adaptive landscapes, PLOS Biol. https://doi.org/10.1371/journal.pbio.3003188</w:t>
      </w:r>
    </w:p>
    <w:p>
      <w:pPr>
        <w:spacing w:after="40"/>
        <w:ind w:left="173"/>
      </w:pPr>
      <w:r>
        <w:rPr>
          <w:sz w:val="15"/>
        </w:rPr>
        <w:t>[8] Bishop et al., reproducible APSE resource, Harvard Dataverse. https://doi.org/10.7910/DVN/G0SHOQ</w:t>
      </w:r>
    </w:p>
    <w:p>
      <w:pPr/>
      <w:r>
        <w:rPr>
          <w:i/>
          <w:sz w:val="16"/>
        </w:rPr>
        <w:t>Proposal / prospective research only. Predictions and models described above are hypotheses, not completed validation.</w:t>
      </w:r>
    </w:p>
    <w:sectPr w:rsidR="00FC693F" w:rsidRPr="0006063C" w:rsidSect="00034616">
      <w:footerReference w:type="default" r:id="rId9"/>
      <w:pgSz w:w="12240" w:h="15840"/>
      <w:pgMar w:top="763" w:right="1008" w:bottom="80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A7277"/>
        <w:sz w:val="16"/>
      </w:rPr>
      <w:t xml:space="preserve">Asadi · research direction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4" w:line="262" w:lineRule="auto"/>
    </w:pPr>
    <w:rPr>
      <w:rFonts w:ascii="Aptos" w:hAnsi="Aptos"/>
      <w:color w:val="2C374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3D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3D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