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color w:val="1F707E"/>
          <w:sz w:val="16"/>
        </w:rPr>
        <w:t>RESEARCH DIRECTION 2  /  REFEREE-STYLE REVISED CONCEPT  /  OCTOBER 2026</w:t>
      </w:r>
    </w:p>
    <w:p>
      <w:pPr>
        <w:pStyle w:val="Title"/>
        <w:spacing w:after="40"/>
      </w:pPr>
      <w:r>
        <w:t>The Evolution of Spinal Function</w:t>
      </w:r>
    </w:p>
    <w:p>
      <w:r>
        <w:rPr>
          <w:b/>
          <w:color w:val="125364"/>
          <w:sz w:val="22"/>
        </w:rPr>
        <w:t>Did vertebral regionalization create new combinations of mobility, stability, and load-bearing across the synapsid–mammal transition?</w:t>
      </w:r>
    </w:p>
    <w:p>
      <w:pPr>
        <w:pStyle w:val="Subtitle"/>
      </w:pPr>
      <w:r>
        <w:t>Whole-column mechanical coupling · evolutionary trade-offs · comparative digital bending · public Dryad pilot</w:t>
      </w:r>
    </w:p>
    <w:p>
      <w:pPr>
        <w:pStyle w:val="Heading1"/>
        <w:keepNext/>
        <w:spacing w:before="140" w:after="40"/>
      </w:pPr>
      <w:r>
        <w:rPr>
          <w:sz w:val="21"/>
        </w:rPr>
        <w:t>Evolutionary problem and competing historical explanations</w:t>
      </w:r>
    </w:p>
    <w:p>
      <w:pPr>
        <w:widowControl/>
      </w:pPr>
      <w:r>
        <w:t>The mammalian vertebral column diversified into functional regions, but its evolutionary history was not simply a progression from lateral to sagittal bending. Pierce and collaborators established that morphological regionalization predated functional differentiation, and that anterior axial rotation/posterior stabilization emerged through several stages of synapsid evolution [1–4]. Those are starting results, not discoveries to re-claim.</w:t>
      </w:r>
    </w:p>
    <w:p>
      <w:pPr>
        <w:widowControl/>
      </w:pPr>
      <w:r>
        <w:t>The missing question is whether the arrangement of individual regional joints in a mechanically coupled trunk creates functions or trade-offs not inferable from isolated intervertebral ROM and relative-stiffness estimates. Did shifting regional boundaries facilitate combinations of trunk support and locomotor excursion, and which interpretations remain valid once joint constraints and possible muscle loading are considered?</w:t>
      </w:r>
    </w:p>
    <w:p>
      <w:pPr>
        <w:pStyle w:val="Heading1"/>
        <w:keepNext/>
        <w:spacing w:before="140" w:after="40"/>
      </w:pPr>
      <w:r>
        <w:rPr>
          <w:sz w:val="21"/>
        </w:rPr>
        <w:t>Closest prior work and true added value</w:t>
      </w:r>
    </w:p>
    <w:p>
      <w:pPr>
        <w:widowControl/>
      </w:pPr>
      <w:r>
        <w:t>AutoBend already models bone collision, idealized intervertebral-disc/zygapophyseal strain constraints, joint spacing, and variation in assumed strain limits [4]. Jones et al. (2021) already inferred functional adaptive landscapes [3]. Claiming “first spinal trade-off analysis,” “first tissue sensitivity study,” or “first gait-informed vertebral model” would therefore be misleading. Axial muscle evolution and stabilization mechanisms also have a well-developed comparative literature [5].</w:t>
      </w:r>
    </w:p>
    <w:p>
      <w:pPr>
        <w:widowControl/>
      </w:pPr>
      <w:r>
        <w:t>The proposed increment is to estimate emergent multi-segment performance: how serially arranged stiffness/ROM patterns determine whole-trunk motion distribution, local overload, regional stability, and functional redundancy under explicitly specified external moment fields. Contrast the actual ordered anatomy with anatomy-preserving but region-shuffled controls, matched whole-column stiffness models, and alternative physiological loading assumptions. If those contrasts do not create a new evolutionary result, the project has not established novelty.</w:t>
      </w:r>
    </w:p>
    <w:p>
      <w:pPr>
        <w:pStyle w:val="Heading1"/>
        <w:keepNext/>
        <w:spacing w:before="140" w:after="40"/>
      </w:pPr>
      <w:r>
        <w:rPr>
          <w:sz w:val="21"/>
        </w:rPr>
        <w:t>Three falsifiable evolutionary hypotheses</w:t>
      </w:r>
    </w:p>
    <w:p>
      <w:pPr>
        <w:widowControl/>
      </w:pPr>
      <w:r>
        <w:t>H1 — The observed craniocaudal ordering of vertebral mobility/stiffness yields a more favorable joint distribution of trunk excursion and local mechanical demand for selected locomotor load cases than plausible region-shuffled arrangements. H0: order has no independent performance effect once global compliance, vertebral size, and number of joints are controlled.</w:t>
      </w:r>
    </w:p>
    <w:p>
      <w:pPr>
        <w:widowControl/>
      </w:pPr>
      <w:r>
        <w:t>H2 — Functional coupling can change the location/timing inferred for a synapsid transition relative to the original single-joint AutoBend analysis. H0: coupled and jointwise reconstructions agree within their uncertainty. H3 — Distinct vertebral-region arrangements can produce similar whole-column function (many-to-one form–function), after controlling for phylogeny and body size; apparent convergence must exceed the phylogenetic-null expectation.</w:t>
      </w:r>
    </w:p>
    <w:p>
      <w:pPr>
        <w:widowControl/>
      </w:pPr>
      <w:r>
        <w:t>Predeclared performance observables: regionwise rotation for an applied nondimensional moment, fraction of joints exceeding a defined safe-strain/overlap proxy, dispersion/concentration of bending across segments, and sensitivity of function to loss/restriction of one region. These are mechanical proxies, not empirically established organismal fitness or metabolic expenditure.</w:t>
      </w:r>
    </w:p>
    <w:p>
      <w:pPr>
        <w:pStyle w:val="Heading1"/>
        <w:keepNext/>
        <w:spacing w:before="140" w:after="40"/>
      </w:pPr>
      <w:r>
        <w:rPr>
          <w:sz w:val="21"/>
        </w:rPr>
        <w:t>Aim 1 — Reproduce published evolutionary inference before modifying it</w:t>
      </w:r>
    </w:p>
    <w:p>
      <w:pPr>
        <w:widowControl/>
      </w:pPr>
      <w:r>
        <w:t>Acquire and audit the Jones–Pierce 2024 Dryad files [6], which contain vertebra-by-vertebra ROM across 27 combinations of joint spacing, collision tolerance and strain assumptions, plus morphometric descriptors. Reproduce the published jointwise regional patterns and sensitivity intervals. Preserve taxon, individual and joint hierarchy; do not treat multiple AutoBend perturbations as independently sampled organisms.</w:t>
      </w:r>
    </w:p>
    <w:p>
      <w:pPr>
        <w:widowControl/>
      </w:pPr>
      <w:r>
        <w:t>This is a feasible open-data pilot, not a newly discovered biological effect. The result is a reproducible baseline identifying which reported shifts are robust and which hypotheses require additional vertebral material, muscle and loading evidence.</w:t>
      </w:r>
    </w:p>
    <w:p>
      <w:pPr>
        <w:pStyle w:val="Heading1"/>
        <w:keepNext/>
        <w:spacing w:before="140" w:after="40"/>
      </w:pPr>
      <w:r>
        <w:rPr>
          <w:sz w:val="21"/>
        </w:rPr>
        <w:t>Aim 2 — Test mechanically coupled regionalization against designed nulls</w:t>
      </w:r>
    </w:p>
    <w:p>
      <w:pPr>
        <w:widowControl/>
      </w:pPr>
      <w:r>
        <w:t>Link consecutive joints with a common force/moment equilibrium and kinematic compatibility operator. Initially use reduced-order passive bending with a moment–rotation curve at each joint, allowing uncertainty in disc geometry, prestrain and contact; do not pretend that AutoBend “relative stiffness” is measured physical stiffness or that a soft-tissue stretch limit specifies full tissue constitutive behavior.</w:t>
      </w:r>
    </w:p>
    <w:p>
      <w:pPr>
        <w:widowControl/>
      </w:pPr>
      <w:r>
        <w:t>Run controlled bending/torsion moment cases and then a small set of extant-taxon gait-informed cases only when real measured forces exist. Compare the observed region sequence against (i) joint order shuffled within anatomically defensible restrictions, (ii) equivalent uniform stiffness, (iii) fitted independent-joint predictions, and (iv) alternative disc/ligament prior sets. Report robustness of historical transition contrasts to both load case and material assumptions.</w:t>
      </w:r>
    </w:p>
    <w:p>
      <w:pPr>
        <w:pStyle w:val="Heading1"/>
        <w:keepNext/>
        <w:spacing w:before="140" w:after="40"/>
      </w:pPr>
      <w:r>
        <w:rPr>
          <w:sz w:val="21"/>
        </w:rPr>
        <w:t>Aim 3 — Comparative evolutionary and validation test</w:t>
      </w:r>
    </w:p>
    <w:p>
      <w:pPr>
        <w:widowControl/>
      </w:pPr>
      <w:r>
        <w:t>In extant salamander/reptile/monotreme/therian reference animals where repeatable spine motion and loads can be measured, evaluate predicted directions and regional distribution of bending against biplanar imaging or other independently validated measurements. Historical fossil models are compared only after this transfer test. Species sample size and phylogenetic dependence will be reported transparently; a small archive cannot support sweeping claims of adaptive optimization.</w:t>
      </w:r>
    </w:p>
    <w:p>
      <w:pPr>
        <w:widowControl/>
      </w:pPr>
      <w:r>
        <w:t>Relate coupled performance to time-calibrated synapsid phylogeny using ancestral-state sensitivity, phylogenetic null simulations and size-corrected descriptors. Avoid fitting “optimal” landscapes to assumed gait patterns for fossils. Alternative mechanically plausible load cases should be carried as explicit scenarios, and evolutionary conclusions restricted to those robust across scenarios.</w:t>
      </w:r>
    </w:p>
    <w:p>
      <w:pPr>
        <w:pStyle w:val="Heading1"/>
        <w:keepNext/>
        <w:spacing w:before="140" w:after="40"/>
      </w:pPr>
      <w:r>
        <w:rPr>
          <w:sz w:val="21"/>
        </w:rPr>
        <w:t>Public-data feasibility and decision gates</w:t>
      </w:r>
    </w:p>
    <w:p>
      <w:pPr>
        <w:widowControl/>
      </w:pPr>
      <w:r>
        <w:t>Pilot now: reanalyze the openly archived Jones et al. jointwise data [6]; implement a transparent serial-joint solver with all units and uncertainty assumptions exposed; test toy-joint and two-extant-species predictions before claims about fossils. Additional mesh-level geometry and whole-trunk forces may require collaborator access; the Dryad tables alone cannot validate loaded spinal stresses.</w:t>
      </w:r>
    </w:p>
    <w:p>
      <w:pPr>
        <w:widowControl/>
      </w:pPr>
      <w:r>
        <w:t>Go/no-go A: recover Jones et al. published regional contrasts from archived data. B: serial-coupling predictions differ from jointwise and shuffled nulls in an interpretable and robust way. C: withheld extant whole-spine motion or load observations agree within calibrated intervals. If B fails, this is a principled negative result on the explanatory necessity of coupling.</w:t>
      </w:r>
    </w:p>
    <w:p>
      <w:pPr>
        <w:pStyle w:val="Heading1"/>
        <w:keepNext/>
        <w:spacing w:before="140" w:after="40"/>
      </w:pPr>
      <w:r>
        <w:t>What the comparative-spine demonstration does and does not show</w:t>
      </w:r>
    </w:p>
    <w:p>
      <w:pPr>
        <w:widowControl/>
      </w:pPr>
      <w:r>
        <w:t>The main interactive demo now compares a synthetic regionally clustered ten-joint spine against a shuffled ordering with the same joint stiffness inventory, plus a uniform-stiffness control. Varying the neighbor-coupling term demonstrates why isolated joints cannot exhibit an arrangement effect under uniform torque, whereas mechanically coupled joints can. It is an abstract null-model demonstration, not a reconstructed synapsid or a validated ancestral movement prediction. The previous human gait-based lumbar-support simulation is retained as a separate optional engineering illustration, not the main evolutionary study.</w:t>
      </w:r>
    </w:p>
    <w:p>
      <w:pPr>
        <w:pStyle w:val="Heading1"/>
        <w:keepNext/>
      </w:pPr>
      <w:r>
        <w:rPr>
          <w:sz w:val="21"/>
        </w:rPr>
        <w:t>Selected literature and reproducible resources</w:t>
      </w:r>
    </w:p>
    <w:p>
      <w:pPr>
        <w:spacing w:after="40"/>
        <w:ind w:left="173"/>
      </w:pPr>
      <w:r>
        <w:rPr>
          <w:sz w:val="15"/>
        </w:rPr>
        <w:t>[1] Jones et al. (2018), emergence of regionalized mammalian spine, Science. https://doi.org/10.1126/science.aar3126</w:t>
      </w:r>
    </w:p>
    <w:p>
      <w:pPr>
        <w:spacing w:after="40"/>
        <w:ind w:left="173"/>
      </w:pPr>
      <w:r>
        <w:rPr>
          <w:sz w:val="15"/>
        </w:rPr>
        <w:t>[2] Jones et al. (2020), regionalization precedes function, Nat Ecol Evol. https://doi.org/10.1038/s41559-020-1094-9</w:t>
      </w:r>
    </w:p>
    <w:p>
      <w:pPr>
        <w:spacing w:after="40"/>
        <w:ind w:left="173"/>
      </w:pPr>
      <w:r>
        <w:rPr>
          <w:sz w:val="15"/>
        </w:rPr>
        <w:t>[3] Jones, Dickson, Angielczyk &amp; Pierce (2021), axial functional landscapes, Curr Biol. https://doi.org/10.1016/j.cub.2021.02.009</w:t>
      </w:r>
    </w:p>
    <w:p>
      <w:pPr>
        <w:spacing w:after="40"/>
        <w:ind w:left="173"/>
      </w:pPr>
      <w:r>
        <w:rPr>
          <w:sz w:val="15"/>
        </w:rPr>
        <w:t>[4] Jones, Angielczyk &amp; Pierce (2024), digital bending of synapsid vertebrae, Proc R Soc B. https://doi.org/10.1098/rspb.2024.0820</w:t>
      </w:r>
    </w:p>
    <w:p>
      <w:pPr>
        <w:spacing w:after="40"/>
        <w:ind w:left="173"/>
      </w:pPr>
      <w:r>
        <w:rPr>
          <w:sz w:val="15"/>
        </w:rPr>
        <w:t>[5] Schilling (2011), evolution of axial muscles and vertebral function, Front Zool. https://doi.org/10.1186/1742-9994-8-4</w:t>
      </w:r>
    </w:p>
    <w:p>
      <w:pPr>
        <w:spacing w:after="40"/>
        <w:ind w:left="173"/>
      </w:pPr>
      <w:r>
        <w:rPr>
          <w:sz w:val="15"/>
        </w:rPr>
        <w:t>[6] Jones et al. (2024), original joint-by-joint comparative files and README, Dryad. https://doi.org/10.5061/dryad.2547d7wx9</w:t>
      </w:r>
    </w:p>
    <w:p>
      <w:pPr>
        <w:spacing w:after="40"/>
        <w:ind w:left="173"/>
      </w:pPr>
      <w:r>
        <w:rPr>
          <w:sz w:val="15"/>
        </w:rPr>
        <w:t>[7] Brocklehurst et al. (2025), synapsid forelimb adaptive landscapes, PLOS Biol. https://doi.org/10.1371/journal.pbio.3003188</w:t>
      </w:r>
    </w:p>
    <w:p>
      <w:pPr/>
      <w:r>
        <w:rPr>
          <w:i/>
          <w:sz w:val="16"/>
        </w:rPr>
        <w:t>Proposal / prospective research only. Predictions and models described above are hypotheses, not completed validation.</w:t>
      </w:r>
    </w:p>
    <w:sectPr w:rsidR="00FC693F" w:rsidRPr="0006063C" w:rsidSect="00034616">
      <w:footerReference w:type="default" r:id="rId9"/>
      <w:pgSz w:w="12240" w:h="15840"/>
      <w:pgMar w:top="763" w:right="1008" w:bottom="80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277"/>
        <w:sz w:val="16"/>
      </w:rPr>
      <w:t xml:space="preserve">Asadi · research direction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4" w:line="262" w:lineRule="auto"/>
    </w:pPr>
    <w:rPr>
      <w:rFonts w:ascii="Aptos" w:hAnsi="Aptos"/>
      <w:color w:val="2C374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3D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3D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