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color w:val="1F707E"/>
          <w:sz w:val="16"/>
        </w:rPr>
        <w:t>RESEARCH DIRECTION 3  /  REFEREE-STYLE REVISED CONCEPT  /  OCTOBER 2026</w:t>
      </w:r>
    </w:p>
    <w:p>
      <w:pPr>
        <w:pStyle w:val="Title"/>
        <w:spacing w:after="40"/>
      </w:pPr>
      <w:r>
        <w:t>From Microstructural to Mechanical Evolution</w:t>
      </w:r>
    </w:p>
    <w:p>
      <w:r>
        <w:rPr>
          <w:b/>
          <w:color w:val="125364"/>
          <w:sz w:val="22"/>
        </w:rPr>
        <w:t>Can independently documented changes in vertebrate tissue architecture predict mechanical evolutionary divergence or convergence?</w:t>
      </w:r>
    </w:p>
    <w:p>
      <w:pPr>
        <w:pStyle w:val="Subtitle"/>
      </w:pPr>
      <w:r>
        <w:t>Biological history → frozen micro-to-macro operator → held-out mechanical-change prediction → evolutionary comparison</w:t>
      </w:r>
    </w:p>
    <w:p>
      <w:pPr>
        <w:pStyle w:val="Heading1"/>
        <w:keepNext/>
        <w:spacing w:before="100" w:after="20"/>
      </w:pPr>
      <w:r>
        <w:rPr>
          <w:sz w:val="21"/>
        </w:rPr>
        <w:t>The unresolved evolutionary question</w:t>
      </w:r>
    </w:p>
    <w:p>
      <w:pPr>
        <w:widowControl/>
      </w:pPr>
      <w:r>
        <w:t>Pierce’s comparative framework reconstructs mechanical function from anatomical form, especially vertebral and joint geometry [1,2]. Yet vertebrates also evolved different internal tissue architectures. Did changes in trabecular alignment, cortical organization, and mineralized structure produce genuinely distinct material responses or alternative microstructural routes to the same mechanical function?</w:t>
      </w:r>
    </w:p>
    <w:p>
      <w:pPr>
        <w:widowControl/>
      </w:pPr>
      <w:r>
        <w:t>The proposal is conditional. First establish an experimentally supported mapping from measured architecture and physiological/material state to a macroscopic response fingerprint. Then freeze the mapping and transport independently documented biological changes through it. A trajectory through a PCA plot is visualization only; it is neither the constitutive map nor evidence of evolution.</w:t>
      </w:r>
    </w:p>
    <w:p>
      <w:pPr>
        <w:pStyle w:val="Heading1"/>
        <w:keepNext/>
        <w:spacing w:before="100" w:after="20"/>
      </w:pPr>
      <w:r>
        <w:rPr>
          <w:sz w:val="21"/>
        </w:rPr>
        <w:t>Closest precedents and precise novelty</w:t>
      </w:r>
    </w:p>
    <w:p>
      <w:pPr>
        <w:widowControl/>
      </w:pPr>
      <w:r>
        <w:t>Micro-CT finite elements, RVE homogenization and collagen recruitment models already map structural features to mechanics; Gregory et al. discuss using tendon microstructure to predict changes with aging [3]. Comparative human–pig vertebral finite elements have also been calibrated and applied across different load positions [6]; “first cross-species bone model” would therefore be false. Kivell reviewed pitfalls in fossil trabecular inference [4], while Reinecke et al. (2025) compared amniote trabecular orientation [5]. The new claim must be held-out changes in multidirectional mechanical fingerprints, transferable across biological states and evolutionary lineages, with phylogenetic tests of convergence—not a new homogenization algorithm.</w:t>
      </w:r>
    </w:p>
    <w:p>
      <w:pPr>
        <w:widowControl/>
      </w:pPr>
      <w:r>
        <w:t>A new contribution would be a demonstrated out-of-state/out-of-taxon transfer test predicting changes in complete, direction-dependent mechanical responses from independently measured structural differences—and an evolutionary comparative test of whether distinct lineages arrive at mechanical equivalence despite different internal architecture. This may fail because observed structure alone omits important composition or physiology; that failure would define limits on inference from fossils.</w:t>
      </w:r>
    </w:p>
    <w:p>
      <w:pPr>
        <w:pStyle w:val="Heading1"/>
        <w:keepNext/>
        <w:spacing w:before="100" w:after="20"/>
      </w:pPr>
      <w:r>
        <w:rPr>
          <w:sz w:val="21"/>
        </w:rPr>
        <w:t>Biological system and hypothesis scope</w:t>
      </w:r>
    </w:p>
    <w:p>
      <w:pPr>
        <w:widowControl/>
      </w:pPr>
      <w:r>
        <w:t>Pilot system: one homologous mineralized vertebral-bone region, with a prespecified load regime and anatomically aligned micro-CT fields in extant vertebrates. The exact taxa and tissue region must be fixed after a pairing audit; fossils are not assumed to retain soft tissue or physiological measurements. The primary endpoint is effective vertebral-bone compressive/shear directional response (or a justified reduced elastic/failure regime), not intervertebral disc mobility. Linking the material response to regional whole-spine mechanics is a later integration with Direction 2.</w:t>
      </w:r>
    </w:p>
    <w:p>
      <w:pPr>
        <w:widowControl/>
      </w:pPr>
      <w:r>
        <w:t>H1 (transfer): a frozen architecture-conditioned model predicts held-out response changes between biological states or species, outperforming BV/TV-density-only and morphology-only baselines with calibrated uncertainty. H0: density/composition alone predicts as well, or the operator fails species-out tests. H2 (evolution): after size and phylogeny controls, internal architecture adds information about mechanical divergence/convergence beyond external skeletal shape and shared ancestry. H0: no added comparative information remains. H3 (limits): measured mineralization/matrix state explains residual divergence among microstructurally similar bones; if unavailable, those predictions must carry broad uncertainties.</w:t>
      </w:r>
    </w:p>
    <w:p>
      <w:pPr>
        <w:pStyle w:val="Heading1"/>
        <w:keepNext/>
        <w:spacing w:before="100" w:after="20"/>
      </w:pPr>
      <w:r>
        <w:rPr>
          <w:sz w:val="21"/>
        </w:rPr>
        <w:t>Aim 1 — Identify a mechanically sufficient biological state</w:t>
      </w:r>
    </w:p>
    <w:p>
      <w:pPr>
        <w:widowControl/>
      </w:pPr>
      <w:r>
        <w:t>Begin with two explicitly limited public feasibility checks before vertebral cross-taxon experiments: (i) Stephens et al. [7] provide micro-CT of one femur and a bending test of the contralateral femur from each of 15 mice (8 sham; 7 ovariectomized); this tests condition-held-out transfer but is neither the same physical bone nor an evolutionary contrast. (ii) Robson Brown et al. [6] provide comparative simulated stiffness/load data for human and porcine vertebrae; their archived spreadsheets are model outputs, not a downloadable paired multi-axial experimental response collection. These sources help verify pipelines but cannot alone test evolutionary H1/H2. Next obtain matched extant vertebral specimens with micro-CT, mineralization, location and standardized physical multiaxial tests, accounting for preservation and physiology.</w:t>
      </w:r>
    </w:p>
    <w:p>
      <w:pPr>
        <w:widowControl/>
      </w:pPr>
      <w:r>
        <w:t>Use micro-FE/RVE and statistical models to predict standardized directional stiffness curves or, if tests justify, nonlinear/viscoelastic response fingerprints. Benchmark against simple BV/TV, degree of anisotropy, bone mineral density and geometric morphometrics, with phylogenetically aware training partitions. Explicitly test resolution, representative-volume adequacy, age, preservation, and local material-property variation.</w:t>
      </w:r>
    </w:p>
    <w:p>
      <w:pPr>
        <w:pStyle w:val="Heading1"/>
        <w:keepNext/>
        <w:spacing w:before="100" w:after="20"/>
      </w:pPr>
      <w:r>
        <w:rPr>
          <w:sz w:val="21"/>
        </w:rPr>
        <w:t>Aim 2 — Translate an independent biological history into mechanics</w:t>
      </w:r>
    </w:p>
    <w:p>
      <w:pPr>
        <w:widowControl/>
      </w:pPr>
      <w:r>
        <w:t>After H passes specimen-held-out calibration, freeze all operators and preprocessing, then apply to independently documented microstructural series. Begin with ontogenetic or controlled-loading sequences as a transfer stress test, not as evolutionary evidence. Test predicted Δresponse against mechanical measurements withheld from calibration and quantify direction, magnitude, uncertainty coverage and failure modes.</w:t>
      </w:r>
    </w:p>
    <w:p>
      <w:pPr>
        <w:widowControl/>
      </w:pPr>
      <w:r>
        <w:t>Next predict mechanical differences among lineages with independently assessed structural traits. Test leave-one-species and ideally leave-one-clade-out generalization; keep all specimens from a test species out of training and hyperparameter selection. “Convergence” must mean statistically equivalent responses at a prespecified tolerance despite distinguishable microarchitectures, and must be compared to phylogenetic/allometric nulls rather than inferred from overlapping PCA points.</w:t>
      </w:r>
    </w:p>
    <w:p>
      <w:pPr>
        <w:pStyle w:val="Heading1"/>
        <w:keepNext/>
        <w:spacing w:before="100" w:after="20"/>
      </w:pPr>
      <w:r>
        <w:rPr>
          <w:sz w:val="21"/>
        </w:rPr>
        <w:t>Aim 3 — Evolutionary history and functional consequences</w:t>
      </w:r>
    </w:p>
    <w:p>
      <w:pPr>
        <w:widowControl/>
      </w:pPr>
      <w:r>
        <w:t>Only when cross-taxon extant validation passes, test whether tissue-level changes alter Pierce-style inferences about vertebral functional regionalization [1,2]. Feed calibrated bone-response distributions (not unmeasured fossil chemistry) into carefully restricted digital-bending or load-bearing scenarios. Fossil micro-CT can constrain preserved bone architecture, but matrix mineralization, hydration, age and diagenesis introduce uncertainty; explicit taphonomic checks determine whether any ancestral mechanical inference is defensible.</w:t>
      </w:r>
    </w:p>
    <w:p>
      <w:pPr>
        <w:widowControl/>
      </w:pPr>
      <w:r>
        <w:t>Model joint phylogenetic dependence, body-size scaling, age/stage, bone location, ecological function and uncertainty. Keep environmental plasticity separate from heritable evolutionary differences; without breeding/common-garden or replicated phylogenetic contrasts, avoid gene–environment causal claims. Report a robust null finding if externally observed architectural divergence yields equivalent predicted mechanics.</w:t>
      </w:r>
    </w:p>
    <w:p>
      <w:pPr>
        <w:pStyle w:val="Heading1"/>
        <w:keepNext/>
        <w:spacing w:before="100" w:after="20"/>
      </w:pPr>
      <w:r>
        <w:rPr>
          <w:sz w:val="21"/>
        </w:rPr>
        <w:t>Access plan, success threshold and collaboration roles</w:t>
      </w:r>
    </w:p>
    <w:p>
      <w:pPr>
        <w:widowControl/>
      </w:pPr>
      <w:r>
        <w:t>First scoping output: reproduce an accessible public state-contrast benchmark [7] and independently replicate comparator vertebral loading patterns from the human–pig tables [6]; label simulated outputs as simulated. In parallel, negotiate acquisition of one homologous vertebral-bone region across extant taxa with µCT and physical testing on matched specimens, or a clearly justified paired surrogate. The needed cross-taxon specimen-level composition and multiaxial mechanical data are not verified as publicly available. Published comparative trabecular datasets provide ecological contrasts [5] but not automatically mechanical ground truth.</w:t>
      </w:r>
    </w:p>
    <w:p>
      <w:pPr>
        <w:widowControl/>
      </w:pPr>
      <w:r>
        <w:t>Decision A: enough paired extant data to train/test a model without leakage across samples or taxa. Decision B: held-out change prediction beats simple density/orientation controls and uncertainty intervals cover observed responses. Decision C: cross-lineage associations survive phylogenetic correction and load/taphonomic sensitivity. If data cannot pass A, publish only a data-gap/benchmark resource rather than asserting reconstructed mechanical evolution. Pierce contributes comparative questions, vertebrate phylogeny and anatomical interpretation; materials/µCT partners generate the paired calibration evidence.</w:t>
      </w:r>
    </w:p>
    <w:p>
      <w:pPr>
        <w:pStyle w:val="Heading1"/>
        <w:keepNext/>
        <w:spacing w:before="100" w:after="20"/>
      </w:pPr>
      <w:r>
        <w:rPr>
          <w:sz w:val="21"/>
        </w:rPr>
        <w:t>Demo interpretation</w:t>
      </w:r>
    </w:p>
    <w:p>
      <w:pPr>
        <w:widowControl/>
      </w:pPr>
      <w:r>
        <w:t>The interactive demo now compares two synthetic trabecular-microarchitecture sequences and maps each biological stage through one fixed cross-scale operator. It visualizes predicted directional response trajectories, convergence/divergence and an optional CSV import of two measured microstate histories; importing data does not itself calibrate the mechanical operator. These illustrations contain no observed fossil evolution, independently calibrated physiological laws or validated genetic and ecological effects. Mechanical-evolution claims require held-out micro-to-macro prediction and phylogenetically supported sampling.</w:t>
      </w:r>
    </w:p>
    <w:p>
      <w:pPr>
        <w:pStyle w:val="Heading1"/>
        <w:keepNext/>
        <w:spacing w:before="100" w:after="20"/>
      </w:pPr>
      <w:r>
        <w:rPr>
          <w:sz w:val="21"/>
        </w:rPr>
        <w:t>Selected literature and reproducible resources</w:t>
      </w:r>
    </w:p>
    <w:p>
      <w:pPr>
        <w:spacing w:after="40"/>
        <w:ind w:left="173"/>
      </w:pPr>
      <w:r>
        <w:rPr>
          <w:sz w:val="15"/>
        </w:rPr>
        <w:t>[1] Jones, Angielczyk &amp; Pierce (2024), mammalian vertebral function, Proc R Soc B. doi:10.1098/rspb.2024.0820</w:t>
      </w:r>
    </w:p>
    <w:p>
      <w:pPr>
        <w:spacing w:after="40"/>
        <w:ind w:left="173"/>
      </w:pPr>
      <w:r>
        <w:rPr>
          <w:sz w:val="15"/>
        </w:rPr>
        <w:t>[2] Jones et al. (2020), regionalization precedes functional adaptation, Nat Ecol Evol. doi:10.1038/s41559-020-1094-9</w:t>
      </w:r>
    </w:p>
    <w:p>
      <w:pPr>
        <w:spacing w:after="40"/>
        <w:ind w:left="173"/>
      </w:pPr>
      <w:r>
        <w:rPr>
          <w:sz w:val="15"/>
        </w:rPr>
        <w:t>[3] Gregory, Shearer &amp; Hazel (2021), microstructural tendon failure model, preprint. arXiv:2103.04844</w:t>
      </w:r>
    </w:p>
    <w:p>
      <w:pPr>
        <w:spacing w:after="40"/>
        <w:ind w:left="173"/>
      </w:pPr>
      <w:r>
        <w:rPr>
          <w:sz w:val="15"/>
        </w:rPr>
        <w:t>[4] Kivell (2016), trabecular functional adaptation and fossils, J Anat. doi:10.1111/joa.12446</w:t>
      </w:r>
    </w:p>
    <w:p>
      <w:pPr>
        <w:spacing w:after="40"/>
        <w:ind w:left="173"/>
      </w:pPr>
      <w:r>
        <w:rPr>
          <w:sz w:val="15"/>
        </w:rPr>
        <w:t>[5] Reinecke et al. (2025), amniote trabecular variation, Biol J Linn Soc. doi:10.1093/biolinnean/blaf073</w:t>
      </w:r>
    </w:p>
    <w:p>
      <w:pPr>
        <w:spacing w:after="40"/>
      </w:pPr>
      <w:r>
        <w:rPr>
          <w:sz w:val="15"/>
        </w:rPr>
        <w:t>[6] Robson Brown et al. (2014), validated comparative human–pig vertebral FE; tables on Dryad. doi:10.5061/dryad.db058</w:t>
      </w:r>
    </w:p>
    <w:p>
      <w:pPr>
        <w:spacing w:after="40"/>
      </w:pPr>
      <w:r>
        <w:rPr>
          <w:sz w:val="15"/>
        </w:rPr>
        <w:t>[7] Stephens et al. (2021), murine femur µCT (one leg) and mechanical test (contralateral leg), Scientific Data. doi:10.1038/s41597-021-01012-8</w:t>
      </w:r>
    </w:p>
    <w:p>
      <w:pPr/>
      <w:r>
        <w:rPr>
          <w:i/>
          <w:sz w:val="16"/>
        </w:rPr>
        <w:t>Proposal / prospective research only. Predictions and models described above are hypotheses, not completed validation.</w:t>
      </w:r>
    </w:p>
    <w:sectPr w:rsidR="00FC693F" w:rsidRPr="0006063C" w:rsidSect="00034616">
      <w:footerReference w:type="default" r:id="rId9"/>
      <w:pgSz w:w="12240" w:h="15840"/>
      <w:pgMar w:top="677" w:right="1008" w:bottom="66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A7277"/>
        <w:sz w:val="16"/>
      </w:rPr>
      <w:t xml:space="preserve">Asadi · research direction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48" w:lineRule="auto"/>
    </w:pPr>
    <w:rPr>
      <w:rFonts w:ascii="Aptos" w:hAnsi="Aptos"/>
      <w:color w:val="2C374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3D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3D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