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6D74"/>
          <w:sz w:val="16"/>
        </w:rPr>
        <w:t>DIRECTION B · COMPARATIVE JOINT FUNCTION AND EVOLUTION</w:t>
      </w:r>
    </w:p>
    <w:p>
      <w:pPr>
        <w:pStyle w:val="Title"/>
      </w:pPr>
      <w:r>
        <w:t>When Do Soft Tissues Change Our Interpretation of Joint Function?</w:t>
      </w:r>
    </w:p>
    <w:p>
      <w:pPr>
        <w:pStyle w:val="Subtitle"/>
        <w:spacing w:after="240"/>
      </w:pPr>
      <w:r>
        <w:t>Testing whether uncertainty in soft tissues changes functional comparisons across living vertebrates</w:t>
      </w:r>
    </w:p>
    <w:p>
      <w:pPr>
        <w:pStyle w:val="Heading1"/>
      </w:pPr>
      <w:r>
        <w:t>Evolutionary question</w:t>
      </w:r>
    </w:p>
    <w:p>
      <w:r>
        <w:t>Bones constrain joint geometry, but skin, capsule, muscles, cartilage and their attachment states also shape movement. Wright and Pierce (2026) showed this directly in tegu lizards and Virginia opossums: different tissue layers limit their hips in different ways. I want to test which comparisons of joint function remain reliable when several tissue anatomies and mechanical behaviors fit the available evidence. Living species are the first biological target; evolutionary reconstruction is a later application.</w:t>
      </w:r>
    </w:p>
    <w:p>
      <w:pPr>
        <w:pStyle w:val="Heading1"/>
      </w:pPr>
      <w:r>
        <w:t>What previous research establishes—and what remains open</w:t>
      </w:r>
    </w:p>
    <w:p>
      <w:r>
        <w:t>High-dimensional joint reconstruction is already well developed: APSE searches joint poses, and Manafzadeh and Gatesy (2021) show why all six degrees of freedom matter. Wright and Pierce (2026) measured tissue-specific limits on hip mobility; Dalman and Saul (2026) showed sensitivity to uncertain joint tissues. SOMA (Alvarado et al., 2026) offers a further clue: learned, subject-specific muscle deformations can be driven by skeletal pose inferred from video. However, SOMA uses dense multiview training data and anatomical templates; it neither estimates material properties nor transfers directly to lizards or opossums. My contribution is to ask when video-constrained anatomy and independently compatible tissue laws change held-out movement predictions or a cross-species functional comparison.</w:t>
      </w:r>
    </w:p>
    <w:p>
      <w:pPr>
        <w:pStyle w:val="Heading1"/>
      </w:pPr>
      <w:r>
        <w:t>Hypothesis and competing explanations</w:t>
      </w:r>
    </w:p>
    <w:p>
      <w:r>
        <w:t>My hypothesis is that different anatomically and constitutively compatible tissue combinations can sometimes reproduce the same measured joint conditions while implying different behavior under an untested condition. A mechanics-based compatibility set should identify when comparative joint conclusions are robust, when they depend on an uncertain tissue assumption, and which additional tissue or movement test would resolve the difference.</w:t>
      </w:r>
    </w:p>
    <w:p>
      <w:pPr>
        <w:ind w:left="202" w:hanging="202"/>
      </w:pPr>
      <w:r>
        <w:t>• Alternative 1 — Anatomy dominates. Uncertainty in attachment geometry, tissue slack length, prestrain and contact explains most variation; comparing material families contributes little.</w:t>
      </w:r>
    </w:p>
    <w:p>
      <w:pPr>
        <w:ind w:left="202" w:hanging="202"/>
      </w:pPr>
      <w:r>
        <w:t>• Alternative 2 — The comparison is robust. Every reasonable tissue combination preserves the direction of the living-species contrast, so set-based modeling changes confidence but not the biological conclusion.</w:t>
      </w:r>
    </w:p>
    <w:p>
      <w:pPr>
        <w:ind w:left="202" w:hanging="202"/>
      </w:pPr>
      <w:r>
        <w:t>• Alternative 3 — The model does not transfer. A model fitted to one tissue-removal stage or loading condition excludes observed poses in an untouched stage.</w:t>
      </w:r>
    </w:p>
    <w:p>
      <w:pPr>
        <w:pStyle w:val="Heading1"/>
      </w:pPr>
      <w:r>
        <w:t>Research plan and decisive tests</w:t>
      </w:r>
    </w:p>
    <w:p>
      <w:pPr>
        <w:pStyle w:val="Heading2"/>
      </w:pPr>
      <w:r>
        <w:t>Aim 1 | Establish an experimental joint-mechanics baseline.</w:t>
      </w:r>
    </w:p>
    <w:p>
      <w:r>
        <w:t>I would start from Wright and Pierce’s tegu–opossum experiments, where tissue removal and XROMM distinguish passive ex vivo mobility from joint excursions during walking. If specimen-resolved geometries, synchronized videos, trajectories and loads are accessible, I would register bones, tissues and contact surfaces, holding out whole specimens or test conditions. Ordinary video would be tested first as a noisy observation of movement, against XROMM, not assumed to measure internal structures. Summary figures alone support a methodological demonstration, not specimen-level validation.</w:t>
      </w:r>
    </w:p>
    <w:p>
      <w:pPr>
        <w:pStyle w:val="Heading2"/>
      </w:pPr>
      <w:r>
        <w:t>Aim 2 | Measure what is identifiable and which tests would help.</w:t>
      </w:r>
    </w:p>
    <w:p>
      <w:r>
        <w:t>For each tissue, I would represent the compatible ranges of geometry, slack length, prestrain and constitutive response. I would keep bone-feasible six-DOF poses, passive load-achievable motion and observed locomotion as distinct endpoints. I would compare a fixed law, parameter uncertainty, anatomical uncertainty and the full response set, then select new loads or motion conditions that best distinguish competing explanations.</w:t>
      </w:r>
    </w:p>
    <w:p>
      <w:pPr>
        <w:pStyle w:val="Heading2"/>
      </w:pPr>
      <w:r>
        <w:t>Video-to-tissue inference | an exploratory, testable extension</w:t>
      </w:r>
    </w:p>
    <w:p>
      <w:pPr/>
      <w:r>
        <w:t>Inspired by SOMA, I would start with a short animal video and estimate a distribution of 3D joint poses and visible skin motion, accounting for camera ambiguity and occlusion. A species-specific, anatomy-guided network would propose multiple plausible internal muscle and capsule deformation fields—not a single hidden “ground truth.” I would then test these proposals against independent tissue geometry and load–motion experiments using a mechanics-based compatibility atlas. The output is a set of admissible tissue responses and a robustness map for joint comparisons. A single uncalibrated video cannot uniquely identify stiffness, muscle activation or stress; the first goal is to measure how much video actually narrows the set. Human SOMA weights would not be reused as validated animal models.</w:t>
      </w:r>
    </w:p>
    <w:p>
      <w:pPr>
        <w:pStyle w:val="Heading2"/>
      </w:pPr>
      <w:r>
        <w:t>Aim 3 | Compare living species and test evolutionary extrapolation.</w:t>
      </w:r>
    </w:p>
    <w:p>
      <w:r>
        <w:t>I would predefine an interpretable contrast between living species—for example, difference in passive hip mobility under standardized test conditions—and ask whether its sign or magnitude survives all defensible assumptions. A broader sample could assess within-species variation and phylogenetic structure. Only once the extant model passes its held-out tests would fossil-related priors be introduced to examine a carefully specified evolutionary question. The deliverable would be a robustness map showing which predefined cross-species conclusions survive the compatible tissue set.</w:t>
      </w:r>
    </w:p>
    <w:p>
      <w:pPr>
        <w:pStyle w:val="Heading1"/>
      </w:pPr>
      <w:r>
        <w:t>Validation and comparisons</w:t>
      </w:r>
    </w:p>
    <w:p>
      <w:pPr>
        <w:ind w:left="202" w:hanging="202"/>
      </w:pPr>
      <w:r>
        <w:t>• Baselines. Bone-only search; single-law and parameter-uncertainty models; anatomy-only uncertainty; video-only kinematic reconstruction; video with anatomical priors; and combined video-informed anatomical and constitutive compatibility sets.</w:t>
      </w:r>
    </w:p>
    <w:p>
      <w:pPr>
        <w:ind w:left="202" w:hanging="202"/>
      </w:pPr>
      <w:r>
        <w:t>• Validation. Compare inferred 3D trajectories with held-out XROMM; where possible, test inferred anatomy against independent imaging. Measure held-out pose inclusion, false exclusion, load–pose curves and contact violations. Report calibration, view count, tested loads and all six degrees of freedom.</w:t>
      </w:r>
    </w:p>
    <w:p>
      <w:pPr>
        <w:ind w:left="202" w:hanging="202"/>
      </w:pPr>
      <w:r>
        <w:t>• Comparison. Define the functional contrast before model selection. Test sensitivity to geometry, size, tissue path, slack length, load protocol and relatedness; do not treat two exemplar species as an evolutionary time series.</w:t>
      </w:r>
    </w:p>
    <w:p>
      <w:pPr>
        <w:ind w:left="202" w:hanging="202"/>
      </w:pPr>
      <w:r>
        <w:t>• Model adequacy. My published atlas approach is a starting framework, not proof that isotropic hyperelastic models describe animal muscle, capsule or ligament. Where needed, add measured anisotropy, tensile recruitment, active force or rate dependence—or explicitly report that available data are insufficient.</w:t>
      </w:r>
    </w:p>
    <w:p>
      <w:pPr>
        <w:pStyle w:val="Heading1"/>
      </w:pPr>
      <w:r>
        <w:t>What would count as evidence</w:t>
      </w:r>
    </w:p>
    <w:p>
      <w:pPr>
        <w:ind w:left="202" w:hanging="202"/>
      </w:pPr>
      <w:r>
        <w:t>• Success. Compared with video-only, fixed-law and anatomy-only baselines, the combined approach improves held-out motion/load predictions without excluding the measured behavior, or exposes a reproducible ambiguity in a predefined living-species functional contrast.</w:t>
      </w:r>
    </w:p>
    <w:p>
      <w:pPr>
        <w:ind w:left="202" w:hanging="202"/>
      </w:pPr>
      <w:r>
        <w:t>• Informative failure. A simpler anatomical model matches or exceeds the full approach, or all plausible tissue responses imply the same biological conclusion. That would identify when extra constitutive detail is unnecessary.</w:t>
      </w:r>
    </w:p>
    <w:p>
      <w:pPr>
        <w:ind w:left="202" w:hanging="202"/>
      </w:pPr>
      <w:r>
        <w:t>• Interpretation. A passive mobility envelope is not an animal’s gait; changing tissue constraints may also alter joint stabilization or contact. No simulated contrast alone demonstrates an evolutionary transition.</w:t>
      </w:r>
    </w:p>
    <w:p>
      <w:pPr>
        <w:pStyle w:val="Heading1"/>
      </w:pPr>
      <w:r>
        <w:t>Feasibility gates and staged milestones</w:t>
      </w:r>
    </w:p>
    <w:p>
      <w:r>
        <w:t>Months 0–3: confirm access to paired videos, six-DOF XROMM, tissue stages and load conditions; define holdouts. Months 4–9: benchmark pose/video tracking and anatomy reconstruction separately (using the human SKIM dataset only as a method-development reference), and reproduce bone-only and fixed-law joint models. Months 10–18: test video-informed compatible tissue sets on untouched animal specimens or loading conditions, if data permit. Without paired video, anatomy and loads, deliver a proof-of-concept and a data-requirements study, not a validated tissue-inference claim.</w:t>
      </w:r>
    </w:p>
    <w:p>
      <w:pPr>
        <w:pStyle w:val="Heading1"/>
      </w:pPr>
      <w:r>
        <w:t>Intellectual merit and complementary expertise</w:t>
      </w:r>
    </w:p>
    <w:p>
      <w:r>
        <w:t>The intellectual merit is a testable bridge from inexpensive visual observations to mechanically defensible comparative conclusions: which tissue explanations remain compatible with measured anatomy, movement and loads, and when do different compatible explanations reverse a joint-function contrast? Pierce’s group would guide comparative anatomy, XROMM and evolutionary hypotheses; I would develop video-informed uncertainty propagation, constitutive compatibility sets and optimal follow-up tests. A video-derived pose is a constraint, never itself evidence of a unique tissue law.</w:t>
      </w:r>
    </w:p>
    <w:p>
      <w:pPr>
        <w:pStyle w:val="Heading1"/>
      </w:pPr>
      <w:r>
        <w:t>Broader impacts</w:t>
      </w:r>
    </w:p>
    <w:p>
      <w:pPr/>
      <w:r>
        <w:t>Release documented six-DOF joint uncertainty test cases and a browser-based teaching example that distinguishes bone-feasible poses, passive load-achievable movement and observed motion. Reproducibility would be assessed through scripted held-out tests and public documentation. Specimen-derived inputs would be shared only with permission; otherwise, synthetic examples would remain explicitly labelled. These resources could support biomechanics teaching and more cautious comparative interpretations.</w:t>
      </w:r>
    </w:p>
    <w:p>
      <w:pPr>
        <w:pStyle w:val="Heading1"/>
      </w:pPr>
      <w:r>
        <w:t>Key references</w:t>
      </w:r>
    </w:p>
    <w:p>
      <w:pPr>
        <w:spacing w:after="0" w:line="240" w:lineRule="auto"/>
      </w:pPr>
      <w:r>
        <w:rPr>
          <w:sz w:val="16"/>
        </w:rPr>
        <w:t>1. Wright &amp; Pierce (2026), tissue-specific constraints on tegu/opossum hip mobility, Journal of Experimental Biology.  https://doi.org/10.1242/jeb.251911</w:t>
      </w:r>
    </w:p>
    <w:p>
      <w:pPr>
        <w:spacing w:after="0" w:line="240" w:lineRule="auto"/>
      </w:pPr>
      <w:r>
        <w:rPr>
          <w:sz w:val="16"/>
        </w:rPr>
        <w:t>2. Bishop et al. (2023), APSE high-dimensional joint pose search, Methods in Ecology and Evolution.  https://doi.org/10.1111/2041-210X.14016</w:t>
      </w:r>
    </w:p>
    <w:p>
      <w:pPr>
        <w:spacing w:after="0" w:line="240" w:lineRule="auto"/>
      </w:pPr>
      <w:r>
        <w:rPr>
          <w:sz w:val="16"/>
        </w:rPr>
        <w:t>3. Manafzadeh &amp; Gatesy (2021), six-DOF articular reconstruction, Journal of Anatomy.  https://doi.org/10.1111/joa.13513</w:t>
      </w:r>
    </w:p>
    <w:p>
      <w:pPr>
        <w:spacing w:after="0" w:line="240" w:lineRule="auto"/>
      </w:pPr>
      <w:r>
        <w:rPr>
          <w:sz w:val="16"/>
        </w:rPr>
        <w:t>4. Brocklehurst et al. (2025), joint shape and function through ex vivo XROMM, Journal of Experimental Biology.  https://doi.org/10.1242/jeb.249261</w:t>
      </w:r>
    </w:p>
    <w:p>
      <w:pPr>
        <w:spacing w:after="0" w:line="240" w:lineRule="auto"/>
      </w:pPr>
      <w:r>
        <w:rPr>
          <w:sz w:val="16"/>
        </w:rPr>
        <w:t>5. Dalman &amp; Saul (2026), sensitivity of shoulder joint simulation to uncertain soft tissues, Journal of Biomechanics.  https://doi.org/10.1016/j.jbiomech.2025.113114</w:t>
      </w:r>
    </w:p>
    <w:p>
      <w:pPr>
        <w:spacing w:after="0" w:line="240" w:lineRule="auto"/>
      </w:pPr>
      <w:r>
        <w:rPr>
          <w:sz w:val="16"/>
        </w:rPr>
        <w:t>6. Asadi &amp; Laksari (2026), noise-aware constitutive compatibility atlas, bioRxiv preprint.  https://doi.org/10.64898/2026.10.12.758616</w:t>
      </w:r>
    </w:p>
    <w:p>
      <w:pPr>
        <w:spacing w:after="0" w:line="240" w:lineRule="auto"/>
      </w:pPr>
      <w:r>
        <w:rPr>
          <w:sz w:val="16"/>
        </w:rPr>
        <w:t>7. Bishop &amp; Pierce (2024), late acquisition of erect hindlimb function, Science Advances.  https://doi.org/10.1126/sciadv.adr2722</w:t>
      </w:r>
    </w:p>
    <w:p>
      <w:pPr>
        <w:spacing w:after="0"/>
      </w:pPr>
      <w:r>
        <w:rPr>
          <w:sz w:val="16"/>
        </w:rPr>
        <w:t>8. Alvarado et al. (2026), SOMA: From Surface Observations to Muscle Anatomy, ECCV 2026.  https://arxiv.org/abs/2606.09246</w:t>
      </w:r>
    </w:p>
    <w:sectPr w:rsidR="00FC693F" w:rsidRPr="0006063C" w:rsidSect="00034616">
      <w:footerReference w:type="default" r:id="rId9"/>
      <w:pgSz w:w="12240" w:h="15840"/>
      <w:pgMar w:top="619" w:right="1123" w:bottom="57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636F"/>
        <w:sz w:val="15"/>
      </w:rPr>
      <w:t xml:space="preserve">RESEARCH CONCEPT  •  OCT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 w:line="246" w:lineRule="auto"/>
    </w:pPr>
    <w:rPr>
      <w:rFonts w:ascii="Aptos" w:hAnsi="Aptos"/>
      <w:color w:val="1B3042"/>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2" w:after="12"/>
      <w:outlineLvl w:val="0"/>
    </w:pPr>
    <w:rPr>
      <w:rFonts w:asciiTheme="majorHAnsi" w:eastAsiaTheme="majorEastAsia" w:hAnsiTheme="majorHAnsi" w:cstheme="majorBidi" w:ascii="Aptos" w:hAnsi="Aptos"/>
      <w:b/>
      <w:bCs/>
      <w:color w:val="006D74"/>
      <w:sz w:val="21"/>
      <w:szCs w:val="28"/>
    </w:rPr>
  </w:style>
  <w:style w:type="paragraph" w:styleId="Heading2">
    <w:name w:val="heading 2"/>
    <w:basedOn w:val="Normal"/>
    <w:next w:val="Normal"/>
    <w:link w:val="Heading2Char"/>
    <w:uiPriority w:val="9"/>
    <w:unhideWhenUsed/>
    <w:qFormat/>
    <w:rsid w:val="00FC693F"/>
    <w:pPr>
      <w:keepNext/>
      <w:keepLines/>
      <w:spacing w:before="20" w:after="14"/>
      <w:outlineLvl w:val="1"/>
    </w:pPr>
    <w:rPr>
      <w:rFonts w:asciiTheme="majorHAnsi" w:eastAsiaTheme="majorEastAsia" w:hAnsiTheme="majorHAnsi" w:cstheme="majorBidi" w:ascii="Aptos" w:hAnsi="Aptos"/>
      <w:b/>
      <w:bCs/>
      <w:color w:val="1B3042"/>
      <w:sz w:val="19"/>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1B3042"/>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