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20"/>
        </w:rPr>
        <w:t>Generated Articles - Mckinsey Consultant</w:t>
      </w:r>
    </w:p>
    <w:p/>
    <w:p>
      <w:pPr>
        <w:pStyle w:val="Heading1"/>
        <w:jc w:val="left"/>
      </w:pPr>
      <w:r>
        <w:t>FedEx's European Challenge: Strategic Imperatives for Sustainable Profitability in a Transforming Market</w:t>
      </w:r>
    </w:p>
    <w:p>
      <w:r>
        <w:rPr>
          <w:i/>
          <w:color w:val="0077B5"/>
          <w:sz w:val="20"/>
        </w:rPr>
        <w:t>#FedEx Europe #supply chain optimization #Network 2.0 #DRIVE transformation #European logistics #sustainability investments #operational efficiency #international strategy #profit margins #strategic investments</w:t>
      </w:r>
    </w:p>
    <w:p/>
    <w:p>
      <w:pPr/>
      <w:r>
        <w:t>FedEx Corporation stands at a critical juncture in its European operations, facing persistent profitability challenges that demand immediate strategic attention. Despite generating approximately $25 billion in international revenue in fiscal 2025, with Europe representing a substantial portion of this figure, the company's European operations continue to underperform relative to their potential. The recent announcement of a workforce reduction plan affecting 1,400 employees across Europe, while necessary for structural cost optimization, signals deeper strategic challenges that require comprehensive solutions beyond cost-cutting measures. As FedEx navigates its DRIVE transformation and prepares for the spin-off of FedEx Freight, the European market presents both the company's most significant international challenge and its greatest untapped opportunity for growth.</w:t>
      </w:r>
    </w:p>
    <w:p/>
    <w:p>
      <w:pPr>
        <w:pStyle w:val="Heading2"/>
      </w:pPr>
      <w:r>
        <w:t>Current State: Structural Challenges and Financial Pressures</w:t>
      </w:r>
    </w:p>
    <w:p>
      <w:pPr/>
      <w:r>
        <w:t>FedEx's European operations face a complex web of challenges that have constrained profitability despite the region's strategic importance. The company's international segment operating margin remains significantly below domestic levels, with European operations contributing disproportionately to this underperformance. The workforce reduction plan announced in June 2024, expected to generate $150 million in annualized savings beginning in calendar 2026, represents a tactical response to immediate cost pressures but does not address fundamental market positioning issues.</w:t>
        <w:br/>
        <w:br/>
        <w:t>The European market's fragmentation, with varying regulatory requirements across 27 EU member states plus the UK, creates operational complexity that inflates costs. FedEx operates 27 transit hubs and over 550 stations across Europe, yet this extensive infrastructure has not translated into market leadership. The company's European road network, while connecting more than 45 countries, faces intense competition from regional players like DPD and GLS, who benefit from lower cost structures and stronger local market knowledge.</w:t>
        <w:br/>
        <w:br/>
        <w:t>Currency headwinds have further eroded profitability, with the euro's volatility impacting both revenue and cost structures. The company's exposure to multiple European currencies creates additional complexity in financial planning and pricing strategies.</w:t>
      </w:r>
    </w:p>
    <w:p/>
    <w:p>
      <w:pPr>
        <w:pStyle w:val="Heading2"/>
      </w:pPr>
      <w:r>
        <w:t>Strategic Investment Priorities for European Transformation</w:t>
      </w:r>
    </w:p>
    <w:p>
      <w:pPr/>
      <w:r>
        <w:t>To achieve sustainable profitability in Europe, FedEx must pursue a multi-pronged investment strategy that goes beyond cost reduction. First, accelerating the Network 2.0 implementation across European markets is critical. While the company has successfully deployed this optimization in approximately 290 locations in North America, European implementation has lagged. Investing $200-300 million in European Network 2.0 deployment could yield operational efficiencies of 15-20% within 24 months.</w:t>
        <w:br/>
        <w:br/>
        <w:t>Second, technology infrastructure modernization is essential. FedEx should allocate $150-200 million toward establishing regional data centers and enhancing digital capabilities specific to European customer needs. The fdx platform launched in September 2024 must be localized for European markets, with particular emphasis on cross-border e-commerce solutions that address the unique challenges of intra-European trade.</w:t>
        <w:br/>
        <w:br/>
        <w:t>Third, sustainable logistics investments are non-negotiable given Europe's aggressive environmental regulations. The EU's RefuelEU mandate and emissions trading schemes require immediate action. FedEx should commit $300-400 million toward electric vehicle deployment and sustainable aviation fuel infrastructure in Europe over the next three years. This investment would not only ensure regulatory compliance but also position FedEx as the sustainability leader in European logistics.</w:t>
      </w:r>
    </w:p>
    <w:p/>
    <w:p>
      <w:pPr>
        <w:pStyle w:val="Heading2"/>
      </w:pPr>
      <w:r>
        <w:t>Market-Specific Growth Strategies</w:t>
      </w:r>
    </w:p>
    <w:p>
      <w:pPr/>
      <w:r>
        <w:t>FedEx must adopt differentiated strategies for key European markets. In Western Europe, where competition is intense, the focus should be on premium services and time-definite delivery solutions. The company's International Priority and International First services command higher yields and should be aggressively marketed to multinational corporations with European headquarters.</w:t>
        <w:br/>
        <w:br/>
        <w:t>In Eastern Europe, where e-commerce growth rates exceed 20% annually, FedEx should invest in last-mile delivery capabilities and forge strategic partnerships with regional e-commerce platforms. A targeted investment of $100 million in Eastern European infrastructure could capture significant market share in these high-growth markets.</w:t>
        <w:br/>
        <w:br/>
        <w:t>The UK market, post-Brexit, presents unique opportunities for FedEx to leverage its global customs clearance expertise. Establishing a dedicated UK-EU trade facilitation unit could generate $50-75 million in additional annual revenue while strengthening customer relationships.</w:t>
      </w:r>
    </w:p>
    <w:p/>
    <w:p>
      <w:pPr>
        <w:pStyle w:val="Heading2"/>
      </w:pPr>
      <w:r>
        <w:t>Financial Framework and Expected Returns</w:t>
      </w:r>
    </w:p>
    <w:p>
      <w:pPr/>
      <w:r>
        <w:t>The recommended strategic investments totaling $750 million to $1 billion over three years may seem substantial, but the potential returns justify the commitment. Based on industry benchmarks and FedEx's historical performance improvements from similar initiatives, these investments could generate:</w:t>
        <w:br/>
        <w:br/>
        <w:t>• Operating margin improvement of 200-300 basis points in European operations by fiscal 2028</w:t>
        <w:br/>
        <w:t>• Revenue growth acceleration of 2-3 percentage points above market rates</w:t>
        <w:br/>
        <w:t>• Annual cost savings of $400-500 million by fiscal 2027</w:t>
        <w:br/>
        <w:t>• Return on invested capital exceeding 15% within four years</w:t>
        <w:br/>
        <w:br/>
        <w:t>These projections assume successful execution of the DRIVE program, continued e-commerce growth in Europe, and no significant economic disruption. The investment should be staged, with immediate priority given to Network 2.0 implementation and sustainability initiatives to address regulatory requirements.</w:t>
      </w:r>
    </w:p>
    <w:p/>
    <w:p>
      <w:pPr>
        <w:pStyle w:val="Heading2"/>
      </w:pPr>
      <w:r>
        <w:t>Conclusion</w:t>
      </w:r>
    </w:p>
    <w:p>
      <w:pPr/>
      <w:r>
        <w:t>FedEx's European challenge demands bold strategic action rather than incremental adjustments. While the current workforce reduction plan addresses immediate cost pressures, sustainable profitability requires comprehensive investment in network optimization, technology modernization, and market-specific growth initiatives. The recommended $750 million to $1 billion investment program represents less than 4% of FedEx's international revenue but could fundamentally transform the company's European competitive position. As FedEx approaches its 2040 carbon neutrality goal and navigates increasing regulatory complexity, European success is not optional—it is essential for maintaining global leadership in logistics. The leadership team must act decisively to transform European operations from a persistent challenge into a growth engine that validates FedEx's position as the world's premier logistics provider.</w:t>
      </w:r>
    </w:p>
    <w:p/>
    <w:p>
      <w:pPr>
        <w:pStyle w:val="Heading2"/>
      </w:pPr>
      <w:r>
        <w:t>Key Takeaways</w:t>
      </w:r>
    </w:p>
    <w:p>
      <w:pPr>
        <w:pStyle w:val="ListBullet"/>
      </w:pPr>
      <w:r>
        <w:t>European operations require $750M-$1B strategic investment over three years to achieve sustainable profitability, focusing on Network 2.0 deployment, technology modernization, and sustainability infrastructure</w:t>
      </w:r>
    </w:p>
    <w:p>
      <w:pPr>
        <w:pStyle w:val="ListBullet"/>
      </w:pPr>
      <w:r>
        <w:t>The workforce reduction plan's $150M annual savings represents only tactical relief; structural transformation through network optimization could yield $400-500M in annual savings by fiscal 2027</w:t>
      </w:r>
    </w:p>
    <w:p>
      <w:pPr>
        <w:pStyle w:val="ListBullet"/>
      </w:pPr>
      <w:r>
        <w:t>Differentiated market strategies are essential: premium services in Western Europe, e-commerce infrastructure in Eastern Europe, and Brexit-related trade facilitation in the UK</w:t>
      </w:r>
    </w:p>
    <w:p>
      <w:pPr>
        <w:pStyle w:val="ListBullet"/>
      </w:pPr>
      <w:r>
        <w:t>Sustainability investments of $300-400M are non-negotiable given EU regulations, but also represent competitive differentiation opportunity in environmentally conscious European markets</w:t>
      </w:r>
    </w:p>
    <w:p>
      <w:pPr>
        <w:pStyle w:val="ListBullet"/>
      </w:pPr>
      <w:r>
        <w:t>Expected returns include 200-300 basis points margin improvement and 15%+ ROIC within four years, justifying the significant upfront investment</w:t>
      </w:r>
    </w:p>
    <w:p/>
    <w:p>
      <w:r>
        <w:rPr>
          <w:i/>
          <w:color w:val="808080"/>
          <w:sz w:val="18"/>
        </w:rPr>
        <w:br/>
        <w:t>___</w:t>
        <w:br/>
        <w:t>Source: Consolidated Documents</w:t>
        <w:br/>
        <w:t>Generated by: mckinsey_consultant | Style: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