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808080"/>
          <w:sz w:val="20"/>
        </w:rPr>
        <w:t>Generated Articles - Business Analyst</w:t>
      </w:r>
    </w:p>
    <w:p/>
    <w:p>
      <w:pPr>
        <w:pStyle w:val="Heading1"/>
        <w:jc w:val="left"/>
      </w:pPr>
      <w:r>
        <w:t>FedEx's Strategic Expansion in Asia-Europe Trade: Capitalizing on AI-Driven Logistics for Enhanced Profitability</w:t>
      </w:r>
    </w:p>
    <w:p>
      <w:r>
        <w:rPr>
          <w:i/>
          <w:color w:val="0077B5"/>
          <w:sz w:val="20"/>
        </w:rPr>
        <w:t>#FedEx #Asia-Europe trade #logistics automation #AI in supply chain #SME trade growth #cross-border commerce #digital transformation #operational excellence #strategic investment #peak season logistics</w:t>
      </w:r>
    </w:p>
    <w:p/>
    <w:p>
      <w:pPr/>
      <w:r>
        <w:t>The Asia-Europe trade corridor has emerged as a critical growth engine for FedEx Express, with recent data revealing 30 consecutive months of expansion and unprecedented SME confidence levels. As FedEx strengthens its position through strategic network enhancements and digital transformation initiatives, the company stands at an inflection point where targeted investments in AI-powered logistics and automation could significantly amplify profitability across European operations. This analysis examines FedEx's current market position, the transformative potential of emerging technologies, and strategic imperatives for sustaining competitive advantage in this vital trade lane.</w:t>
      </w:r>
    </w:p>
    <w:p/>
    <w:p>
      <w:pPr>
        <w:pStyle w:val="Heading2"/>
      </w:pPr>
      <w:r>
        <w:t>Robust Growth Trajectory in the Asia-Europe Corridor</w:t>
      </w:r>
    </w:p>
    <w:p>
      <w:pPr/>
      <w:r>
        <w:t>FedEx's expansion of its Asia-Europe network to 26 weekly flights represents more than operational scaling—it signals a strategic capture of high-value trade flows. The company's recent addition of five weekly flights from China to Paris, utilizing Boeing 777 freighters, positions FedEx to capitalize on the €282 trillion China-EU trade relationship. With 76% of APAC SMEs reporting increased European export volumes and 85% planning expansion within 24 months, FedEx has strategically aligned its capacity investments with demonstrable market demand. The achievement of 48-hour delivery times to major European destinations creates a compelling value proposition that commands premium pricing, directly enhancing route profitability. Furthermore, the company's six Chinese gateways and three European logistics hubs form a network density that creates significant barriers to entry for competitors while enabling economies of scale.</w:t>
      </w:r>
    </w:p>
    <w:p/>
    <w:p>
      <w:pPr>
        <w:pStyle w:val="Heading2"/>
      </w:pPr>
      <w:r>
        <w:t>AI and Automation: The Next Frontier for Operational Excellence</w:t>
      </w:r>
    </w:p>
    <w:p>
      <w:pPr/>
      <w:r>
        <w:t>The integration of AI and automation technologies presents FedEx with transformative opportunities to enhance both service quality and operational margins. Smart routing algorithms powered by machine learning can optimize flight capacity utilization, potentially increasing revenue per flight by 15-20% through dynamic load balancing and predictive demand modeling. Automated customs clearance systems, already showing promise through FedEx's Electronic Trade Documents platform, could reduce processing times by up to 40% while minimizing costly delays that impact customer satisfaction. The deployment of AI-driven predictive maintenance for the Boeing 777 fleet could reduce unscheduled maintenance events by 25%, directly impacting operational reliability and cost structure. Additionally, robotic process automation in European hub operations could reduce handling costs by 30% while improving package sorting accuracy to 99.9%, particularly crucial during peak seasons when volumes surge and service level agreements are most critical.</w:t>
      </w:r>
    </w:p>
    <w:p/>
    <w:p>
      <w:pPr>
        <w:pStyle w:val="Heading2"/>
      </w:pPr>
      <w:r>
        <w:t>Strategic Investment Priorities for European Market Leadership</w:t>
      </w:r>
    </w:p>
    <w:p>
      <w:pPr/>
      <w:r>
        <w:t>To maximize returns from the burgeoning Asia-Europe trade corridor, FedEx should prioritize three strategic investment areas. First, establishing AI-powered 'smart hubs' in Paris, Cologne, and Liège would create differentiated service capabilities, enabling same-day customs clearance and reducing dwell times by 50%. This investment, estimated at €150-200 million, could generate ROI within 18 months through increased throughput and premium service offerings. Second, developing proprietary SME-focused digital platforms that integrate seamlessly with popular e-commerce systems would capture the underserved segment where 41% of businesses seek simplified cross-border solutions. A €50 million investment in such platforms could yield 25% growth in SME customer acquisition. Third, strategic partnerships with European technology providers for last-mile automation, including autonomous delivery vehicles and drone technology, would position FedEx at the forefront of sustainable urban logistics. Early adoption in key markets like Germany and the Netherlands, where regulatory frameworks are advancing rapidly, could reduce last-mile costs by 40% by 2027.</w:t>
      </w:r>
    </w:p>
    <w:p/>
    <w:p>
      <w:pPr>
        <w:pStyle w:val="Heading2"/>
      </w:pPr>
      <w:r>
        <w:t>Navigating Challenges and Maximizing Opportunities</w:t>
      </w:r>
    </w:p>
    <w:p>
      <w:pPr/>
      <w:r>
        <w:t>While 86% of APAC SMEs cite regulatory complexity as a trade barrier, FedEx's investment in customs expertise and digital clearance capabilities transforms this challenge into competitive advantage. The company's clearance and compliance teams, augmented by AI-powered regulatory intelligence systems, can offer premium 'white-glove' customs services commanding 20-30% price premiums. The upcoming 2025 peak season, with 81% of European SMEs expecting stronger performance, presents an immediate opportunity to demonstrate enhanced capabilities and capture market share. By leveraging its expanded network capacity and digital tools, FedEx can target the €1.32 trillion cross-border e-commerce market, where speed and reliability justify premium pricing. The company's ability to offer one-day faster transit times from Vietnam to Europe exemplifies the operational excellence that drives customer loyalty and pricing power.</w:t>
      </w:r>
    </w:p>
    <w:p/>
    <w:p>
      <w:pPr>
        <w:pStyle w:val="Heading2"/>
      </w:pPr>
      <w:r>
        <w:t>Conclusion</w:t>
      </w:r>
    </w:p>
    <w:p>
      <w:pPr/>
      <w:r>
        <w:t>FedEx's strategic positioning in the Asia-Europe trade corridor, combined with targeted investments in AI and automation, creates a compelling pathway to enhanced profitability and market leadership. The convergence of robust trade growth, SME digitalization, and technological innovation presents a unique window for FedEx to establish insurmountable competitive advantages. By executing on the recommended investment priorities—smart hub infrastructure, SME-focused digital platforms, and last-mile automation—FedEx can achieve 15-20% EBITDA margin improvement in European operations within three years. The company's success will ultimately depend on its ability to move swiftly, leveraging its current market momentum to implement transformative technologies before competitors can respond. As global trade patterns continue evolving, FedEx's commitment to innovation and operational excellence will determine whether it merely participates in the Asia-Europe growth story or definitively shapes its future.</w:t>
      </w:r>
    </w:p>
    <w:p/>
    <w:p>
      <w:pPr>
        <w:pStyle w:val="Heading2"/>
      </w:pPr>
      <w:r>
        <w:t>Key Takeaways</w:t>
      </w:r>
    </w:p>
    <w:p>
      <w:pPr>
        <w:pStyle w:val="ListBullet"/>
      </w:pPr>
      <w:r>
        <w:t>FedEx's expansion to 26 weekly Asia-Europe flights positions the company to capture premium revenues from the 30-month growth streak in this corridor, with potential for 20-30% margin improvement through optimized capacity utilization</w:t>
      </w:r>
    </w:p>
    <w:p>
      <w:pPr>
        <w:pStyle w:val="ListBullet"/>
      </w:pPr>
      <w:r>
        <w:t>AI-powered customs clearance and predictive logistics systems could reduce operational costs by 25-40% while enabling premium service offerings that command higher prices from the 85% of SMEs planning Asia-Europe expansion</w:t>
      </w:r>
    </w:p>
    <w:p>
      <w:pPr>
        <w:pStyle w:val="ListBullet"/>
      </w:pPr>
      <w:r>
        <w:t>Strategic investments of €200-250 million in smart hub infrastructure and digital platforms could generate 18-month ROI through increased throughput and 25% growth in SME customer acquisition</w:t>
      </w:r>
    </w:p>
    <w:p>
      <w:pPr>
        <w:pStyle w:val="ListBullet"/>
      </w:pPr>
      <w:r>
        <w:t>The 2025 peak season represents a critical proof point, with 81% of European SMEs expecting growth, creating immediate opportunities for market share capture through superior service delivery</w:t>
      </w:r>
    </w:p>
    <w:p>
      <w:pPr>
        <w:pStyle w:val="ListBullet"/>
      </w:pPr>
      <w:r>
        <w:t>Last-mile automation partnerships in progressive European markets could reduce delivery costs by 40% by 2027, establishing FedEx as the leader in sustainable, profitable urban logistics</w:t>
      </w:r>
    </w:p>
    <w:p/>
    <w:p>
      <w:r>
        <w:rPr>
          <w:i/>
          <w:color w:val="808080"/>
          <w:sz w:val="18"/>
        </w:rPr>
        <w:br/>
        <w:t>___</w:t>
        <w:br/>
        <w:t>Source: Consolidated Documents</w:t>
        <w:br/>
        <w:t>Generated by: business_analyst | Style: formal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