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Error Catalog — Fictional Test Fixture</w:t>
      </w:r>
    </w:p>
    <w:p>
      <w:r>
        <w:t>This is a synthetic test fixture, not a real FedEx document.</w:t>
      </w:r>
    </w:p>
    <w:p>
      <w:pPr>
        <w:pStyle w:val="Heading2"/>
      </w:pPr>
      <w:r>
        <w:t>Error SAMPLE-100</w:t>
      </w:r>
    </w:p>
    <w:p>
      <w:r>
        <w:t>Triggered when the Sample Discrepancy Resolver finds a mismatch between planned and actual stop counts. Recommended action: open the Sample Reconciliation panel and accept or override the discrepancy line item.</w:t>
      </w:r>
    </w:p>
    <w:p>
      <w:pPr>
        <w:pStyle w:val="Heading2"/>
      </w:pPr>
      <w:r>
        <w:t>Error SAMPLE-200</w:t>
      </w:r>
    </w:p>
    <w:p>
      <w:r>
        <w:t>Indicates the Sample Heuristic timed out. Recommended action: reduce the planning horizon to a single shift and rerun.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