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10</w:t>
      </w:r>
    </w:p>
    <w:p>
      <w:pPr>
        <w:pStyle w:val="Author"/>
      </w:pPr>
      <w:r>
        <w:t xml:space="preserve">Сафин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и отладить ряд программ с использованием подпрограмм.</w:t>
      </w:r>
    </w:p>
    <w:bookmarkEnd w:id="21"/>
    <w:bookmarkStart w:id="118" w:name="ход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Создан файл ~/work/arch-pc/lab10/lab10-1.asm с программой, вычисляющей f(x)=2x+7 с использованием подпрограммы (рис. 1). Ее работа проверена (рис. 2). В текст добавлена подпрограмма (рис. 3), вычисляющая g(x)=3x-1, и ссылка на неё вставлена в lab10-1.asm так, что вычисляется f(g(x))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6671815"/>
            <wp:effectExtent b="0" l="0" r="0" t="0"/>
            <wp:docPr descr="Рис. 1: Текст lab10-1.asm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Текст lab10-1.asm</w:t>
      </w:r>
    </w:p>
    <w:p>
      <w:pPr>
        <w:pStyle w:val="CaptionedFigure"/>
      </w:pPr>
      <w:bookmarkStart w:id="29" w:name="fig:002"/>
      <w:r>
        <w:drawing>
          <wp:inline>
            <wp:extent cx="5334000" cy="2695780"/>
            <wp:effectExtent b="0" l="0" r="0" t="0"/>
            <wp:docPr descr="Рис. 2: Работа lab10-1.asm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Работа lab10-1.asm</w:t>
      </w:r>
    </w:p>
    <w:p>
      <w:pPr>
        <w:pStyle w:val="CaptionedFigure"/>
      </w:pPr>
      <w:bookmarkStart w:id="33" w:name="fig:003"/>
      <w:r>
        <w:drawing>
          <wp:inline>
            <wp:extent cx="5334000" cy="3697431"/>
            <wp:effectExtent b="0" l="0" r="0" t="0"/>
            <wp:docPr descr="Рис. 3: Новый текст lab10-1.asm" title="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Новый текст lab10-1.asm</w:t>
      </w:r>
    </w:p>
    <w:p>
      <w:pPr>
        <w:pStyle w:val="BodyText"/>
      </w:pPr>
      <w:r>
        <w:t xml:space="preserve">Повторное выполнение lab10-1.asm</w:t>
      </w:r>
    </w:p>
    <w:p>
      <w:pPr>
        <w:numPr>
          <w:ilvl w:val="0"/>
          <w:numId w:val="1002"/>
        </w:numPr>
        <w:pStyle w:val="Compact"/>
      </w:pPr>
      <w:r>
        <w:t xml:space="preserve">Создан файл lab10-2.asm с текстом программы из листинга 10.2 (рис. 4), печатающей Hello world. Файл оттранслирован, скомпанован и загружен в отладчик gdb (рис. 5). Проверена её работа с помощью run (рис. 6). Установлен брейкпоинт на _start (рис. 7). С этой же метки программа дизассемблирована сначала в синтаксисе ATT (рис. 8), а затем в intel (рис. 9). Из наблюдаемых отличий, в ATT ставится $ перед численными операндами и адресам, и % перед регитсрами.</w:t>
      </w:r>
    </w:p>
    <w:p>
      <w:pPr>
        <w:pStyle w:val="CaptionedFigure"/>
      </w:pPr>
      <w:bookmarkStart w:id="37" w:name="fig:005"/>
      <w:r>
        <w:drawing>
          <wp:inline>
            <wp:extent cx="5334000" cy="4578276"/>
            <wp:effectExtent b="0" l="0" r="0" t="0"/>
            <wp:docPr descr="Рис. 4: Текст lab10-2.asm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Текст lab10-2.asm</w:t>
      </w:r>
    </w:p>
    <w:p>
      <w:pPr>
        <w:pStyle w:val="CaptionedFigure"/>
      </w:pPr>
      <w:bookmarkStart w:id="41" w:name="fig:006"/>
      <w:r>
        <w:drawing>
          <wp:inline>
            <wp:extent cx="5334000" cy="2207781"/>
            <wp:effectExtent b="0" l="0" r="0" t="0"/>
            <wp:docPr descr="Рис. 5: Использование gdb к lab10-2" title="" id="39" name="Picture"/>
            <a:graphic>
              <a:graphicData uri="http://schemas.openxmlformats.org/drawingml/2006/picture">
                <pic:pic>
                  <pic:nvPicPr>
                    <pic:cNvPr descr="image/0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Использование gdb к lab10-2</w:t>
      </w:r>
    </w:p>
    <w:p>
      <w:pPr>
        <w:pStyle w:val="CaptionedFigure"/>
      </w:pPr>
      <w:bookmarkStart w:id="45" w:name="fig:007"/>
      <w:r>
        <w:drawing>
          <wp:inline>
            <wp:extent cx="5334000" cy="3433980"/>
            <wp:effectExtent b="0" l="0" r="0" t="0"/>
            <wp:docPr descr="Рис. 6: Использование run" title="" id="43" name="Picture"/>
            <a:graphic>
              <a:graphicData uri="http://schemas.openxmlformats.org/drawingml/2006/picture">
                <pic:pic>
                  <pic:nvPicPr>
                    <pic:cNvPr descr="image/0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Использование run</w:t>
      </w:r>
    </w:p>
    <w:p>
      <w:pPr>
        <w:pStyle w:val="CaptionedFigure"/>
      </w:pPr>
      <w:bookmarkStart w:id="49" w:name="fig:008"/>
      <w:r>
        <w:drawing>
          <wp:inline>
            <wp:extent cx="5334000" cy="2366741"/>
            <wp:effectExtent b="0" l="0" r="0" t="0"/>
            <wp:docPr descr="Рис. 7: Создание брейкпоинта" title="" id="47" name="Picture"/>
            <a:graphic>
              <a:graphicData uri="http://schemas.openxmlformats.org/drawingml/2006/picture">
                <pic:pic>
                  <pic:nvPicPr>
                    <pic:cNvPr descr="image/0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брейкпоинта</w:t>
      </w:r>
    </w:p>
    <w:p>
      <w:pPr>
        <w:pStyle w:val="CaptionedFigure"/>
      </w:pPr>
      <w:bookmarkStart w:id="53" w:name="fig:009"/>
      <w:r>
        <w:drawing>
          <wp:inline>
            <wp:extent cx="5270500" cy="3898900"/>
            <wp:effectExtent b="0" l="0" r="0" t="0"/>
            <wp:docPr descr="Рис. 8: Дизассемблированный код ATT" title="" id="51" name="Picture"/>
            <a:graphic>
              <a:graphicData uri="http://schemas.openxmlformats.org/drawingml/2006/picture">
                <pic:pic>
                  <pic:nvPicPr>
                    <pic:cNvPr descr="image/0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ATT</w:t>
      </w:r>
    </w:p>
    <w:p>
      <w:pPr>
        <w:pStyle w:val="CaptionedFigure"/>
      </w:pPr>
      <w:bookmarkStart w:id="57" w:name="fig:010"/>
      <w:r>
        <w:drawing>
          <wp:inline>
            <wp:extent cx="5334000" cy="4009103"/>
            <wp:effectExtent b="0" l="0" r="0" t="0"/>
            <wp:docPr descr="Рис. 9: Дизассемблированный код intel" title="" id="55" name="Picture"/>
            <a:graphic>
              <a:graphicData uri="http://schemas.openxmlformats.org/drawingml/2006/picture">
                <pic:pic>
                  <pic:nvPicPr>
                    <pic:cNvPr descr="image/0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Дизассемблированный код intel</w:t>
      </w:r>
    </w:p>
    <w:p>
      <w:pPr>
        <w:pStyle w:val="BodyText"/>
      </w:pPr>
      <w:r>
        <w:t xml:space="preserve">Включен режим псевдографики, просмотрена информация по точкам останова, создана ещё одна. (рис. 10). С помощью stepi выполнено пять инструкций (рис. 11-15). Изменялись значения регистров eax, ebx, ecx и edx.</w:t>
      </w:r>
    </w:p>
    <w:p>
      <w:pPr>
        <w:pStyle w:val="CaptionedFigure"/>
      </w:pPr>
      <w:bookmarkStart w:id="61" w:name="fig:011"/>
      <w:r>
        <w:drawing>
          <wp:inline>
            <wp:extent cx="5334000" cy="5348899"/>
            <wp:effectExtent b="0" l="0" r="0" t="0"/>
            <wp:docPr descr="Рис. 10: Рассмотрение и создание брейкпоинтов в режиме всевдографики" title="" id="59" name="Picture"/>
            <a:graphic>
              <a:graphicData uri="http://schemas.openxmlformats.org/drawingml/2006/picture">
                <pic:pic>
                  <pic:nvPicPr>
                    <pic:cNvPr descr="image/0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Рассмотрение и создание брейкпоинтов в режиме всевдографики</w:t>
      </w:r>
    </w:p>
    <w:p>
      <w:pPr>
        <w:pStyle w:val="CaptionedFigure"/>
      </w:pPr>
      <w:bookmarkStart w:id="65" w:name="fig:012"/>
      <w:r>
        <w:drawing>
          <wp:inline>
            <wp:extent cx="5334000" cy="5348899"/>
            <wp:effectExtent b="0" l="0" r="0" t="0"/>
            <wp:docPr descr="Рис. 11: Рассмотрение инструкций с помощью stepi (1)" title="" id="63" name="Picture"/>
            <a:graphic>
              <a:graphicData uri="http://schemas.openxmlformats.org/drawingml/2006/picture">
                <pic:pic>
                  <pic:nvPicPr>
                    <pic:cNvPr descr="image/0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Рассмотрение инструкций с помощью stepi (1)</w:t>
      </w:r>
    </w:p>
    <w:p>
      <w:pPr>
        <w:pStyle w:val="CaptionedFigure"/>
      </w:pPr>
      <w:bookmarkStart w:id="69" w:name="fig:013"/>
      <w:r>
        <w:drawing>
          <wp:inline>
            <wp:extent cx="5334000" cy="5348899"/>
            <wp:effectExtent b="0" l="0" r="0" t="0"/>
            <wp:docPr descr="Рис. 12: Рассмотрение инструкций с помощью stepi (2)" title="" id="67" name="Picture"/>
            <a:graphic>
              <a:graphicData uri="http://schemas.openxmlformats.org/drawingml/2006/picture">
                <pic:pic>
                  <pic:nvPicPr>
                    <pic:cNvPr descr="image/0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Рассмотрение инструкций с помощью stepi (2)</w:t>
      </w:r>
    </w:p>
    <w:p>
      <w:pPr>
        <w:pStyle w:val="CaptionedFigure"/>
      </w:pPr>
      <w:bookmarkStart w:id="73" w:name="fig:014"/>
      <w:r>
        <w:drawing>
          <wp:inline>
            <wp:extent cx="5334000" cy="5348899"/>
            <wp:effectExtent b="0" l="0" r="0" t="0"/>
            <wp:docPr descr="Рис. 13: Рассмотрение инструкций с помощью stepi (3)" title="" id="71" name="Picture"/>
            <a:graphic>
              <a:graphicData uri="http://schemas.openxmlformats.org/drawingml/2006/picture">
                <pic:pic>
                  <pic:nvPicPr>
                    <pic:cNvPr descr="image/0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Рассмотрение инструкций с помощью stepi (3)</w:t>
      </w:r>
    </w:p>
    <w:p>
      <w:pPr>
        <w:pStyle w:val="CaptionedFigure"/>
      </w:pPr>
      <w:bookmarkStart w:id="77" w:name="fig:015"/>
      <w:r>
        <w:drawing>
          <wp:inline>
            <wp:extent cx="5334000" cy="5348899"/>
            <wp:effectExtent b="0" l="0" r="0" t="0"/>
            <wp:docPr descr="Рис. 14: Рассмотрение инструкций с помощью stepi (4)" title="" id="75" name="Picture"/>
            <a:graphic>
              <a:graphicData uri="http://schemas.openxmlformats.org/drawingml/2006/picture">
                <pic:pic>
                  <pic:nvPicPr>
                    <pic:cNvPr descr="image/0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Рассмотрение инструкций с помощью stepi (4)</w:t>
      </w:r>
    </w:p>
    <w:p>
      <w:pPr>
        <w:pStyle w:val="CaptionedFigure"/>
      </w:pPr>
      <w:bookmarkStart w:id="81" w:name="fig:016"/>
      <w:r>
        <w:drawing>
          <wp:inline>
            <wp:extent cx="5334000" cy="5348899"/>
            <wp:effectExtent b="0" l="0" r="0" t="0"/>
            <wp:docPr descr="Рис. 15: Рассмотрение инструкций с помощью stepi (5)" title="" id="79" name="Picture"/>
            <a:graphic>
              <a:graphicData uri="http://schemas.openxmlformats.org/drawingml/2006/picture">
                <pic:pic>
                  <pic:nvPicPr>
                    <pic:cNvPr descr="image/0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Рассмотрение инструкций с помощью stepi (5)</w:t>
      </w:r>
    </w:p>
    <w:p>
      <w:pPr>
        <w:pStyle w:val="BodyText"/>
      </w:pPr>
      <w:r>
        <w:t xml:space="preserve">Значениу msg1 просмотрено (рис. 16), изменено (рис. 17), а затем просмотрено и изменено значени msg2 ((рис. 18). Выведены в различных форматах значение edx (рис. 19). C помощью команды set изменено значение ebx сначала на строчную двойку, а затем на численную. Поскольку в обоих случаях выводится численное значение двойки, вывод отличется (рис. 20). После выполнение программы было заверешер с помощью quit.</w:t>
      </w:r>
    </w:p>
    <w:p>
      <w:pPr>
        <w:pStyle w:val="CaptionedFigure"/>
      </w:pPr>
      <w:bookmarkStart w:id="85" w:name="fig:017"/>
      <w:r>
        <w:drawing>
          <wp:inline>
            <wp:extent cx="5334000" cy="5348899"/>
            <wp:effectExtent b="0" l="0" r="0" t="0"/>
            <wp:docPr descr="Рис. 16: Значение msg1" title="" id="83" name="Picture"/>
            <a:graphic>
              <a:graphicData uri="http://schemas.openxmlformats.org/drawingml/2006/picture">
                <pic:pic>
                  <pic:nvPicPr>
                    <pic:cNvPr descr="image/0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Значение msg1</w:t>
      </w:r>
    </w:p>
    <w:p>
      <w:pPr>
        <w:pStyle w:val="CaptionedFigure"/>
      </w:pPr>
      <w:bookmarkStart w:id="89" w:name="fig:018"/>
      <w:r>
        <w:drawing>
          <wp:inline>
            <wp:extent cx="4432300" cy="965200"/>
            <wp:effectExtent b="0" l="0" r="0" t="0"/>
            <wp:docPr descr="Рис. 17: Новое значение msg1" title="" id="87" name="Picture"/>
            <a:graphic>
              <a:graphicData uri="http://schemas.openxmlformats.org/drawingml/2006/picture">
                <pic:pic>
                  <pic:nvPicPr>
                    <pic:cNvPr descr="image/0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Новое значение msg1</w:t>
      </w:r>
    </w:p>
    <w:p>
      <w:pPr>
        <w:pStyle w:val="CaptionedFigure"/>
      </w:pPr>
      <w:bookmarkStart w:id="93" w:name="fig:019"/>
      <w:r>
        <w:drawing>
          <wp:inline>
            <wp:extent cx="4432300" cy="1409700"/>
            <wp:effectExtent b="0" l="0" r="0" t="0"/>
            <wp:docPr descr="Рис. 18: Изменение значение msg2" title="" id="91" name="Picture"/>
            <a:graphic>
              <a:graphicData uri="http://schemas.openxmlformats.org/drawingml/2006/picture">
                <pic:pic>
                  <pic:nvPicPr>
                    <pic:cNvPr descr="image/0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Изменение значение msg2</w:t>
      </w:r>
    </w:p>
    <w:p>
      <w:pPr>
        <w:pStyle w:val="CaptionedFigure"/>
      </w:pPr>
      <w:bookmarkStart w:id="97" w:name="fig:020"/>
      <w:r>
        <w:drawing>
          <wp:inline>
            <wp:extent cx="4368800" cy="1651000"/>
            <wp:effectExtent b="0" l="0" r="0" t="0"/>
            <wp:docPr descr="Рис. 19: Значение edx в разных форматах" title="" id="95" name="Picture"/>
            <a:graphic>
              <a:graphicData uri="http://schemas.openxmlformats.org/drawingml/2006/picture">
                <pic:pic>
                  <pic:nvPicPr>
                    <pic:cNvPr descr="image/0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Значение edx в разных форматах</w:t>
      </w:r>
    </w:p>
    <w:p>
      <w:pPr>
        <w:pStyle w:val="CaptionedFigure"/>
      </w:pPr>
      <w:bookmarkStart w:id="101" w:name="fig:021"/>
      <w:r>
        <w:drawing>
          <wp:inline>
            <wp:extent cx="4368800" cy="1651000"/>
            <wp:effectExtent b="0" l="0" r="0" t="0"/>
            <wp:docPr descr="Рис. 20: Установка и выведение зачений ebx" title="" id="99" name="Picture"/>
            <a:graphic>
              <a:graphicData uri="http://schemas.openxmlformats.org/drawingml/2006/picture">
                <pic:pic>
                  <pic:nvPicPr>
                    <pic:cNvPr descr="image/03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Установка и выведение зачений ebx</w:t>
      </w:r>
    </w:p>
    <w:p>
      <w:pPr>
        <w:numPr>
          <w:ilvl w:val="0"/>
          <w:numId w:val="1003"/>
        </w:numPr>
        <w:pStyle w:val="Compact"/>
      </w:pPr>
      <w:r>
        <w:t xml:space="preserve">Скопирован lab9-2.asm в lab10-3.asm, а затем к итоговой программе применен gdb при введении многих аргументов с помощью ключа –args (рис. 21). Установлена точка останова на _start (рис. 22). Выведено число аргументов, хранящееся в esp (рис. 23). Выведены значения в остальных позициях стека (рис. 24). Адресация сдвигается на четыре, так как на элемент стека выведено по 4 байта.</w:t>
      </w:r>
    </w:p>
    <w:p>
      <w:pPr>
        <w:pStyle w:val="CaptionedFigure"/>
      </w:pPr>
      <w:bookmarkStart w:id="105" w:name="fig:022"/>
      <w:r>
        <w:drawing>
          <wp:inline>
            <wp:extent cx="5334000" cy="675833"/>
            <wp:effectExtent b="0" l="0" r="0" t="0"/>
            <wp:docPr descr="Рис. 21: Использование gdb к lab10-3.asm" title="" id="103" name="Picture"/>
            <a:graphic>
              <a:graphicData uri="http://schemas.openxmlformats.org/drawingml/2006/picture">
                <pic:pic>
                  <pic:nvPicPr>
                    <pic:cNvPr descr="image/0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Использование gdb к lab10-3.asm</w:t>
      </w:r>
    </w:p>
    <w:p>
      <w:pPr>
        <w:pStyle w:val="CaptionedFigure"/>
      </w:pPr>
      <w:bookmarkStart w:id="109" w:name="fig:023"/>
      <w:r>
        <w:drawing>
          <wp:inline>
            <wp:extent cx="5334000" cy="675833"/>
            <wp:effectExtent b="0" l="0" r="0" t="0"/>
            <wp:docPr descr="Рис. 22: Установление точки останова на _start" title="" id="107" name="Picture"/>
            <a:graphic>
              <a:graphicData uri="http://schemas.openxmlformats.org/drawingml/2006/picture">
                <pic:pic>
                  <pic:nvPicPr>
                    <pic:cNvPr descr="image/0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Установление точки останова на _start</w:t>
      </w:r>
    </w:p>
    <w:p>
      <w:pPr>
        <w:pStyle w:val="CaptionedFigure"/>
      </w:pPr>
      <w:bookmarkStart w:id="113" w:name="fig:024"/>
      <w:r>
        <w:drawing>
          <wp:inline>
            <wp:extent cx="5334000" cy="675833"/>
            <wp:effectExtent b="0" l="0" r="0" t="0"/>
            <wp:docPr descr="Рис. 23: Выведение значения esp" title="" id="111" name="Picture"/>
            <a:graphic>
              <a:graphicData uri="http://schemas.openxmlformats.org/drawingml/2006/picture">
                <pic:pic>
                  <pic:nvPicPr>
                    <pic:cNvPr descr="image/0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Выведение значения esp</w:t>
      </w:r>
    </w:p>
    <w:p>
      <w:pPr>
        <w:pStyle w:val="CaptionedFigure"/>
      </w:pPr>
      <w:bookmarkStart w:id="117" w:name="fig:025"/>
      <w:r>
        <w:drawing>
          <wp:inline>
            <wp:extent cx="5334000" cy="2126452"/>
            <wp:effectExtent b="0" l="0" r="0" t="0"/>
            <wp:docPr descr="Рис. 24: Выведение значений стека" title="" id="115" name="Picture"/>
            <a:graphic>
              <a:graphicData uri="http://schemas.openxmlformats.org/drawingml/2006/picture">
                <pic:pic>
                  <pic:nvPicPr>
                    <pic:cNvPr descr="image/0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Выведение значений стека</w:t>
      </w:r>
    </w:p>
    <w:bookmarkEnd w:id="118"/>
    <w:bookmarkStart w:id="159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4"/>
        </w:numPr>
        <w:pStyle w:val="Compact"/>
      </w:pPr>
      <w:r>
        <w:t xml:space="preserve">Изменена программа из лабораторной работы 9 так, что f(x) вычисляется в подпрограмме (рис. 25, 26). Результат полностью соответствует таковому из лабораторной работы 9.</w:t>
      </w:r>
    </w:p>
    <w:p>
      <w:pPr>
        <w:pStyle w:val="CaptionedFigure"/>
      </w:pPr>
      <w:bookmarkStart w:id="122" w:name="fig:026"/>
      <w:r>
        <w:drawing>
          <wp:inline>
            <wp:extent cx="5334000" cy="6727270"/>
            <wp:effectExtent b="0" l="0" r="0" t="0"/>
            <wp:docPr descr="Рис. 25: Текст новой программы sr.asm" title="" id="120" name="Picture"/>
            <a:graphic>
              <a:graphicData uri="http://schemas.openxmlformats.org/drawingml/2006/picture">
                <pic:pic>
                  <pic:nvPicPr>
                    <pic:cNvPr descr="image/0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Текст новой программы sr.asm</w:t>
      </w:r>
    </w:p>
    <w:p>
      <w:pPr>
        <w:pStyle w:val="CaptionedFigure"/>
      </w:pPr>
      <w:bookmarkStart w:id="126" w:name="fig:027"/>
      <w:r>
        <w:drawing>
          <wp:inline>
            <wp:extent cx="5334000" cy="2239690"/>
            <wp:effectExtent b="0" l="0" r="0" t="0"/>
            <wp:docPr descr="Рис. 26: Выполнение sr" title="" id="124" name="Picture"/>
            <a:graphic>
              <a:graphicData uri="http://schemas.openxmlformats.org/drawingml/2006/picture">
                <pic:pic>
                  <pic:nvPicPr>
                    <pic:cNvPr descr="image/0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Выполнение sr</w:t>
      </w:r>
    </w:p>
    <w:p>
      <w:pPr>
        <w:numPr>
          <w:ilvl w:val="0"/>
          <w:numId w:val="1005"/>
        </w:numPr>
        <w:pStyle w:val="Compact"/>
      </w:pPr>
      <w:r>
        <w:t xml:space="preserve">Создан файл sr2.asm (рис. 27), в который введена программа из листинга 10.3, вычисляющая 4(3+2)+5 с ошибкой (рис. 28). С помощью отладчика рассмотрены изменения в регистрах (рис. 29-32). По ним видно, что ошибка возникает из-за сохранения результата суммы в ebx и продолжения работы с этим регистром несмотря на то, что умножение выполняется с eax. Ошибка исправлена (рис. 33). Программа выполняется верно (рис. 34).</w:t>
      </w:r>
    </w:p>
    <w:p>
      <w:pPr>
        <w:pStyle w:val="CaptionedFigure"/>
      </w:pPr>
      <w:bookmarkStart w:id="130" w:name="fig:028"/>
      <w:r>
        <w:drawing>
          <wp:inline>
            <wp:extent cx="5334000" cy="4639077"/>
            <wp:effectExtent b="0" l="0" r="0" t="0"/>
            <wp:docPr descr="Рис. 27: Текст новой программы sr2.asm" title="" id="128" name="Picture"/>
            <a:graphic>
              <a:graphicData uri="http://schemas.openxmlformats.org/drawingml/2006/picture">
                <pic:pic>
                  <pic:nvPicPr>
                    <pic:cNvPr descr="image/0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Текст новой программы sr2.asm</w:t>
      </w:r>
    </w:p>
    <w:p>
      <w:pPr>
        <w:pStyle w:val="CaptionedFigure"/>
      </w:pPr>
      <w:bookmarkStart w:id="134" w:name="fig:029"/>
      <w:r>
        <w:drawing>
          <wp:inline>
            <wp:extent cx="5334000" cy="1750218"/>
            <wp:effectExtent b="0" l="0" r="0" t="0"/>
            <wp:docPr descr="Рис. 28: Выполнение sr2" title="" id="132" name="Picture"/>
            <a:graphic>
              <a:graphicData uri="http://schemas.openxmlformats.org/drawingml/2006/picture">
                <pic:pic>
                  <pic:nvPicPr>
                    <pic:cNvPr descr="image/0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Выполнение sr2</w:t>
      </w:r>
    </w:p>
    <w:p>
      <w:pPr>
        <w:pStyle w:val="CaptionedFigure"/>
      </w:pPr>
      <w:bookmarkStart w:id="138" w:name="fig:030"/>
      <w:r>
        <w:drawing>
          <wp:inline>
            <wp:extent cx="5334000" cy="4361793"/>
            <wp:effectExtent b="0" l="0" r="0" t="0"/>
            <wp:docPr descr="Рис. 29: Рассмотрение работы регистров в GDB (1)" title="" id="136" name="Picture"/>
            <a:graphic>
              <a:graphicData uri="http://schemas.openxmlformats.org/drawingml/2006/picture">
                <pic:pic>
                  <pic:nvPicPr>
                    <pic:cNvPr descr="image/0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Рассмотрение работы регистров в GDB (1)</w:t>
      </w:r>
    </w:p>
    <w:p>
      <w:pPr>
        <w:pStyle w:val="CaptionedFigure"/>
      </w:pPr>
      <w:bookmarkStart w:id="142" w:name="fig:031"/>
      <w:r>
        <w:drawing>
          <wp:inline>
            <wp:extent cx="5334000" cy="4361793"/>
            <wp:effectExtent b="0" l="0" r="0" t="0"/>
            <wp:docPr descr="Рис. 30: Рассмотрение работы регистров в GDB (2)" title="" id="140" name="Picture"/>
            <a:graphic>
              <a:graphicData uri="http://schemas.openxmlformats.org/drawingml/2006/picture">
                <pic:pic>
                  <pic:nvPicPr>
                    <pic:cNvPr descr="image/0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Рассмотрение работы регистров в GDB (2)</w:t>
      </w:r>
    </w:p>
    <w:p>
      <w:pPr>
        <w:pStyle w:val="CaptionedFigure"/>
      </w:pPr>
      <w:bookmarkStart w:id="146" w:name="fig:032"/>
      <w:r>
        <w:drawing>
          <wp:inline>
            <wp:extent cx="5334000" cy="4361793"/>
            <wp:effectExtent b="0" l="0" r="0" t="0"/>
            <wp:docPr descr="Рис. 31: Рассмотрение работы регистров в GDB (3)" title="" id="144" name="Picture"/>
            <a:graphic>
              <a:graphicData uri="http://schemas.openxmlformats.org/drawingml/2006/picture">
                <pic:pic>
                  <pic:nvPicPr>
                    <pic:cNvPr descr="image/0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Рассмотрение работы регистров в GDB (3)</w:t>
      </w:r>
    </w:p>
    <w:p>
      <w:pPr>
        <w:pStyle w:val="CaptionedFigure"/>
      </w:pPr>
      <w:bookmarkStart w:id="150" w:name="fig:033"/>
      <w:r>
        <w:drawing>
          <wp:inline>
            <wp:extent cx="5334000" cy="4361793"/>
            <wp:effectExtent b="0" l="0" r="0" t="0"/>
            <wp:docPr descr="Рис. 32: Рассмотрение работы регистров в GDB (4)" title="" id="148" name="Picture"/>
            <a:graphic>
              <a:graphicData uri="http://schemas.openxmlformats.org/drawingml/2006/picture">
                <pic:pic>
                  <pic:nvPicPr>
                    <pic:cNvPr descr="image/0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32: Рассмотрение работы регистров в GDB (4)</w:t>
      </w:r>
    </w:p>
    <w:p>
      <w:pPr>
        <w:pStyle w:val="CaptionedFigure"/>
      </w:pPr>
      <w:bookmarkStart w:id="154" w:name="fig:034"/>
      <w:r>
        <w:drawing>
          <wp:inline>
            <wp:extent cx="5334000" cy="4639077"/>
            <wp:effectExtent b="0" l="0" r="0" t="0"/>
            <wp:docPr descr="Рис. 33: Текст измененной программы sr2.asm" title="" id="152" name="Picture"/>
            <a:graphic>
              <a:graphicData uri="http://schemas.openxmlformats.org/drawingml/2006/picture">
                <pic:pic>
                  <pic:nvPicPr>
                    <pic:cNvPr descr="image/0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33: Текст измененной программы sr2.asm</w:t>
      </w:r>
    </w:p>
    <w:p>
      <w:pPr>
        <w:pStyle w:val="CaptionedFigure"/>
      </w:pPr>
      <w:bookmarkStart w:id="158" w:name="fig:035"/>
      <w:r>
        <w:drawing>
          <wp:inline>
            <wp:extent cx="5334000" cy="2178921"/>
            <wp:effectExtent b="0" l="0" r="0" t="0"/>
            <wp:docPr descr="Рис. 34: Работа sr2" title="" id="156" name="Picture"/>
            <a:graphic>
              <a:graphicData uri="http://schemas.openxmlformats.org/drawingml/2006/picture">
                <pic:pic>
                  <pic:nvPicPr>
                    <pic:cNvPr descr="image/0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34: Работа sr2</w:t>
      </w:r>
    </w:p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Все программы с подпрограммами составлены. Задания по работе с отладчиком выполнены. Навык работы приобретен.</w:t>
      </w:r>
    </w:p>
    <w:bookmarkEnd w:id="160"/>
    <w:bookmarkStart w:id="162" w:name="список-литературы"/>
    <w:p>
      <w:pPr>
        <w:pStyle w:val="Heading1"/>
      </w:pPr>
      <w:r>
        <w:t xml:space="preserve">Список литературы</w:t>
      </w:r>
    </w:p>
    <w:bookmarkStart w:id="161" w:name="refs"/>
    <w:bookmarkEnd w:id="161"/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98" Target="media/rId9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10</dc:title>
  <dc:creator>Сафин Андрей Алексеевич</dc:creator>
  <dc:language>ru-RU</dc:language>
  <cp:keywords/>
  <dcterms:created xsi:type="dcterms:W3CDTF">2022-12-09T17:47:00Z</dcterms:created>
  <dcterms:modified xsi:type="dcterms:W3CDTF">2022-12-09T17:47:00Z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Листинг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Список иллюстраций</vt:lpwstr>
  </property>
  <property fmtid="{D5CDD505-2E9C-101B-9397-08002B2CF9AE}" pid="43" name="lolTitle">
    <vt:lpwstr>Листинги</vt:lpwstr>
  </property>
  <property fmtid="{D5CDD505-2E9C-101B-9397-08002B2CF9AE}" pid="44" name="lot">
    <vt:lpwstr>True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