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jpeg" ContentType="image/jpeg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rPr>
          <w:rFonts w:ascii="Tahoma" w:hAnsi="Tahoma" w:eastAsia="Tahoma" w:cs="Tahoma"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>Sres.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>AASA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>Pta. Celulosa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  <w:tab/>
        <w:tab/>
        <w:tab/>
        <w:tab/>
        <w:tab/>
        <w:tab/>
        <w:tab/>
        <w:tab/>
        <w:tab/>
        <w:tab/>
        <w:t>At: Mto. SAX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  <w:tab/>
        <w:tab/>
        <w:tab/>
        <w:tab/>
        <w:tab/>
      </w:r>
    </w:p>
    <w:tbl>
      <w:tblPr>
        <w:tblStyle w:val="Table1"/>
        <w:tblW w:w="10682" w:type="dxa"/>
        <w:jc w:val="left"/>
        <w:tblInd w:w="-2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682"/>
      </w:tblGrid>
      <w:tr>
        <w:trPr/>
        <w:tc>
          <w:tcPr>
            <w:tcW w:w="106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000000" w:val="clear"/>
          </w:tcPr>
          <w:p>
            <w:pPr>
              <w:pStyle w:val="Normal1"/>
              <w:widowControl w:val="false"/>
              <w:spacing w:lineRule="auto" w:line="240"/>
              <w:jc w:val="center"/>
              <w:rPr>
                <w:rFonts w:ascii="Tahoma" w:hAnsi="Tahoma" w:eastAsia="Tahoma" w:cs="Tahoma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color w:val="FFFFFF"/>
                <w:sz w:val="20"/>
                <w:szCs w:val="20"/>
              </w:rPr>
              <w:t xml:space="preserve">Mantenimiento preventivo - Reporte de Estado del sistema </w:t>
            </w:r>
          </w:p>
        </w:tc>
      </w:tr>
    </w:tbl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  <w:u w:val="single"/>
        </w:rPr>
        <w:t>Objetivo</w:t>
      </w:r>
      <w:r>
        <w:rPr>
          <w:rFonts w:eastAsia="Tahoma" w:cs="Tahoma" w:ascii="Tahoma" w:hAnsi="Tahoma"/>
          <w:sz w:val="20"/>
          <w:szCs w:val="20"/>
          <w:u w:val="single"/>
        </w:rPr>
        <w:t>:</w:t>
      </w:r>
      <w:r>
        <w:rPr>
          <w:rFonts w:eastAsia="Tahoma" w:cs="Tahoma" w:ascii="Tahoma" w:hAnsi="Tahoma"/>
          <w:sz w:val="20"/>
          <w:szCs w:val="20"/>
        </w:rPr>
        <w:t xml:space="preserve"> Inspeccionar los sistemas de cañerías incluyendo equipos de plástico y/o acero revestido, a los efectos de diagnosticar su estado de conservación y conforme a esto procurar la confiabilidad de su funcionamiento.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  <w:u w:val="single"/>
        </w:rPr>
        <w:t>Fecha de inspección:</w:t>
      </w:r>
      <w:r>
        <w:rPr>
          <w:rFonts w:eastAsia="Tahoma" w:cs="Tahoma" w:ascii="Tahoma" w:hAnsi="Tahoma"/>
          <w:b/>
          <w:bCs/>
          <w:sz w:val="20"/>
          <w:szCs w:val="20"/>
        </w:rPr>
        <w:t xml:space="preserve">  </w:t>
      </w:r>
      <w:r>
        <w:rPr>
          <w:rFonts w:eastAsia="Tahoma" w:cs="Tahoma" w:ascii="Tahoma" w:hAnsi="Tahoma"/>
          <w:b/>
          <w:bCs/>
          <w:sz w:val="20"/>
          <w:szCs w:val="20"/>
        </w:rPr>
        <w:t>[Anio PGP]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tbl>
      <w:tblPr>
        <w:tblStyle w:val="Table2"/>
        <w:tblW w:w="1013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5"/>
        <w:gridCol w:w="7972"/>
      </w:tblGrid>
      <w:tr>
        <w:trPr>
          <w:trHeight w:val="3406" w:hRule="atLeast"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8CCE4" w:val="clear"/>
          </w:tcPr>
          <w:p>
            <w:pPr>
              <w:pStyle w:val="Normal1"/>
              <w:widowControl w:val="false"/>
              <w:spacing w:lineRule="auto" w:line="240"/>
              <w:rPr>
                <w:rFonts w:ascii="Neo Sans Std" w:hAnsi="Neo Sans Std" w:eastAsia="Neo Sans Std" w:cs="Neo Sans Std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Neo Sans Std" w:cs="Neo Sans Std" w:ascii="Neo Sans Std" w:hAnsi="Neo Sans Std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Neo Sans Std" w:hAnsi="Neo Sans Std" w:eastAsia="Neo Sans Std" w:cs="Neo Sans Std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Neo Sans Std" w:cs="Neo Sans Std" w:ascii="Neo Sans Std" w:hAnsi="Neo Sans Std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Neo Sans Std" w:hAnsi="Neo Sans Std" w:eastAsia="Neo Sans Std" w:cs="Neo Sans Std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Neo Sans Std" w:cs="Neo Sans Std" w:ascii="Neo Sans Std" w:hAnsi="Neo Sans Std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Neo Sans Std" w:hAnsi="Neo Sans Std" w:eastAsia="Neo Sans Std" w:cs="Neo Sans Std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Neo Sans Std" w:cs="Neo Sans Std" w:ascii="Neo Sans Std" w:hAnsi="Neo Sans Std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Neo Sans Std" w:hAnsi="Neo Sans Std" w:eastAsia="Neo Sans Std" w:cs="Neo Sans Std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Neo Sans Std" w:cs="Neo Sans Std" w:ascii="Neo Sans Std" w:hAnsi="Neo Sans Std"/>
                <w:b/>
                <w:bCs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40"/>
              <w:rPr>
                <w:rFonts w:ascii="Neo Sans Std" w:hAnsi="Neo Sans Std" w:eastAsia="Neo Sans Std" w:cs="Neo Sans Std"/>
                <w:b/>
                <w:bCs/>
                <w:i/>
                <w:i/>
                <w:iCs/>
                <w:sz w:val="24"/>
                <w:szCs w:val="24"/>
              </w:rPr>
            </w:pPr>
            <w:r>
              <w:rPr>
                <w:rFonts w:eastAsia="Neo Sans Std" w:cs="Neo Sans Std" w:ascii="Neo Sans Std" w:hAnsi="Neo Sans Std"/>
                <w:b/>
                <w:bCs/>
                <w:i/>
                <w:iCs/>
                <w:sz w:val="24"/>
                <w:szCs w:val="24"/>
              </w:rPr>
              <w:t>CRITERIOS Y NORMATIVAS:</w:t>
            </w:r>
          </w:p>
        </w:tc>
        <w:tc>
          <w:tcPr>
            <w:tcW w:w="79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/>
              <w:ind w:left="720" w:hanging="0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76" w:before="0" w:after="200"/>
              <w:ind w:left="720" w:hanging="36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eastAsia="Tahoma" w:cs="Tahoma" w:ascii="Tahoma" w:hAnsi="Tahoma"/>
                <w:sz w:val="16"/>
                <w:szCs w:val="16"/>
              </w:rPr>
              <w:t>ASTM D 2563-94 “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Standard Practice for Classifying Visual Defects in Glass-Reinforced Plastic Laminate Parts”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76" w:before="0" w:after="200"/>
              <w:ind w:left="720" w:hanging="36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eastAsia="Tahoma" w:cs="Tahoma" w:ascii="Tahoma" w:hAnsi="Tahoma"/>
                <w:sz w:val="16"/>
                <w:szCs w:val="16"/>
              </w:rPr>
              <w:t xml:space="preserve">Manuales específicos 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Ashland</w:t>
            </w:r>
            <w:r>
              <w:rPr>
                <w:rFonts w:eastAsia="Tahoma" w:cs="Tahoma" w:ascii="Tahoma" w:hAnsi="Tahoma"/>
                <w:sz w:val="16"/>
                <w:szCs w:val="16"/>
              </w:rPr>
              <w:t xml:space="preserve"> y 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Reichhold</w:t>
            </w:r>
            <w:r>
              <w:rPr>
                <w:rFonts w:eastAsia="Tahoma" w:cs="Tahoma" w:ascii="Tahoma" w:hAnsi="Tahoma"/>
                <w:sz w:val="16"/>
                <w:szCs w:val="16"/>
              </w:rPr>
              <w:t>, Lineamientos y criterios específicos.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76" w:before="0" w:after="200"/>
              <w:ind w:left="720" w:hanging="36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eastAsia="Tahoma" w:cs="Tahoma" w:ascii="Tahoma" w:hAnsi="Tahoma"/>
                <w:sz w:val="16"/>
                <w:szCs w:val="16"/>
              </w:rPr>
              <w:t>NOGA Guía 055-97 “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Guía recomendada para ensayos no destructivos (NDT) en tanques y sistemas de tuberías</w:t>
            </w:r>
            <w:r>
              <w:rPr>
                <w:rFonts w:eastAsia="Tahoma" w:cs="Tahoma" w:ascii="Tahoma" w:hAnsi="Tahoma"/>
                <w:sz w:val="16"/>
                <w:szCs w:val="16"/>
              </w:rPr>
              <w:t xml:space="preserve"> 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PRFV</w:t>
            </w:r>
            <w:r>
              <w:rPr>
                <w:rFonts w:eastAsia="Tahoma" w:cs="Tahoma" w:ascii="Tahoma" w:hAnsi="Tahoma"/>
                <w:sz w:val="16"/>
                <w:szCs w:val="16"/>
              </w:rPr>
              <w:t>”, Norwegian Oil &amp; Gas Association.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76" w:before="0" w:after="200"/>
              <w:ind w:left="720" w:hanging="36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eastAsia="Tahoma" w:cs="Tahoma" w:ascii="Tahoma" w:hAnsi="Tahoma"/>
                <w:sz w:val="16"/>
                <w:szCs w:val="16"/>
              </w:rPr>
              <w:t>Proyecto MTI 129-99 “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Guía práctica para inspección de campo para equipos y tuberías PRFV</w:t>
            </w:r>
            <w:r>
              <w:rPr>
                <w:rFonts w:eastAsia="Tahoma" w:cs="Tahoma" w:ascii="Tahoma" w:hAnsi="Tahoma"/>
                <w:sz w:val="16"/>
                <w:szCs w:val="16"/>
              </w:rPr>
              <w:t>”, John Niesse / Hira Ahluwalia, Materials Technology Institute St. Louis MO, USA.</w:t>
            </w:r>
          </w:p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76" w:before="0" w:after="200"/>
              <w:ind w:left="720" w:hanging="360"/>
              <w:rPr>
                <w:rFonts w:ascii="Tahoma" w:hAnsi="Tahoma" w:eastAsia="Tahoma" w:cs="Tahoma"/>
                <w:sz w:val="16"/>
                <w:szCs w:val="16"/>
              </w:rPr>
            </w:pPr>
            <w:r>
              <w:rPr>
                <w:rFonts w:eastAsia="Tahoma" w:cs="Tahoma" w:ascii="Tahoma" w:hAnsi="Tahoma"/>
                <w:sz w:val="16"/>
                <w:szCs w:val="16"/>
              </w:rPr>
              <w:t xml:space="preserve">ESA/FSA pub. nº 009/98 </w:t>
            </w:r>
            <w:r>
              <w:rPr>
                <w:rFonts w:eastAsia="Tahoma" w:cs="Tahoma" w:ascii="Tahoma" w:hAnsi="Tahoma"/>
                <w:i/>
                <w:iCs/>
                <w:sz w:val="16"/>
                <w:szCs w:val="16"/>
              </w:rPr>
              <w:t>“Guía para la utilización segura de elementos de sellado - Juntas y Bridas”</w:t>
            </w:r>
            <w:r>
              <w:rPr>
                <w:rFonts w:eastAsia="Tahoma" w:cs="Tahoma" w:ascii="Tahoma" w:hAnsi="Tahoma"/>
                <w:sz w:val="16"/>
                <w:szCs w:val="16"/>
              </w:rPr>
              <w:t>, Parte 1 - Pautas para los operadores / técnicos / ajustadores de mantenimiento. European Sealing Association (ESA) / Fluid Sealing Association (FSA).</w:t>
            </w:r>
          </w:p>
        </w:tc>
      </w:tr>
    </w:tbl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numPr>
          <w:ilvl w:val="0"/>
          <w:numId w:val="0"/>
        </w:numPr>
        <w:spacing w:lineRule="auto" w:line="240"/>
        <w:ind w:left="720" w:hanging="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  <w:t xml:space="preserve"> </w:t>
      </w:r>
      <w:r>
        <w:rPr>
          <w:rFonts w:eastAsia="Tahoma" w:cs="Tahoma" w:ascii="Tahoma" w:hAnsi="Tahoma"/>
          <w:sz w:val="20"/>
          <w:szCs w:val="20"/>
        </w:rPr>
        <w:t xml:space="preserve">Material: </w:t>
      </w:r>
      <w:r>
        <w:rPr>
          <w:rFonts w:eastAsia="Tahoma" w:cs="Tahoma" w:ascii="Tahoma" w:hAnsi="Tahoma"/>
          <w:b/>
          <w:bCs/>
          <w:sz w:val="20"/>
          <w:szCs w:val="20"/>
        </w:rPr>
        <w:t>[]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  <w:u w:val="single"/>
        </w:rPr>
      </w:r>
    </w:p>
    <w:p>
      <w:pPr>
        <w:pStyle w:val="Normal1"/>
        <w:spacing w:lineRule="auto" w:line="240"/>
        <w:jc w:val="both"/>
        <w:rPr>
          <w:strike w:val="false"/>
          <w:dstrike w:val="false"/>
          <w:u w:val="none"/>
        </w:rPr>
      </w:pP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Diagnóstico</w:t>
      </w:r>
      <w:r>
        <w:rPr>
          <w:rFonts w:eastAsia="Tahoma" w:cs="Tahoma" w:ascii="Tahoma" w:hAnsi="Tahoma"/>
          <w:strike w:val="false"/>
          <w:dstrike w:val="false"/>
          <w:sz w:val="20"/>
          <w:szCs w:val="20"/>
          <w:u w:val="none"/>
        </w:rPr>
        <w:t xml:space="preserve">: </w:t>
      </w: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[]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b/>
          <w:bCs/>
          <w:strike w:val="false"/>
          <w:dstrike w:val="false"/>
          <w:sz w:val="20"/>
          <w:szCs w:val="20"/>
          <w:u w:val="none"/>
        </w:rPr>
      </w:pP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</w:r>
    </w:p>
    <w:p>
      <w:pPr>
        <w:pStyle w:val="Normal1"/>
        <w:spacing w:lineRule="auto" w:line="240"/>
        <w:jc w:val="both"/>
        <w:rPr>
          <w:strike w:val="false"/>
          <w:dstrike w:val="false"/>
          <w:u w:val="none"/>
        </w:rPr>
      </w:pP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Acciones preventivas /correctivas</w:t>
      </w:r>
      <w:r>
        <w:rPr>
          <w:rFonts w:eastAsia="Tahoma" w:cs="Tahoma" w:ascii="Tahoma" w:hAnsi="Tahoma"/>
          <w:strike w:val="false"/>
          <w:dstrike w:val="false"/>
          <w:sz w:val="20"/>
          <w:szCs w:val="20"/>
          <w:u w:val="none"/>
        </w:rPr>
        <w:t xml:space="preserve">: </w:t>
      </w: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  <w:shd w:fill="auto" w:val="clear"/>
        </w:rPr>
        <w:t>[]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trike w:val="false"/>
          <w:dstrike w:val="false"/>
          <w:sz w:val="20"/>
          <w:szCs w:val="20"/>
          <w:u w:val="none"/>
        </w:rPr>
      </w:pPr>
      <w:r>
        <w:rPr>
          <w:rFonts w:eastAsia="Tahoma" w:cs="Tahoma" w:ascii="Tahoma" w:hAnsi="Tahoma"/>
          <w:strike w:val="false"/>
          <w:dstrike w:val="false"/>
          <w:sz w:val="20"/>
          <w:szCs w:val="20"/>
          <w:u w:val="none"/>
        </w:rPr>
      </w:r>
    </w:p>
    <w:p>
      <w:pPr>
        <w:pStyle w:val="Normal1"/>
        <w:spacing w:lineRule="auto" w:line="240"/>
        <w:jc w:val="both"/>
        <w:rPr>
          <w:strike w:val="false"/>
          <w:dstrike w:val="false"/>
          <w:u w:val="none"/>
        </w:rPr>
      </w:pP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Conclusiones / recomendaciones</w:t>
      </w:r>
      <w:r>
        <w:rPr>
          <w:rFonts w:eastAsia="Tahoma" w:cs="Tahoma" w:ascii="Tahoma" w:hAnsi="Tahoma"/>
          <w:strike w:val="false"/>
          <w:dstrike w:val="false"/>
          <w:sz w:val="20"/>
          <w:szCs w:val="20"/>
          <w:u w:val="none"/>
        </w:rPr>
        <w:t xml:space="preserve">: </w:t>
      </w: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  <w:shd w:fill="auto" w:val="clear"/>
        </w:rPr>
        <w:t>[]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trike w:val="false"/>
          <w:dstrike w:val="false"/>
          <w:sz w:val="20"/>
          <w:szCs w:val="20"/>
        </w:rPr>
      </w:pPr>
      <w:r>
        <w:rPr>
          <w:rFonts w:eastAsia="Tahoma" w:cs="Tahoma" w:ascii="Tahoma" w:hAnsi="Tahoma"/>
          <w:strike w:val="false"/>
          <w:dstrike w:val="false"/>
          <w:sz w:val="20"/>
          <w:szCs w:val="20"/>
        </w:rPr>
      </w:r>
    </w:p>
    <w:p>
      <w:pPr>
        <w:pStyle w:val="Normal1"/>
        <w:spacing w:lineRule="auto" w:line="240"/>
        <w:jc w:val="both"/>
        <w:rPr>
          <w:strike w:val="false"/>
          <w:dstrike w:val="false"/>
          <w:u w:val="none"/>
        </w:rPr>
      </w:pP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Especificaciones, procedimientos y normas técnicas:</w:t>
      </w: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[]</w:t>
      </w:r>
    </w:p>
    <w:p>
      <w:pPr>
        <w:pStyle w:val="Normal1"/>
        <w:spacing w:lineRule="auto" w:line="240"/>
        <w:jc w:val="both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1"/>
        <w:spacing w:lineRule="auto" w:line="240"/>
        <w:jc w:val="both"/>
        <w:rPr>
          <w:strike w:val="false"/>
          <w:dstrike w:val="false"/>
          <w:u w:val="none"/>
        </w:rPr>
      </w:pP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</w:rPr>
        <w:t>Régimen de inspecciones a implementar</w:t>
      </w:r>
      <w:r>
        <w:rPr>
          <w:rFonts w:eastAsia="Tahoma" w:cs="Tahoma" w:ascii="Tahoma" w:hAnsi="Tahoma"/>
          <w:strike w:val="false"/>
          <w:dstrike w:val="false"/>
          <w:sz w:val="20"/>
          <w:szCs w:val="20"/>
          <w:u w:val="none"/>
        </w:rPr>
        <w:t xml:space="preserve">: </w:t>
      </w:r>
      <w:r>
        <w:rPr>
          <w:rFonts w:eastAsia="Tahoma" w:cs="Tahoma" w:ascii="Tahoma" w:hAnsi="Tahoma"/>
          <w:b/>
          <w:bCs/>
          <w:strike w:val="false"/>
          <w:dstrike w:val="false"/>
          <w:sz w:val="20"/>
          <w:szCs w:val="20"/>
          <w:u w:val="none"/>
          <w:shd w:fill="auto" w:val="clear"/>
        </w:rPr>
        <w:t>[]</w:t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trike w:val="false"/>
          <w:dstrike w:val="false"/>
          <w:sz w:val="20"/>
          <w:szCs w:val="20"/>
        </w:rPr>
      </w:pPr>
      <w:r>
        <w:rPr>
          <w:rFonts w:eastAsia="Tahoma" w:cs="Tahoma" w:ascii="Tahoma" w:hAnsi="Tahoma"/>
          <w:strike w:val="false"/>
          <w:dstrike w:val="false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  <w:bookmarkStart w:id="0" w:name="_oc2sa2tull4y"/>
      <w:bookmarkStart w:id="1" w:name="_oc2sa2tull4y"/>
      <w:bookmarkEnd w:id="1"/>
    </w:p>
    <w:tbl>
      <w:tblPr>
        <w:tblStyle w:val="Table3"/>
        <w:tblpPr w:bottomFromText="0" w:horzAnchor="text" w:leftFromText="141" w:rightFromText="141" w:tblpX="0" w:tblpY="0" w:topFromText="0" w:vertAnchor="text"/>
        <w:tblW w:w="1068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682"/>
      </w:tblGrid>
      <w:tr>
        <w:trPr>
          <w:trHeight w:val="211" w:hRule="atLeast"/>
        </w:trPr>
        <w:tc>
          <w:tcPr>
            <w:tcW w:w="10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240"/>
              <w:ind w:right="1085" w:hanging="0"/>
              <w:jc w:val="both"/>
              <w:rPr>
                <w:rFonts w:ascii="Tahoma" w:hAnsi="Tahoma" w:eastAsia="Tahoma" w:cs="Tahoma"/>
                <w:sz w:val="20"/>
                <w:szCs w:val="20"/>
              </w:rPr>
            </w:pPr>
            <w:r>
              <w:rPr>
                <w:rFonts w:eastAsia="Tahoma" w:cs="Tahoma" w:ascii="Tahoma" w:hAnsi="Tahoma"/>
                <w:sz w:val="20"/>
                <w:szCs w:val="20"/>
              </w:rPr>
              <w:t>FOTOS ILUSTRATIVAS</w:t>
            </w:r>
          </w:p>
        </w:tc>
      </w:tr>
    </w:tbl>
    <w:p>
      <w:pPr>
        <w:pStyle w:val="Normal1"/>
        <w:spacing w:lineRule="auto" w:line="240"/>
        <w:ind w:right="1085" w:hanging="0"/>
        <w:jc w:val="both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ind w:left="720" w:hanging="0"/>
        <w:rPr>
          <w:rFonts w:ascii="Tahoma" w:hAnsi="Tahoma" w:eastAsia="Tahoma" w:cs="Tahoma"/>
          <w:sz w:val="20"/>
          <w:szCs w:val="20"/>
        </w:rPr>
      </w:pPr>
      <w:r>
        <w:rPr>
          <w:rFonts w:eastAsia="Tahoma" w:cs="Tahoma" w:ascii="Tahoma" w:hAnsi="Tahoma"/>
          <w:sz w:val="20"/>
          <w:szCs w:val="20"/>
        </w:rPr>
      </w:r>
    </w:p>
    <w:p>
      <w:pPr>
        <w:pStyle w:val="Normal1"/>
        <w:spacing w:lineRule="auto" w:line="240"/>
        <w:rPr/>
      </w:pPr>
      <w:r>
        <w:rPr>
          <w:rFonts w:eastAsia="Tahoma" w:cs="Tahoma" w:ascii="Tahoma" w:hAnsi="Tahoma"/>
          <w:sz w:val="20"/>
          <w:szCs w:val="20"/>
        </w:rPr>
        <w:tab/>
        <w:tab/>
        <w:tab/>
        <w:tab/>
        <w:tab/>
        <w:tab/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ahoma">
    <w:charset w:val="00"/>
    <w:family w:val="roman"/>
    <w:pitch w:val="variable"/>
  </w:font>
  <w:font w:name="Neo Sans Std">
    <w:charset w:val="00"/>
    <w:family w:val="roman"/>
    <w:pitch w:val="variable"/>
  </w:font>
  <w:font w:name="Wingdings">
    <w:charset w:val="02"/>
    <w:family w:val="auto"/>
    <w:pitch w:val="default"/>
    <w:embedRegular r:id="rId18" w:fontKey="{12014A78-CABC-4EF0-12AC-5CD89AEFDE12}"/>
  </w:font>
  <w:font w:name="OpenSymbol">
    <w:altName w:val="Arial Unicode MS"/>
    <w:charset w:val="01"/>
    <w:family w:val="auto"/>
    <w:pitch w:val="default"/>
    <w:embedRegular r:id="rId19" w:fontKey="{13014A78-CABC-4EF0-12AC-5CD89AEFDE13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  <w:drawing>
        <wp:anchor behindDoc="1" distT="0" distB="0" distL="114300" distR="114300" simplePos="0" locked="0" layoutInCell="0" allowOverlap="1" relativeHeight="3">
          <wp:simplePos x="0" y="0"/>
          <wp:positionH relativeFrom="margin">
            <wp:posOffset>-409575</wp:posOffset>
          </wp:positionH>
          <wp:positionV relativeFrom="margin">
            <wp:posOffset>-457200</wp:posOffset>
          </wp:positionV>
          <wp:extent cx="6629400" cy="1023620"/>
          <wp:effectExtent l="0" t="0" r="0" b="0"/>
          <wp:wrapSquare wrapText="bothSides"/>
          <wp:docPr id="1" name="image1.jpg" descr="C:\Users\guido\Desktop\SULVY_membrete_201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C:\Users\guido\Desktop\SULVY_membrete_2018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2940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900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general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LibreOffice/7.5.5.2$Windows_X86_64 LibreOffice_project/ca8fe7424262805f223b9a2334bc7181abbcbf5e</Application>
  <AppVersion>15.0000</AppVersion>
  <Pages>2</Pages>
  <Words>196</Words>
  <Characters>1160</Characters>
  <CharactersWithSpaces>1354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dcterms:modified xsi:type="dcterms:W3CDTF">2026-06-09T21:07:19Z</dcterms:modified>
  <cp:revision>1</cp:revision>
  <dc:subject/>
  <dc:title/>
</cp:coreProperties>
</file>