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b20c44620749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2240" w:h="15840"/>
      <w:pgMar w:top="1440" w:right="1440" w:bottom="1440" w:left="1440" w:header="708" w:footer="708" w:gutter="0"/>
      <w:cols w:space="708"/>
      <w:docGrid w:linePitch="360"/>
    </w:sectPr>
    <w:p>
      <w:pPr>
        <w:spacing w:line="480" w:after="0"/>
        <w:jc w:val="center"/>
      </w:pPr>
      <w:r>
        <w:rPr>
          <w:sz w:val="24"/>
          <w:szCs w:val="24"/>
          <w:rFonts w:ascii="Times New Roman" w:hAnsi="Times New Roman" w:cs="Times New Roman"/>
        </w:rPr>
        <w:t>Works Cited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Angular Materials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GitHub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GitHub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 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Nih.Gov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Nist.Gov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Fontawesome.Com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Https://Www.Research.Ed.Ac.Uk/Portal/Files/21730846/15_STR_loci.Pdf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Angular.Io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|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Mydogdna.Com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ó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Perros.Com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Laravelvoyager.Com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YouTube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YouTube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YouTube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YouTube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Http://Www.Realtrace.Com/Page-Sp/Regulacion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NGX Barcode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Getbootstrap.Com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Laracasts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Laravel.Com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Laravel.Com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Mammalian Genome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–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–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Itsolutionstuff.Com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Apache.Org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“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”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Https://Www.Fsigenetics.Com/Article/S1872-4973(12)00174-3/Pdf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 w:hanging="456.00000679493" w:left="456.00000679493"/>
        <w:spacing w:line="480" w:after="0"/>
      </w:pPr>
      <w:r>
        <w:rPr>
          <w:i/>
          <w:sz w:val="24"/>
          <w:szCs w:val="24"/>
          <w:rFonts w:ascii="Times New Roman" w:hAnsi="Times New Roman" w:cs="Times New Roman"/>
        </w:rPr>
        <w:t>Http://Www.Fci.Be/Es/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"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"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é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é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ó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rFonts w:ascii="Times New Roman" w:hAnsi="Times New Roman" w:cs="Times New Roman"/>
        </w:rPr>
        <w:t>*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rFonts w:ascii="Times New Roman" w:hAnsi="Times New Roman" w:cs="Times New Roman"/>
        </w:rPr>
        <w:t>*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&gt;</w:t>
      </w:r>
    </w:p>
    <w:p>
      <w:pPr>
        <w:ind w:hanging="456.00000679493" w:left="456.00000679493"/>
        <w:spacing w:line="480" w:after="0"/>
      </w:pP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ecf302e9d34276" /><Relationship Type="http://schemas.openxmlformats.org/officeDocument/2006/relationships/numbering" Target="/word/numbering.xml" Id="R2095f21ec6814c03" /><Relationship Type="http://schemas.openxmlformats.org/officeDocument/2006/relationships/settings" Target="/word/settings.xml" Id="R58f4971e46544416" /></Relationships>
</file>