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8E3E" w14:textId="77777777" w:rsidR="00AE601A" w:rsidRPr="00AE601A" w:rsidRDefault="00AE601A" w:rsidP="00AE601A">
      <w:r w:rsidRPr="00AE601A">
        <w:rPr>
          <w:b/>
          <w:bCs/>
        </w:rPr>
        <w:t>People and Talent Upliftment</w:t>
      </w:r>
    </w:p>
    <w:p w14:paraId="7FB3B44A" w14:textId="77777777" w:rsidR="00AE601A" w:rsidRPr="00AE601A" w:rsidRDefault="00AE601A" w:rsidP="00AE601A">
      <w:r w:rsidRPr="00AE601A">
        <w:t>Drive CTO DAAU workforce transformation enabling continuous upskilling and forward-looking readiness aligned to Strategic Workplace Planning</w:t>
      </w:r>
    </w:p>
    <w:p w14:paraId="2C187DEF" w14:textId="77777777" w:rsidR="00AE601A" w:rsidRPr="00AE601A" w:rsidRDefault="00AE601A" w:rsidP="00AE601A">
      <w:r w:rsidRPr="00AE601A">
        <w:t>Average training hours of 45 hours</w:t>
      </w:r>
    </w:p>
    <w:p w14:paraId="42A407D3" w14:textId="77777777" w:rsidR="00AE601A" w:rsidRPr="00AE601A" w:rsidRDefault="00AE601A" w:rsidP="00AE601A">
      <w:r w:rsidRPr="00AE601A">
        <w:t>Simple talent segment should be max 25% and Complex talent segment should be min 9%</w:t>
      </w:r>
    </w:p>
    <w:p w14:paraId="29CD06DD" w14:textId="77777777" w:rsidR="00AE601A" w:rsidRPr="00AE601A" w:rsidRDefault="00AE601A" w:rsidP="00AE601A">
      <w:r w:rsidRPr="00AE601A">
        <w:t>Foster lifelong learning for all employees via our learning ambition of 45 hours including tech proficiency and all other personal development opportunities</w:t>
      </w:r>
    </w:p>
    <w:p w14:paraId="398D24A0" w14:textId="77777777" w:rsidR="00AE601A" w:rsidRPr="00AE601A" w:rsidRDefault="00AE601A" w:rsidP="00AE601A">
      <w:r w:rsidRPr="00AE601A">
        <w:t>Strengthen awareness and vigilance regarding information security, data privacy and cyber risks</w:t>
      </w:r>
    </w:p>
    <w:p w14:paraId="76C2EDE1" w14:textId="77777777" w:rsidR="00AE601A" w:rsidRPr="00AE601A" w:rsidRDefault="00AE601A" w:rsidP="00AE601A"/>
    <w:p w14:paraId="2F2CD630" w14:textId="77777777" w:rsidR="00AE601A" w:rsidRPr="00AE601A" w:rsidRDefault="00AE601A" w:rsidP="00AE601A">
      <w:r w:rsidRPr="00AE601A">
        <w:rPr>
          <w:b/>
          <w:bCs/>
        </w:rPr>
        <w:t>Visibility for the team</w:t>
      </w:r>
    </w:p>
    <w:p w14:paraId="6621B63E" w14:textId="77777777" w:rsidR="00AE601A" w:rsidRPr="00AE601A" w:rsidRDefault="00AE601A" w:rsidP="00AE601A">
      <w:r w:rsidRPr="00AE601A">
        <w:t>Drive visibility for the team via participation in internal/external award nominations and hackathons - min 1 from each team</w:t>
      </w:r>
    </w:p>
    <w:p w14:paraId="36595B51" w14:textId="77777777" w:rsidR="00AE601A" w:rsidRPr="00AE601A" w:rsidRDefault="00AE601A" w:rsidP="00AE601A">
      <w:r w:rsidRPr="00AE601A">
        <w:t>Drive visibility for new use-cases via brochures/videos - min 1 from each team</w:t>
      </w:r>
    </w:p>
    <w:p w14:paraId="1D10F065" w14:textId="77777777" w:rsidR="00AE601A" w:rsidRPr="00AE601A" w:rsidRDefault="00AE601A" w:rsidP="00AE601A">
      <w:r w:rsidRPr="00AE601A">
        <w:t>Engage through mutliple avenues/forums like AZS LinkedIn page, Connect Page, Viva Engage etc.</w:t>
      </w:r>
    </w:p>
    <w:p w14:paraId="2DE30E7C" w14:textId="77777777" w:rsidR="00AE601A" w:rsidRPr="00AE601A" w:rsidRDefault="00AE601A" w:rsidP="00AE601A">
      <w:r w:rsidRPr="00AE601A">
        <w:t>Publish 1 whitepaper in an external journal of international repute (via Call for Papers)</w:t>
      </w:r>
    </w:p>
    <w:p w14:paraId="7AAF82EF" w14:textId="77777777" w:rsidR="00AE601A" w:rsidRPr="00AE601A" w:rsidRDefault="00AE601A" w:rsidP="00AE601A">
      <w:r w:rsidRPr="00AE601A">
        <w:t>Participate actively in KnowHub community via webinars, bootcamps, brown bag sessions etc. and conduct sessions as a contributor. Earn a minimum of 15 credit points.</w:t>
      </w:r>
    </w:p>
    <w:p w14:paraId="3A3F0D80" w14:textId="77777777" w:rsidR="00AE601A" w:rsidRPr="00AE601A" w:rsidRDefault="00AE601A" w:rsidP="00AE601A">
      <w:r w:rsidRPr="00AE601A">
        <w:t>Project documentation: Proactive documentation and updation of one-sliders, confluence pages, process flows, governance documentation etc.</w:t>
      </w:r>
    </w:p>
    <w:p w14:paraId="1FF5B8F3" w14:textId="77777777" w:rsidR="00AE601A" w:rsidRPr="00AE601A" w:rsidRDefault="00AE601A" w:rsidP="00AE601A">
      <w:r w:rsidRPr="00AE601A">
        <w:t>Audit readiness: Timely completion of necessary assessments, updation of project trackers (Deliverable tracker, leave tracker, asset and access tracker etc.) and Housekeeping activities (cleanup of shared drive folders, mail archiving etc.)</w:t>
      </w:r>
    </w:p>
    <w:p w14:paraId="30C506C3" w14:textId="77777777" w:rsidR="00AE601A" w:rsidRPr="00AE601A" w:rsidRDefault="00AE601A" w:rsidP="00AE601A"/>
    <w:p w14:paraId="11A1416E" w14:textId="77777777" w:rsidR="00AE601A" w:rsidRPr="00AE601A" w:rsidRDefault="00AE601A" w:rsidP="00AE601A">
      <w:r w:rsidRPr="00AE601A">
        <w:rPr>
          <w:b/>
          <w:bCs/>
        </w:rPr>
        <w:t>Growth - Customer Centricity and Delivery Excellence</w:t>
      </w:r>
    </w:p>
    <w:p w14:paraId="7257E396" w14:textId="77777777" w:rsidR="00AE601A" w:rsidRPr="00AE601A" w:rsidRDefault="00AE601A" w:rsidP="00AE601A">
      <w:r w:rsidRPr="00AE601A">
        <w:t>Productivity: Evolve CTO/DAAI signature offerings and solutions with link to Group programs and CBO priorities with agreed operating model for "partnership by design" (ie. BMP (DIGITRASE, Data Migration, Decommissioning), Data Quality and Governance)</w:t>
      </w:r>
    </w:p>
    <w:p w14:paraId="30C2EE66" w14:textId="77777777" w:rsidR="00AE601A" w:rsidRPr="00AE601A" w:rsidRDefault="00AE601A" w:rsidP="00AE601A">
      <w:r w:rsidRPr="00AE601A">
        <w:lastRenderedPageBreak/>
        <w:t>Drive joint innovation and value creation with Az Technology through strategic partnerships such as Anthropic, India universities/start-ups, Databricks Az Tech R&amp;D Hub etc.</w:t>
      </w:r>
    </w:p>
    <w:p w14:paraId="4140911A" w14:textId="77777777" w:rsidR="00AE601A" w:rsidRPr="00AE601A" w:rsidRDefault="00AE601A" w:rsidP="00AE601A">
      <w:r w:rsidRPr="00AE601A">
        <w:t>Adherence to customer and internal policies - 100%Net new offerings/solutions/accelerators - 5 for DAAI India (2 For UK)Collaboration/Partnership with other GSLs -1 for UK</w:t>
      </w:r>
    </w:p>
    <w:p w14:paraId="650B6850" w14:textId="77777777" w:rsidR="00AE601A" w:rsidRPr="00AE601A" w:rsidRDefault="00AE601A" w:rsidP="00AE601A">
      <w:r w:rsidRPr="00AE601A">
        <w:t>100% adherence to internal and customer policies (UK Regulatory tests, mandatory L&amp;D sessions and trainings</w:t>
      </w:r>
    </w:p>
    <w:p w14:paraId="01ADA50D" w14:textId="77777777" w:rsidR="00AE601A" w:rsidRPr="00AE601A" w:rsidRDefault="00AE601A" w:rsidP="00AE601A">
      <w:r w:rsidRPr="00AE601A">
        <w:t>Marking attendance in myshadow. Being Proactive and responsible for the deliverables and engagement</w:t>
      </w:r>
    </w:p>
    <w:p w14:paraId="7DA18AFB" w14:textId="77777777" w:rsidR="00AE601A" w:rsidRPr="00AE601A" w:rsidRDefault="00AE601A" w:rsidP="00AE601A"/>
    <w:p w14:paraId="395DC648" w14:textId="77777777" w:rsidR="00AE601A" w:rsidRPr="00AE601A" w:rsidRDefault="00AE601A" w:rsidP="00AE601A">
      <w:r w:rsidRPr="00AE601A">
        <w:rPr>
          <w:b/>
          <w:bCs/>
        </w:rPr>
        <w:t>Achieve 2026 financial targets within own area of responsibility</w:t>
      </w:r>
    </w:p>
    <w:p w14:paraId="5D8C95BD" w14:textId="77777777" w:rsidR="00AE601A" w:rsidRPr="00AE601A" w:rsidRDefault="00AE601A" w:rsidP="00AE601A">
      <w:r w:rsidRPr="00AE601A">
        <w:t>Ensure DAAI India delivery performance according to SLAs to OEs as applicable</w:t>
      </w:r>
    </w:p>
    <w:p w14:paraId="75596ED7" w14:textId="77777777" w:rsidR="00AE601A" w:rsidRPr="00AE601A" w:rsidRDefault="00AE601A" w:rsidP="00AE601A">
      <w:r w:rsidRPr="00AE601A">
        <w:t>Pricing Optimisation: Establish fixed-price and unit-based pricing models to optimise Operating Profit and drive sustainable Recurring Efficiency Gains</w:t>
      </w:r>
    </w:p>
    <w:p w14:paraId="02FE1FA0" w14:textId="77777777" w:rsidR="00AE601A" w:rsidRPr="00AE601A" w:rsidRDefault="00AE601A" w:rsidP="00AE601A">
      <w:r w:rsidRPr="00AE601A">
        <w:t>Support other GSLs to maximise Recurring Efficiency gains</w:t>
      </w:r>
    </w:p>
    <w:p w14:paraId="6A0FF7CB" w14:textId="77777777" w:rsidR="00AE601A" w:rsidRPr="00AE601A" w:rsidRDefault="00AE601A" w:rsidP="00AE601A">
      <w:r w:rsidRPr="00AE601A">
        <w:t>Support OE Benefits target €5.2Mn for UK</w:t>
      </w:r>
    </w:p>
    <w:p w14:paraId="3FC50788" w14:textId="77777777" w:rsidR="00502609" w:rsidRDefault="00502609"/>
    <w:sectPr w:rsidR="00502609" w:rsidSect="00AE601A">
      <w:headerReference w:type="even" r:id="rId6"/>
      <w:headerReference w:type="default" r:id="rId7"/>
      <w:headerReference w:type="firs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3E4E7" w14:textId="77777777" w:rsidR="004770A9" w:rsidRDefault="004770A9" w:rsidP="00AE601A">
      <w:pPr>
        <w:spacing w:after="0" w:line="240" w:lineRule="auto"/>
      </w:pPr>
      <w:r>
        <w:separator/>
      </w:r>
    </w:p>
  </w:endnote>
  <w:endnote w:type="continuationSeparator" w:id="0">
    <w:p w14:paraId="6FD4C0A2" w14:textId="77777777" w:rsidR="004770A9" w:rsidRDefault="004770A9" w:rsidP="00AE6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6CA2" w14:textId="77777777" w:rsidR="004770A9" w:rsidRDefault="004770A9" w:rsidP="00AE601A">
      <w:pPr>
        <w:spacing w:after="0" w:line="240" w:lineRule="auto"/>
      </w:pPr>
      <w:r>
        <w:separator/>
      </w:r>
    </w:p>
  </w:footnote>
  <w:footnote w:type="continuationSeparator" w:id="0">
    <w:p w14:paraId="4CC9B897" w14:textId="77777777" w:rsidR="004770A9" w:rsidRDefault="004770A9" w:rsidP="00AE6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B1DF" w14:textId="353FB442" w:rsidR="00AE601A" w:rsidRDefault="00AE601A">
    <w:pPr>
      <w:pStyle w:val="Header"/>
    </w:pPr>
    <w:r>
      <w:rPr>
        <w:noProof/>
      </w:rPr>
      <mc:AlternateContent>
        <mc:Choice Requires="wps">
          <w:drawing>
            <wp:anchor distT="0" distB="0" distL="0" distR="0" simplePos="0" relativeHeight="251659264" behindDoc="0" locked="0" layoutInCell="1" allowOverlap="1" wp14:anchorId="67F326C2" wp14:editId="29DA2BE4">
              <wp:simplePos x="635" y="635"/>
              <wp:positionH relativeFrom="page">
                <wp:align>center</wp:align>
              </wp:positionH>
              <wp:positionV relativeFrom="page">
                <wp:align>top</wp:align>
              </wp:positionV>
              <wp:extent cx="423545" cy="370205"/>
              <wp:effectExtent l="0" t="0" r="14605" b="10795"/>
              <wp:wrapNone/>
              <wp:docPr id="1487206495"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5547DA24" w14:textId="4088678D" w:rsidR="00AE601A" w:rsidRPr="00AE601A" w:rsidRDefault="00AE601A" w:rsidP="00AE601A">
                          <w:pPr>
                            <w:spacing w:after="0"/>
                            <w:rPr>
                              <w:rFonts w:ascii="Aptos" w:eastAsia="Aptos" w:hAnsi="Aptos" w:cs="Aptos"/>
                              <w:noProof/>
                              <w:color w:val="000000"/>
                              <w:sz w:val="20"/>
                              <w:szCs w:val="20"/>
                            </w:rPr>
                          </w:pPr>
                          <w:r w:rsidRPr="00AE601A">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F326C2" id="_x0000_t202" coordsize="21600,21600" o:spt="202" path="m,l,21600r21600,l21600,xe">
              <v:stroke joinstyle="miter"/>
              <v:path gradientshapeok="t" o:connecttype="rect"/>
            </v:shapetype>
            <v:shape id="Text Box 2" o:spid="_x0000_s1026" type="#_x0000_t202" alt="Internal" style="position:absolute;margin-left:0;margin-top:0;width:33.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" filled="f" stroked="f">
              <v:fill o:detectmouseclick="t"/>
              <v:textbox style="mso-fit-shape-to-text:t" inset="0,15pt,0,0">
                <w:txbxContent>
                  <w:p w14:paraId="5547DA24" w14:textId="4088678D" w:rsidR="00AE601A" w:rsidRPr="00AE601A" w:rsidRDefault="00AE601A" w:rsidP="00AE601A">
                    <w:pPr>
                      <w:spacing w:after="0"/>
                      <w:rPr>
                        <w:rFonts w:ascii="Aptos" w:eastAsia="Aptos" w:hAnsi="Aptos" w:cs="Aptos"/>
                        <w:noProof/>
                        <w:color w:val="000000"/>
                        <w:sz w:val="20"/>
                        <w:szCs w:val="20"/>
                      </w:rPr>
                    </w:pPr>
                    <w:r w:rsidRPr="00AE601A">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83FE" w14:textId="7476DB7C" w:rsidR="00AE601A" w:rsidRDefault="00AE601A">
    <w:pPr>
      <w:pStyle w:val="Header"/>
    </w:pPr>
    <w:r>
      <w:rPr>
        <w:noProof/>
      </w:rPr>
      <mc:AlternateContent>
        <mc:Choice Requires="wps">
          <w:drawing>
            <wp:anchor distT="0" distB="0" distL="0" distR="0" simplePos="0" relativeHeight="251660288" behindDoc="0" locked="0" layoutInCell="1" allowOverlap="1" wp14:anchorId="0ECF2800" wp14:editId="20E5237C">
              <wp:simplePos x="914400" y="457200"/>
              <wp:positionH relativeFrom="page">
                <wp:align>center</wp:align>
              </wp:positionH>
              <wp:positionV relativeFrom="page">
                <wp:align>top</wp:align>
              </wp:positionV>
              <wp:extent cx="423545" cy="370205"/>
              <wp:effectExtent l="0" t="0" r="14605" b="10795"/>
              <wp:wrapNone/>
              <wp:docPr id="102422874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687904E1" w14:textId="05BD079B" w:rsidR="00AE601A" w:rsidRPr="00AE601A" w:rsidRDefault="00AE601A" w:rsidP="00AE601A">
                          <w:pPr>
                            <w:spacing w:after="0"/>
                            <w:rPr>
                              <w:rFonts w:ascii="Aptos" w:eastAsia="Aptos" w:hAnsi="Aptos" w:cs="Aptos"/>
                              <w:noProof/>
                              <w:color w:val="000000"/>
                              <w:sz w:val="20"/>
                              <w:szCs w:val="20"/>
                            </w:rPr>
                          </w:pPr>
                          <w:r w:rsidRPr="00AE601A">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CF2800" id="_x0000_t202" coordsize="21600,21600" o:spt="202" path="m,l,21600r21600,l21600,xe">
              <v:stroke joinstyle="miter"/>
              <v:path gradientshapeok="t" o:connecttype="rect"/>
            </v:shapetype>
            <v:shape id="Text Box 3" o:spid="_x0000_s1027" type="#_x0000_t202" alt="Internal" style="position:absolute;margin-left:0;margin-top:0;width:33.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" filled="f" stroked="f">
              <v:fill o:detectmouseclick="t"/>
              <v:textbox style="mso-fit-shape-to-text:t" inset="0,15pt,0,0">
                <w:txbxContent>
                  <w:p w14:paraId="687904E1" w14:textId="05BD079B" w:rsidR="00AE601A" w:rsidRPr="00AE601A" w:rsidRDefault="00AE601A" w:rsidP="00AE601A">
                    <w:pPr>
                      <w:spacing w:after="0"/>
                      <w:rPr>
                        <w:rFonts w:ascii="Aptos" w:eastAsia="Aptos" w:hAnsi="Aptos" w:cs="Aptos"/>
                        <w:noProof/>
                        <w:color w:val="000000"/>
                        <w:sz w:val="20"/>
                        <w:szCs w:val="20"/>
                      </w:rPr>
                    </w:pPr>
                    <w:r w:rsidRPr="00AE601A">
                      <w:rPr>
                        <w:rFonts w:ascii="Aptos" w:eastAsia="Aptos" w:hAnsi="Aptos" w:cs="Aptos"/>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0A5C" w14:textId="3A032723" w:rsidR="00AE601A" w:rsidRDefault="00AE601A">
    <w:pPr>
      <w:pStyle w:val="Header"/>
    </w:pPr>
    <w:r>
      <w:rPr>
        <w:noProof/>
      </w:rPr>
      <mc:AlternateContent>
        <mc:Choice Requires="wps">
          <w:drawing>
            <wp:anchor distT="0" distB="0" distL="0" distR="0" simplePos="0" relativeHeight="251658240" behindDoc="0" locked="0" layoutInCell="1" allowOverlap="1" wp14:anchorId="260148BA" wp14:editId="1DD91465">
              <wp:simplePos x="635" y="635"/>
              <wp:positionH relativeFrom="page">
                <wp:align>center</wp:align>
              </wp:positionH>
              <wp:positionV relativeFrom="page">
                <wp:align>top</wp:align>
              </wp:positionV>
              <wp:extent cx="423545" cy="370205"/>
              <wp:effectExtent l="0" t="0" r="14605" b="10795"/>
              <wp:wrapNone/>
              <wp:docPr id="156563729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4A961B5D" w14:textId="7BA4A416" w:rsidR="00AE601A" w:rsidRPr="00AE601A" w:rsidRDefault="00AE601A" w:rsidP="00AE601A">
                          <w:pPr>
                            <w:spacing w:after="0"/>
                            <w:rPr>
                              <w:rFonts w:ascii="Aptos" w:eastAsia="Aptos" w:hAnsi="Aptos" w:cs="Aptos"/>
                              <w:noProof/>
                              <w:color w:val="000000"/>
                              <w:sz w:val="20"/>
                              <w:szCs w:val="20"/>
                            </w:rPr>
                          </w:pPr>
                          <w:r w:rsidRPr="00AE601A">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0148BA" id="_x0000_t202" coordsize="21600,21600" o:spt="202" path="m,l,21600r21600,l21600,xe">
              <v:stroke joinstyle="miter"/>
              <v:path gradientshapeok="t" o:connecttype="rect"/>
            </v:shapetype>
            <v:shape id="Text Box 1" o:spid="_x0000_s1028" type="#_x0000_t202" alt="Internal" style="position:absolute;margin-left:0;margin-top:0;width:33.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" filled="f" stroked="f">
              <v:fill o:detectmouseclick="t"/>
              <v:textbox style="mso-fit-shape-to-text:t" inset="0,15pt,0,0">
                <w:txbxContent>
                  <w:p w14:paraId="4A961B5D" w14:textId="7BA4A416" w:rsidR="00AE601A" w:rsidRPr="00AE601A" w:rsidRDefault="00AE601A" w:rsidP="00AE601A">
                    <w:pPr>
                      <w:spacing w:after="0"/>
                      <w:rPr>
                        <w:rFonts w:ascii="Aptos" w:eastAsia="Aptos" w:hAnsi="Aptos" w:cs="Aptos"/>
                        <w:noProof/>
                        <w:color w:val="000000"/>
                        <w:sz w:val="20"/>
                        <w:szCs w:val="20"/>
                      </w:rPr>
                    </w:pPr>
                    <w:r w:rsidRPr="00AE601A">
                      <w:rPr>
                        <w:rFonts w:ascii="Aptos" w:eastAsia="Aptos" w:hAnsi="Aptos" w:cs="Aptos"/>
                        <w:noProof/>
                        <w:color w:val="000000"/>
                        <w:sz w:val="20"/>
                        <w:szCs w:val="20"/>
                      </w:rPr>
                      <w:t>Internal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01A"/>
    <w:rsid w:val="004770A9"/>
    <w:rsid w:val="00502609"/>
    <w:rsid w:val="009135FE"/>
    <w:rsid w:val="00942D2B"/>
    <w:rsid w:val="00AE60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13AD"/>
  <w15:chartTrackingRefBased/>
  <w15:docId w15:val="{673C9383-BADC-439B-B854-5666A01B7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01A"/>
    <w:rPr>
      <w:rFonts w:eastAsiaTheme="majorEastAsia" w:cstheme="majorBidi"/>
      <w:color w:val="272727" w:themeColor="text1" w:themeTint="D8"/>
    </w:rPr>
  </w:style>
  <w:style w:type="paragraph" w:styleId="Title">
    <w:name w:val="Title"/>
    <w:basedOn w:val="Normal"/>
    <w:next w:val="Normal"/>
    <w:link w:val="TitleChar"/>
    <w:uiPriority w:val="10"/>
    <w:qFormat/>
    <w:rsid w:val="00AE6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01A"/>
    <w:pPr>
      <w:spacing w:before="160"/>
      <w:jc w:val="center"/>
    </w:pPr>
    <w:rPr>
      <w:i/>
      <w:iCs/>
      <w:color w:val="404040" w:themeColor="text1" w:themeTint="BF"/>
    </w:rPr>
  </w:style>
  <w:style w:type="character" w:customStyle="1" w:styleId="QuoteChar">
    <w:name w:val="Quote Char"/>
    <w:basedOn w:val="DefaultParagraphFont"/>
    <w:link w:val="Quote"/>
    <w:uiPriority w:val="29"/>
    <w:rsid w:val="00AE601A"/>
    <w:rPr>
      <w:i/>
      <w:iCs/>
      <w:color w:val="404040" w:themeColor="text1" w:themeTint="BF"/>
    </w:rPr>
  </w:style>
  <w:style w:type="paragraph" w:styleId="ListParagraph">
    <w:name w:val="List Paragraph"/>
    <w:basedOn w:val="Normal"/>
    <w:uiPriority w:val="34"/>
    <w:qFormat/>
    <w:rsid w:val="00AE601A"/>
    <w:pPr>
      <w:ind w:left="720"/>
      <w:contextualSpacing/>
    </w:pPr>
  </w:style>
  <w:style w:type="character" w:styleId="IntenseEmphasis">
    <w:name w:val="Intense Emphasis"/>
    <w:basedOn w:val="DefaultParagraphFont"/>
    <w:uiPriority w:val="21"/>
    <w:qFormat/>
    <w:rsid w:val="00AE601A"/>
    <w:rPr>
      <w:i/>
      <w:iCs/>
      <w:color w:val="0F4761" w:themeColor="accent1" w:themeShade="BF"/>
    </w:rPr>
  </w:style>
  <w:style w:type="paragraph" w:styleId="IntenseQuote">
    <w:name w:val="Intense Quote"/>
    <w:basedOn w:val="Normal"/>
    <w:next w:val="Normal"/>
    <w:link w:val="IntenseQuoteChar"/>
    <w:uiPriority w:val="30"/>
    <w:qFormat/>
    <w:rsid w:val="00AE6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01A"/>
    <w:rPr>
      <w:i/>
      <w:iCs/>
      <w:color w:val="0F4761" w:themeColor="accent1" w:themeShade="BF"/>
    </w:rPr>
  </w:style>
  <w:style w:type="character" w:styleId="IntenseReference">
    <w:name w:val="Intense Reference"/>
    <w:basedOn w:val="DefaultParagraphFont"/>
    <w:uiPriority w:val="32"/>
    <w:qFormat/>
    <w:rsid w:val="00AE601A"/>
    <w:rPr>
      <w:b/>
      <w:bCs/>
      <w:smallCaps/>
      <w:color w:val="0F4761" w:themeColor="accent1" w:themeShade="BF"/>
      <w:spacing w:val="5"/>
    </w:rPr>
  </w:style>
  <w:style w:type="paragraph" w:styleId="Header">
    <w:name w:val="header"/>
    <w:basedOn w:val="Normal"/>
    <w:link w:val="HeaderChar"/>
    <w:uiPriority w:val="99"/>
    <w:unhideWhenUsed/>
    <w:rsid w:val="00AE60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Biju, Ashly (Allianz Technology)</dc:creator>
  <cp:keywords/>
  <dc:description/>
  <cp:lastModifiedBy>Biju, Ashly (Allianz Technology)</cp:lastModifiedBy>
  <cp:revision>1</cp:revision>
  <dcterms:created xsi:type="dcterms:W3CDTF">2026-08-05T06:22:00Z</dcterms:created>
  <dcterms:modified xsi:type="dcterms:W3CDTF">2026-08-05T06:23:00Z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5d51baab,58a4f85f,3d0c7d85</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2026-08-05T06:23:29Z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b07bc776-4bb7-491f-be42-e8bea56ed1c8</vt:lpwstr>
  </property>
  <property fmtid="{D5CDD505-2E9C-101B-9397-08002B2CF9AE}" pid="11" name="MSIP_Label_863bc15e-e7bf-41c1-bdb3-03882d8a2e2c_ContentBits">
    <vt:lpwstr>1</vt:lpwstr>
  </property>
  <property fmtid="{D5CDD505-2E9C-101B-9397-08002B2CF9AE}" pid="12" name="MSIP_Label_863bc15e-e7bf-41c1-bdb3-03882d8a2e2c_Tag">
    <vt:lpwstr>10, 0, 1, 1</vt:lpwstr>
  </property>
</Properties>
</file>