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оформле- 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работы# Теоретическое введение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</w:t>
      </w:r>
      <w:r>
        <w:t xml:space="preserve"> </w:t>
      </w:r>
      <w:r>
        <w:t xml:space="preserve">обозначения форматирования в простом тексте, с максимальным</w:t>
      </w:r>
      <w:r>
        <w:t xml:space="preserve"> </w:t>
      </w:r>
      <w:r>
        <w:t xml:space="preserve">сохранением его читаемости человеком, и пригодный для машинного</w:t>
      </w:r>
      <w:r>
        <w:t xml:space="preserve"> </w:t>
      </w:r>
      <w:r>
        <w:t xml:space="preserve">преобразования в языки для продви- нутых публикаций. Внутритекстовые</w:t>
      </w:r>
      <w:r>
        <w:t xml:space="preserve"> </w:t>
      </w:r>
      <w:r>
        <w:t xml:space="preserve">формулы делаются аналогично формулам LaTeX. В Markdown вставить</w:t>
      </w:r>
      <w:r>
        <w:t xml:space="preserve"> </w:t>
      </w:r>
      <w:r>
        <w:t xml:space="preserve">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</w:t>
      </w:r>
      <w:r>
        <w:t xml:space="preserve"> </w:t>
      </w:r>
      <w:r>
        <w:t xml:space="preserve">и ча- сти (file-name.md) – URL-адреса или имени файла, на который</w:t>
      </w:r>
      <w:r>
        <w:t xml:space="preserve"> </w:t>
      </w:r>
      <w:r>
        <w:t xml:space="preserve">дается ссылка. Markdown поддерживает как встраивание фрагментов</w:t>
      </w:r>
      <w:r>
        <w:t xml:space="preserve"> </w:t>
      </w:r>
      <w:r>
        <w:t xml:space="preserve">кода в предложение, так и их размещение между предложениями в виде</w:t>
      </w:r>
      <w:r>
        <w:t xml:space="preserve"> </w:t>
      </w:r>
      <w:r>
        <w:t xml:space="preserve">отдельных огражденных бло- ков. Огражденные блоки кода — это простой способ выделить синтаксис для фрагментов кода. |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Шибаева Александра Алексеевна</dc:creator>
  <dc:language>ru-RU</dc:language>
  <cp:keywords/>
  <dcterms:created xsi:type="dcterms:W3CDTF">2023-10-20T23:13:56Z</dcterms:created>
  <dcterms:modified xsi:type="dcterms:W3CDTF">2023-10-20T23:13:56Z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