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3864"/>
          <w:sz w:val="56"/>
          <w:szCs w:val="56"/>
        </w:rPr>
        <w:t xml:space="preserve">EMS User Management</w:t>
      </w:r>
    </w:p>
    <w:p>
      <w:pPr>
        <w:spacing w:after="0" w:before="120"/>
        <w:jc w:val="center"/>
      </w:pPr>
      <w:r>
        <w:rPr>
          <w:color w:val="2E74B5"/>
          <w:sz w:val="30"/>
          <w:szCs w:val="30"/>
        </w:rPr>
        <w:t xml:space="preserve">Automated Employee Classification &amp; Daily Synchronization with MWP</w:t>
      </w:r>
    </w:p>
    <w:p>
      <w:pPr>
        <w:spacing w:after="0" w:before="500"/>
        <w:jc w:val="center"/>
      </w:pPr>
      <w:r>
        <w:rPr>
          <w:i/>
          <w:iCs/>
          <w:color w:val="595959"/>
          <w:sz w:val="24"/>
          <w:szCs w:val="24"/>
        </w:rPr>
        <w:t xml:space="preserve">Solution Overview</w:t>
      </w:r>
    </w:p>
    <w:p>
      <w:pPr>
        <w:spacing w:before="3200"/>
        <w:jc w:val="center"/>
      </w:pPr>
      <w:r>
        <w:rPr>
          <w:color w:val="595959"/>
          <w:sz w:val="20"/>
          <w:szCs w:val="20"/>
        </w:rPr>
        <w:t xml:space="preserve">Prepared for Client Review</w:t>
      </w:r>
    </w:p>
    <w:p>
      <w:pPr>
        <w:jc w:val="center"/>
      </w:pPr>
      <w:r>
        <w:rPr>
          <w:color w:val="595959"/>
          <w:sz w:val="20"/>
          <w:szCs w:val="20"/>
        </w:rPr>
        <w:t xml:space="preserve">Fusion CX — AIQMS Platform</w:t>
      </w:r>
    </w:p>
    <w:p>
      <w:r>
        <w:br w:type="page"/>
      </w:r>
    </w:p>
    <w:p>
      <w:pPr>
        <w:pStyle w:val="Heading1"/>
        <w:pBdr>
          <w:bottom w:val="single" w:color="2E74B5" w:sz="6" w:space="4"/>
        </w:pBdr>
        <w:spacing w:after="160" w:before="360"/>
      </w:pPr>
      <w:r>
        <w:rPr>
          <w:b/>
          <w:bCs/>
          <w:color w:val="1F3864"/>
          <w:sz w:val="30"/>
          <w:szCs w:val="30"/>
        </w:rPr>
        <w:t xml:space="preserve">1. Executive Summary</w:t>
      </w:r>
    </w:p>
    <w:p>
      <w:pPr>
        <w:spacing w:after="160" w:line="300"/>
      </w:pPr>
      <w:r>
        <w:rPr>
          <w:color w:val="262626"/>
          <w:sz w:val="22"/>
          <w:szCs w:val="22"/>
        </w:rPr>
        <w:t xml:space="preserve">Fusion CX operates its workforce through MindWork Place (MWP), the company’s HR and workforce system, while service quality is managed through AIQMS. Until now, there has been no automated way to keep AIQMS’s view of "who is an Agent, who is QA, who is a Supervisor" in sync with MWP’s daily reality — job titles alone are too inconsistent to rely on, with 127 distinct designations in use across the organization.</w:t>
      </w:r>
    </w:p>
    <w:p>
      <w:pPr>
        <w:spacing w:after="160" w:line="300"/>
      </w:pPr>
      <w:r>
        <w:rPr>
          <w:color w:val="262626"/>
          <w:sz w:val="22"/>
          <w:szCs w:val="22"/>
        </w:rPr>
        <w:t xml:space="preserve">This document summarizes the solution built to close that gap: a reliable, rule-based way to classify every employee, an organizational structure that mirrors how the business actually operates (by client and process, not rigid departments), and an automated daily synchronization job that keeps AIQMS current without ever requiring a manual rebuild.</w:t>
      </w:r>
    </w:p>
    <w:p>
      <w:pPr>
        <w:pStyle w:val="Heading1"/>
        <w:pBdr>
          <w:bottom w:val="single" w:color="2E74B5" w:sz="6" w:space="4"/>
        </w:pBdr>
        <w:spacing w:after="160" w:before="360"/>
      </w:pPr>
      <w:r>
        <w:rPr>
          <w:b/>
          <w:bCs/>
          <w:color w:val="1F3864"/>
          <w:sz w:val="30"/>
          <w:szCs w:val="30"/>
        </w:rPr>
        <w:t xml:space="preserve">2. The Business Challenge</w:t>
      </w:r>
    </w:p>
    <w:p>
      <w:pPr>
        <w:pStyle w:val="ListParagraph"/>
        <w:numPr>
          <w:ilvl w:val="0"/>
          <w:numId w:val="2"/>
        </w:numPr>
        <w:spacing w:after="100" w:line="280"/>
      </w:pPr>
      <w:r>
        <w:rPr>
          <w:color w:val="262626"/>
          <w:sz w:val="22"/>
          <w:szCs w:val="22"/>
        </w:rPr>
        <w:t xml:space="preserve">MWP contains hundreds of job titles (Customer Care Executive, Sales Representative, Technical Officer, and more) — designation alone cannot reliably identify who is an Agent, QA reviewer, Supervisor, or Team Leader.</w:t>
      </w:r>
    </w:p>
    <w:p>
      <w:pPr>
        <w:pStyle w:val="ListParagraph"/>
        <w:numPr>
          <w:ilvl w:val="0"/>
          <w:numId w:val="2"/>
        </w:numPr>
        <w:spacing w:after="100" w:line="280"/>
      </w:pPr>
      <w:r>
        <w:rPr>
          <w:color w:val="262626"/>
          <w:sz w:val="22"/>
          <w:szCs w:val="22"/>
        </w:rPr>
        <w:t xml:space="preserve">AIQMS needs an accurate, current picture of the workforce and its reporting structure to support quality monitoring, coaching, and reporting.</w:t>
      </w:r>
    </w:p>
    <w:p>
      <w:pPr>
        <w:pStyle w:val="ListParagraph"/>
        <w:numPr>
          <w:ilvl w:val="0"/>
          <w:numId w:val="2"/>
        </w:numPr>
        <w:spacing w:after="100" w:line="280"/>
      </w:pPr>
      <w:r>
        <w:rPr>
          <w:color w:val="262626"/>
          <w:sz w:val="22"/>
          <w:szCs w:val="22"/>
        </w:rPr>
        <w:t xml:space="preserve">MWP’s organizational model (Client → Process) is simpler and flatter than AIQMS’s legacy structure, creating a mapping challenge that needed to be solved deliberately rather than forced.</w:t>
      </w:r>
    </w:p>
    <w:p>
      <w:pPr>
        <w:pStyle w:val="ListParagraph"/>
        <w:numPr>
          <w:ilvl w:val="0"/>
          <w:numId w:val="2"/>
        </w:numPr>
        <w:spacing w:after="100" w:line="280"/>
      </w:pPr>
      <w:r>
        <w:rPr>
          <w:color w:val="262626"/>
          <w:sz w:val="22"/>
          <w:szCs w:val="22"/>
        </w:rPr>
        <w:t xml:space="preserve">Manually reconciling employee data every day is not sustainable at this scale — the active workforce feed currently contains over 15,000 employee records.</w:t>
      </w:r>
    </w:p>
    <w:p>
      <w:pPr>
        <w:pStyle w:val="Heading1"/>
        <w:pBdr>
          <w:bottom w:val="single" w:color="2E74B5" w:sz="6" w:space="4"/>
        </w:pBdr>
        <w:spacing w:after="160" w:before="360"/>
      </w:pPr>
      <w:r>
        <w:rPr>
          <w:b/>
          <w:bCs/>
          <w:color w:val="1F3864"/>
          <w:sz w:val="30"/>
          <w:szCs w:val="30"/>
        </w:rPr>
        <w:t xml:space="preserve">3. Employee Classification</w:t>
      </w:r>
    </w:p>
    <w:p>
      <w:pPr>
        <w:spacing w:after="160" w:line="300"/>
      </w:pPr>
      <w:r>
        <w:rPr>
          <w:color w:val="262626"/>
          <w:sz w:val="22"/>
          <w:szCs w:val="22"/>
        </w:rPr>
        <w:t xml:space="preserve">Rather than relying on job title, every employee is classified using two standardized fields already present in MWP: Department and Org Role. This combination was validated against a live pull of the full workforce feed and reliably identifies the four operational categories AIQMS needs to track: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800"/>
      </w:tblGrid>
      <w:tr>
        <w:trPr>
          <w:tblHeader/>
        </w:trPr>
        <w:tc>
          <w:tcPr>
            <w:tcW w:type="dxa" w:w="2200"/>
            <w:shd w:fill="1F3864" w:val="clear"/>
            <w:tcMar>
              <w:top w:type="dxa" w:w="100"/>
              <w:left w:type="dxa" w:w="120"/>
              <w:bottom w:type="dxa" w:w="100"/>
              <w:right w:type="dxa" w:w="120"/>
            </w:tcMar>
            <w:vAlign w:val="center"/>
          </w:tcPr>
          <w:p>
            <w:pPr>
              <w:jc w:val="left"/>
            </w:pPr>
            <w:r>
              <w:rPr>
                <w:b/>
                <w:bCs/>
                <w:color w:val="FFFFFF"/>
                <w:sz w:val="20"/>
                <w:szCs w:val="20"/>
              </w:rPr>
              <w:t xml:space="preserve">Category</w:t>
            </w:r>
          </w:p>
        </w:tc>
        <w:tc>
          <w:tcPr>
            <w:tcW w:type="dxa" w:w="5400"/>
            <w:shd w:fill="1F3864" w:val="clear"/>
            <w:tcMar>
              <w:top w:type="dxa" w:w="100"/>
              <w:left w:type="dxa" w:w="120"/>
              <w:bottom w:type="dxa" w:w="100"/>
              <w:right w:type="dxa" w:w="120"/>
            </w:tcMar>
            <w:vAlign w:val="center"/>
          </w:tcPr>
          <w:p>
            <w:pPr>
              <w:jc w:val="left"/>
            </w:pPr>
            <w:r>
              <w:rPr>
                <w:b/>
                <w:bCs/>
                <w:color w:val="FFFFFF"/>
                <w:sz w:val="20"/>
                <w:szCs w:val="20"/>
              </w:rPr>
              <w:t xml:space="preserve">Classification Rule</w:t>
            </w:r>
          </w:p>
        </w:tc>
        <w:tc>
          <w:tcPr>
            <w:tcW w:type="dxa" w:w="1800"/>
            <w:shd w:fill="1F3864" w:val="clear"/>
            <w:tcMar>
              <w:top w:type="dxa" w:w="100"/>
              <w:left w:type="dxa" w:w="120"/>
              <w:bottom w:type="dxa" w:w="100"/>
              <w:right w:type="dxa" w:w="120"/>
            </w:tcMar>
            <w:vAlign w:val="center"/>
          </w:tcPr>
          <w:p>
            <w:pPr>
              <w:jc w:val="center"/>
            </w:pPr>
            <w:r>
              <w:rPr>
                <w:b/>
                <w:bCs/>
                <w:color w:val="FFFFFF"/>
                <w:sz w:val="20"/>
                <w:szCs w:val="20"/>
              </w:rPr>
              <w:t xml:space="preserve">Employees</w:t>
            </w:r>
          </w:p>
        </w:tc>
      </w:tr>
      <w:tr>
        <w:tc>
          <w:tcPr>
            <w:tcW w:type="dxa" w:w="22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Agent</w:t>
            </w:r>
          </w:p>
        </w:tc>
        <w:tc>
          <w:tcPr>
            <w:tcW w:type="dxa" w:w="54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Department = Operations, Org Role = Production Specialist</w:t>
            </w:r>
          </w:p>
        </w:tc>
        <w:tc>
          <w:tcPr>
            <w:tcW w:type="dxa" w:w="1800"/>
            <w:shd w:fill="EAF1FB" w:val="clear"/>
            <w:tcMar>
              <w:top w:type="dxa" w:w="100"/>
              <w:left w:type="dxa" w:w="120"/>
              <w:bottom w:type="dxa" w:w="100"/>
              <w:right w:type="dxa" w:w="120"/>
            </w:tcMar>
            <w:vAlign w:val="center"/>
          </w:tcPr>
          <w:p>
            <w:pPr>
              <w:jc w:val="center"/>
            </w:pPr>
            <w:r>
              <w:rPr>
                <w:b w:val="false"/>
                <w:bCs w:val="false"/>
                <w:color w:val="262626"/>
                <w:sz w:val="20"/>
                <w:szCs w:val="20"/>
              </w:rPr>
              <w:t xml:space="preserve">12,661</w:t>
            </w:r>
          </w:p>
        </w:tc>
      </w:tr>
      <w:tr>
        <w:tc>
          <w:tcPr>
            <w:tcW w:type="dxa" w:w="2200"/>
            <w:tcMar>
              <w:top w:type="dxa" w:w="100"/>
              <w:left w:type="dxa" w:w="120"/>
              <w:bottom w:type="dxa" w:w="100"/>
              <w:right w:type="dxa" w:w="120"/>
            </w:tcMar>
            <w:vAlign w:val="center"/>
          </w:tcPr>
          <w:p>
            <w:pPr>
              <w:jc w:val="left"/>
            </w:pPr>
            <w:r>
              <w:rPr>
                <w:b w:val="false"/>
                <w:bCs w:val="false"/>
                <w:color w:val="262626"/>
                <w:sz w:val="20"/>
                <w:szCs w:val="20"/>
              </w:rPr>
              <w:t xml:space="preserve">QA Analyst</w:t>
            </w:r>
          </w:p>
        </w:tc>
        <w:tc>
          <w:tcPr>
            <w:tcW w:type="dxa" w:w="5400"/>
            <w:tcMar>
              <w:top w:type="dxa" w:w="100"/>
              <w:left w:type="dxa" w:w="120"/>
              <w:bottom w:type="dxa" w:w="100"/>
              <w:right w:type="dxa" w:w="120"/>
            </w:tcMar>
            <w:vAlign w:val="center"/>
          </w:tcPr>
          <w:p>
            <w:pPr>
              <w:jc w:val="left"/>
            </w:pPr>
            <w:r>
              <w:rPr>
                <w:b w:val="false"/>
                <w:bCs w:val="false"/>
                <w:color w:val="262626"/>
                <w:sz w:val="20"/>
                <w:szCs w:val="20"/>
              </w:rPr>
              <w:t xml:space="preserve">Department = Quality Assurance, Org Role = Quality Analyst</w:t>
            </w:r>
          </w:p>
        </w:tc>
        <w:tc>
          <w:tcPr>
            <w:tcW w:type="dxa" w:w="1800"/>
            <w:tcMar>
              <w:top w:type="dxa" w:w="100"/>
              <w:left w:type="dxa" w:w="120"/>
              <w:bottom w:type="dxa" w:w="100"/>
              <w:right w:type="dxa" w:w="120"/>
            </w:tcMar>
            <w:vAlign w:val="center"/>
          </w:tcPr>
          <w:p>
            <w:pPr>
              <w:jc w:val="center"/>
            </w:pPr>
            <w:r>
              <w:rPr>
                <w:b w:val="false"/>
                <w:bCs w:val="false"/>
                <w:color w:val="262626"/>
                <w:sz w:val="20"/>
                <w:szCs w:val="20"/>
              </w:rPr>
              <w:t xml:space="preserve">267</w:t>
            </w:r>
          </w:p>
        </w:tc>
      </w:tr>
      <w:tr>
        <w:tc>
          <w:tcPr>
            <w:tcW w:type="dxa" w:w="22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Supervisor</w:t>
            </w:r>
          </w:p>
        </w:tc>
        <w:tc>
          <w:tcPr>
            <w:tcW w:type="dxa" w:w="54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Org Role = Supervisor</w:t>
            </w:r>
          </w:p>
        </w:tc>
        <w:tc>
          <w:tcPr>
            <w:tcW w:type="dxa" w:w="1800"/>
            <w:shd w:fill="EAF1FB" w:val="clear"/>
            <w:tcMar>
              <w:top w:type="dxa" w:w="100"/>
              <w:left w:type="dxa" w:w="120"/>
              <w:bottom w:type="dxa" w:w="100"/>
              <w:right w:type="dxa" w:w="120"/>
            </w:tcMar>
            <w:vAlign w:val="center"/>
          </w:tcPr>
          <w:p>
            <w:pPr>
              <w:jc w:val="center"/>
            </w:pPr>
            <w:r>
              <w:rPr>
                <w:b w:val="false"/>
                <w:bCs w:val="false"/>
                <w:color w:val="262626"/>
                <w:sz w:val="20"/>
                <w:szCs w:val="20"/>
              </w:rPr>
              <w:t xml:space="preserve">272</w:t>
            </w:r>
          </w:p>
        </w:tc>
      </w:tr>
      <w:tr>
        <w:tc>
          <w:tcPr>
            <w:tcW w:type="dxa" w:w="2200"/>
            <w:tcMar>
              <w:top w:type="dxa" w:w="100"/>
              <w:left w:type="dxa" w:w="120"/>
              <w:bottom w:type="dxa" w:w="100"/>
              <w:right w:type="dxa" w:w="120"/>
            </w:tcMar>
            <w:vAlign w:val="center"/>
          </w:tcPr>
          <w:p>
            <w:pPr>
              <w:jc w:val="left"/>
            </w:pPr>
            <w:r>
              <w:rPr>
                <w:b w:val="false"/>
                <w:bCs w:val="false"/>
                <w:color w:val="262626"/>
                <w:sz w:val="20"/>
                <w:szCs w:val="20"/>
              </w:rPr>
              <w:t xml:space="preserve">Team Leader</w:t>
            </w:r>
          </w:p>
        </w:tc>
        <w:tc>
          <w:tcPr>
            <w:tcW w:type="dxa" w:w="5400"/>
            <w:tcMar>
              <w:top w:type="dxa" w:w="100"/>
              <w:left w:type="dxa" w:w="120"/>
              <w:bottom w:type="dxa" w:w="100"/>
              <w:right w:type="dxa" w:w="120"/>
            </w:tcMar>
            <w:vAlign w:val="center"/>
          </w:tcPr>
          <w:p>
            <w:pPr>
              <w:jc w:val="left"/>
            </w:pPr>
            <w:r>
              <w:rPr>
                <w:b w:val="false"/>
                <w:bCs w:val="false"/>
                <w:color w:val="262626"/>
                <w:sz w:val="20"/>
                <w:szCs w:val="20"/>
              </w:rPr>
              <w:t xml:space="preserve">Org Role = Team Leader</w:t>
            </w:r>
          </w:p>
        </w:tc>
        <w:tc>
          <w:tcPr>
            <w:tcW w:type="dxa" w:w="1800"/>
            <w:tcMar>
              <w:top w:type="dxa" w:w="100"/>
              <w:left w:type="dxa" w:w="120"/>
              <w:bottom w:type="dxa" w:w="100"/>
              <w:right w:type="dxa" w:w="120"/>
            </w:tcMar>
            <w:vAlign w:val="center"/>
          </w:tcPr>
          <w:p>
            <w:pPr>
              <w:jc w:val="center"/>
            </w:pPr>
            <w:r>
              <w:rPr>
                <w:b w:val="false"/>
                <w:bCs w:val="false"/>
                <w:color w:val="262626"/>
                <w:sz w:val="20"/>
                <w:szCs w:val="20"/>
              </w:rPr>
              <w:t xml:space="preserve">635</w:t>
            </w:r>
          </w:p>
        </w:tc>
      </w:tr>
      <w:tr>
        <w:tc>
          <w:tcPr>
            <w:tcW w:type="dxa" w:w="22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Corporate / Other</w:t>
            </w:r>
          </w:p>
        </w:tc>
        <w:tc>
          <w:tcPr>
            <w:tcW w:type="dxa" w:w="54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Executives, Managers, Directors and other roles outside the four operational categories</w:t>
            </w:r>
          </w:p>
        </w:tc>
        <w:tc>
          <w:tcPr>
            <w:tcW w:type="dxa" w:w="1800"/>
            <w:shd w:fill="EAF1FB" w:val="clear"/>
            <w:tcMar>
              <w:top w:type="dxa" w:w="100"/>
              <w:left w:type="dxa" w:w="120"/>
              <w:bottom w:type="dxa" w:w="100"/>
              <w:right w:type="dxa" w:w="120"/>
            </w:tcMar>
            <w:vAlign w:val="center"/>
          </w:tcPr>
          <w:p>
            <w:pPr>
              <w:jc w:val="center"/>
            </w:pPr>
            <w:r>
              <w:rPr>
                <w:b w:val="false"/>
                <w:bCs w:val="false"/>
                <w:color w:val="262626"/>
                <w:sz w:val="20"/>
                <w:szCs w:val="20"/>
              </w:rPr>
              <w:t xml:space="preserve">1,504</w:t>
            </w:r>
          </w:p>
        </w:tc>
      </w:tr>
      <w:tr>
        <w:tc>
          <w:tcPr>
            <w:tcW w:type="dxa" w:w="2200"/>
            <w:tcMar>
              <w:top w:type="dxa" w:w="100"/>
              <w:left w:type="dxa" w:w="120"/>
              <w:bottom w:type="dxa" w:w="100"/>
              <w:right w:type="dxa" w:w="120"/>
            </w:tcMar>
            <w:vAlign w:val="center"/>
          </w:tcPr>
          <w:p>
            <w:pPr>
              <w:jc w:val="left"/>
            </w:pPr>
            <w:r>
              <w:rPr>
                <w:b w:val="false"/>
                <w:bCs w:val="false"/>
                <w:color w:val="262626"/>
                <w:sz w:val="20"/>
                <w:szCs w:val="20"/>
              </w:rPr>
              <w:t xml:space="preserve">Total (active feed)</w:t>
            </w:r>
          </w:p>
        </w:tc>
        <w:tc>
          <w:tcPr>
            <w:tcW w:type="dxa" w:w="5400"/>
            <w:tcMar>
              <w:top w:type="dxa" w:w="100"/>
              <w:left w:type="dxa" w:w="120"/>
              <w:bottom w:type="dxa" w:w="100"/>
              <w:right w:type="dxa" w:w="120"/>
            </w:tcMar>
            <w:vAlign w:val="center"/>
          </w:tcPr>
          <w:p>
            <w:pPr>
              <w:jc w:val="left"/>
            </w:pPr>
            <w:r>
              <w:rPr>
                <w:b w:val="false"/>
                <w:bCs w:val="false"/>
                <w:color w:val="262626"/>
                <w:sz w:val="20"/>
                <w:szCs w:val="20"/>
              </w:rPr>
              <w:t xml:space="preserve">All employees returned by the MWP feed on the reference pull</w:t>
            </w:r>
          </w:p>
        </w:tc>
        <w:tc>
          <w:tcPr>
            <w:tcW w:type="dxa" w:w="1800"/>
            <w:tcMar>
              <w:top w:type="dxa" w:w="100"/>
              <w:left w:type="dxa" w:w="120"/>
              <w:bottom w:type="dxa" w:w="100"/>
              <w:right w:type="dxa" w:w="120"/>
            </w:tcMar>
            <w:vAlign w:val="center"/>
          </w:tcPr>
          <w:p>
            <w:pPr>
              <w:jc w:val="center"/>
            </w:pPr>
            <w:r>
              <w:rPr>
                <w:b w:val="false"/>
                <w:bCs w:val="false"/>
                <w:color w:val="262626"/>
                <w:sz w:val="20"/>
                <w:szCs w:val="20"/>
              </w:rPr>
              <w:t xml:space="preserve">15,339</w:t>
            </w:r>
          </w:p>
        </w:tc>
      </w:tr>
    </w:tbl>
    <w:p>
      <w:pPr>
        <w:pBdr>
          <w:left w:val="single" w:color="2E74B5" w:sz="18" w:space="8"/>
        </w:pBdr>
        <w:spacing w:after="200" w:before="80"/>
        <w:ind w:left="215"/>
      </w:pPr>
      <w:r>
        <w:rPr>
          <w:i/>
          <w:iCs/>
          <w:color w:val="595959"/>
          <w:sz w:val="20"/>
          <w:szCs w:val="20"/>
        </w:rPr>
        <w:t xml:space="preserve">Roughly 1,500 employees (Executives, Managers, Directors, and similar corporate/support functions) fall outside these four categories. They remain visible in the system’s records but are not yet auto-provisioned as AIQMS users, pending a decision on how those roles should be represented.</w:t>
      </w:r>
    </w:p>
    <w:p>
      <w:pPr>
        <w:pStyle w:val="Heading1"/>
        <w:pBdr>
          <w:bottom w:val="single" w:color="2E74B5" w:sz="6" w:space="4"/>
        </w:pBdr>
        <w:spacing w:after="160" w:before="360"/>
      </w:pPr>
      <w:r>
        <w:rPr>
          <w:b/>
          <w:bCs/>
          <w:color w:val="1F3864"/>
          <w:sz w:val="30"/>
          <w:szCs w:val="30"/>
        </w:rPr>
        <w:t xml:space="preserve">4. Organizational Structure</w:t>
      </w:r>
    </w:p>
    <w:p>
      <w:pPr>
        <w:spacing w:after="160" w:line="300"/>
      </w:pPr>
      <w:r>
        <w:rPr>
          <w:color w:val="262626"/>
          <w:sz w:val="22"/>
          <w:szCs w:val="22"/>
        </w:rPr>
        <w:t xml:space="preserve">AIQMS’s reporting tree is built to mirror how Fusion CX actually operates — by geography, account, and process — rather than a rigid, forced department hierarchy. Every employee is placed at the deepest, most specific level: the Process they work 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3864" w:val="clear"/>
            <w:tcMar>
              <w:top w:type="dxa" w:w="100"/>
              <w:left w:type="dxa" w:w="120"/>
              <w:bottom w:type="dxa" w:w="100"/>
              <w:right w:type="dxa" w:w="120"/>
            </w:tcMar>
            <w:vAlign w:val="center"/>
          </w:tcPr>
          <w:p>
            <w:pPr>
              <w:jc w:val="left"/>
            </w:pPr>
            <w:r>
              <w:rPr>
                <w:b/>
                <w:bCs/>
                <w:color w:val="FFFFFF"/>
                <w:sz w:val="20"/>
                <w:szCs w:val="20"/>
              </w:rPr>
              <w:t xml:space="preserve">Tree Level</w:t>
            </w:r>
          </w:p>
        </w:tc>
        <w:tc>
          <w:tcPr>
            <w:tcW w:type="dxa" w:w="6400"/>
            <w:shd w:fill="1F3864" w:val="clear"/>
            <w:tcMar>
              <w:top w:type="dxa" w:w="100"/>
              <w:left w:type="dxa" w:w="120"/>
              <w:bottom w:type="dxa" w:w="100"/>
              <w:right w:type="dxa" w:w="120"/>
            </w:tcMar>
            <w:vAlign w:val="center"/>
          </w:tcPr>
          <w:p>
            <w:pPr>
              <w:jc w:val="left"/>
            </w:pPr>
            <w:r>
              <w:rPr>
                <w:b/>
                <w:bCs/>
                <w:color w:val="FFFFFF"/>
                <w:sz w:val="20"/>
                <w:szCs w:val="20"/>
              </w:rPr>
              <w:t xml:space="preserve">Source Field / Meaning</w:t>
            </w:r>
          </w:p>
        </w:tc>
      </w:tr>
      <w:tr>
        <w:tc>
          <w:tcPr>
            <w:tcW w:type="dxa" w:w="30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Geography</w:t>
            </w:r>
          </w:p>
        </w:tc>
        <w:tc>
          <w:tcPr>
            <w:tcW w:type="dxa" w:w="64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Regional grouping (APAC, NORAM, LATAM, EMEA) derived from office location</w:t>
            </w:r>
          </w:p>
        </w:tc>
      </w:tr>
      <w:tr>
        <w:tc>
          <w:tcPr>
            <w:tcW w:type="dxa" w:w="3000"/>
            <w:tcMar>
              <w:top w:type="dxa" w:w="100"/>
              <w:left w:type="dxa" w:w="120"/>
              <w:bottom w:type="dxa" w:w="100"/>
              <w:right w:type="dxa" w:w="120"/>
            </w:tcMar>
            <w:vAlign w:val="center"/>
          </w:tcPr>
          <w:p>
            <w:pPr>
              <w:jc w:val="left"/>
            </w:pPr>
            <w:r>
              <w:rPr>
                <w:b w:val="false"/>
                <w:bCs w:val="false"/>
                <w:color w:val="262626"/>
                <w:sz w:val="20"/>
                <w:szCs w:val="20"/>
              </w:rPr>
              <w:t xml:space="preserve">Country</w:t>
            </w:r>
          </w:p>
        </w:tc>
        <w:tc>
          <w:tcPr>
            <w:tcW w:type="dxa" w:w="6400"/>
            <w:tcMar>
              <w:top w:type="dxa" w:w="100"/>
              <w:left w:type="dxa" w:w="120"/>
              <w:bottom w:type="dxa" w:w="100"/>
              <w:right w:type="dxa" w:w="120"/>
            </w:tcMar>
            <w:vAlign w:val="center"/>
          </w:tcPr>
          <w:p>
            <w:pPr>
              <w:jc w:val="left"/>
            </w:pPr>
            <w:r>
              <w:rPr>
                <w:b w:val="false"/>
                <w:bCs w:val="false"/>
                <w:color w:val="262626"/>
                <w:sz w:val="20"/>
                <w:szCs w:val="20"/>
              </w:rPr>
              <w:t xml:space="preserve">Country derived from office location (12 countries in the current feed)</w:t>
            </w:r>
          </w:p>
        </w:tc>
      </w:tr>
      <w:tr>
        <w:tc>
          <w:tcPr>
            <w:tcW w:type="dxa" w:w="30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Location</w:t>
            </w:r>
          </w:p>
        </w:tc>
        <w:tc>
          <w:tcPr>
            <w:tcW w:type="dxa" w:w="64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Office / site (27 sites in the current feed, e.g. Kolkata, Manila, San Salvador)</w:t>
            </w:r>
          </w:p>
        </w:tc>
      </w:tr>
      <w:tr>
        <w:tc>
          <w:tcPr>
            <w:tcW w:type="dxa" w:w="3000"/>
            <w:tcMar>
              <w:top w:type="dxa" w:w="100"/>
              <w:left w:type="dxa" w:w="120"/>
              <w:bottom w:type="dxa" w:w="100"/>
              <w:right w:type="dxa" w:w="120"/>
            </w:tcMar>
            <w:vAlign w:val="center"/>
          </w:tcPr>
          <w:p>
            <w:pPr>
              <w:jc w:val="left"/>
            </w:pPr>
            <w:r>
              <w:rPr>
                <w:b w:val="false"/>
                <w:bCs w:val="false"/>
                <w:color w:val="262626"/>
                <w:sz w:val="20"/>
                <w:szCs w:val="20"/>
              </w:rPr>
              <w:t xml:space="preserve">Client</w:t>
            </w:r>
          </w:p>
        </w:tc>
        <w:tc>
          <w:tcPr>
            <w:tcW w:type="dxa" w:w="6400"/>
            <w:tcMar>
              <w:top w:type="dxa" w:w="100"/>
              <w:left w:type="dxa" w:w="120"/>
              <w:bottom w:type="dxa" w:w="100"/>
              <w:right w:type="dxa" w:w="120"/>
            </w:tcMar>
            <w:vAlign w:val="center"/>
          </w:tcPr>
          <w:p>
            <w:pPr>
              <w:jc w:val="left"/>
            </w:pPr>
            <w:r>
              <w:rPr>
                <w:b w:val="false"/>
                <w:bCs w:val="false"/>
                <w:color w:val="262626"/>
                <w:sz w:val="20"/>
                <w:szCs w:val="20"/>
              </w:rPr>
              <w:t xml:space="preserve">The end customer/account an employee services (e.g. JioMart, Meesho)</w:t>
            </w:r>
          </w:p>
        </w:tc>
      </w:tr>
      <w:tr>
        <w:tc>
          <w:tcPr>
            <w:tcW w:type="dxa" w:w="30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Process (leaf)</w:t>
            </w:r>
          </w:p>
        </w:tc>
        <w:tc>
          <w:tcPr>
            <w:tcW w:type="dxa" w:w="64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The specific line of business under a client (e.g. Voice, Chat, Back Office) — always the deepest level, every employee attaches here</w:t>
            </w:r>
          </w:p>
        </w:tc>
      </w:tr>
    </w:tbl>
    <w:p>
      <w:pPr>
        <w:spacing w:after="160" w:line="300"/>
      </w:pPr>
      <w:r>
        <w:rPr>
          <w:color w:val="262626"/>
          <w:sz w:val="22"/>
          <w:szCs w:val="22"/>
        </w:rPr>
        <w:t xml:space="preserve">This structure was chosen deliberately: a Process always belongs to a Client, a Client always belongs to a Location, and so on up to Geography — giving AIQMS a consistent way to report on headcount and quality at any level, from a single process up to the whole company.</w:t>
      </w:r>
    </w:p>
    <w:p>
      <w:pPr>
        <w:pStyle w:val="Heading1"/>
        <w:pBdr>
          <w:bottom w:val="single" w:color="2E74B5" w:sz="6" w:space="4"/>
        </w:pBdr>
        <w:spacing w:after="160" w:before="360"/>
      </w:pPr>
      <w:r>
        <w:rPr>
          <w:b/>
          <w:bCs/>
          <w:color w:val="1F3864"/>
          <w:sz w:val="30"/>
          <w:szCs w:val="30"/>
        </w:rPr>
        <w:t xml:space="preserve">5. Daily Synchronization Process</w:t>
      </w:r>
    </w:p>
    <w:p>
      <w:pPr>
        <w:spacing w:after="160" w:line="300"/>
      </w:pPr>
      <w:r>
        <w:rPr>
          <w:color w:val="262626"/>
          <w:sz w:val="22"/>
          <w:szCs w:val="22"/>
        </w:rPr>
        <w:t xml:space="preserve">An automated job runs once per day and keeps AIQMS current with MWP through five steps. Critically, this is an incremental update, not a rebuild — only records that actually changed are touched, which keeps the process fast, safe, and fully auditable.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tblHeader/>
        </w:trPr>
        <w:tc>
          <w:tcPr>
            <w:tcW w:type="dxa" w:w="1900"/>
            <w:shd w:fill="1F3864" w:val="clear"/>
            <w:tcMar>
              <w:top w:type="dxa" w:w="100"/>
              <w:left w:type="dxa" w:w="120"/>
              <w:bottom w:type="dxa" w:w="100"/>
              <w:right w:type="dxa" w:w="120"/>
            </w:tcMar>
            <w:vAlign w:val="center"/>
          </w:tcPr>
          <w:p>
            <w:pPr>
              <w:jc w:val="left"/>
            </w:pPr>
            <w:r>
              <w:rPr>
                <w:b/>
                <w:bCs/>
                <w:color w:val="FFFFFF"/>
                <w:sz w:val="20"/>
                <w:szCs w:val="20"/>
              </w:rPr>
              <w:t xml:space="preserve">Step</w:t>
            </w:r>
          </w:p>
        </w:tc>
        <w:tc>
          <w:tcPr>
            <w:tcW w:type="dxa" w:w="7500"/>
            <w:shd w:fill="1F3864" w:val="clear"/>
            <w:tcMar>
              <w:top w:type="dxa" w:w="100"/>
              <w:left w:type="dxa" w:w="120"/>
              <w:bottom w:type="dxa" w:w="100"/>
              <w:right w:type="dxa" w:w="120"/>
            </w:tcMar>
            <w:vAlign w:val="center"/>
          </w:tcPr>
          <w:p>
            <w:pPr>
              <w:jc w:val="left"/>
            </w:pPr>
            <w:r>
              <w:rPr>
                <w:b/>
                <w:bCs/>
                <w:color w:val="FFFFFF"/>
                <w:sz w:val="20"/>
                <w:szCs w:val="20"/>
              </w:rPr>
              <w:t xml:space="preserve">What Happens</w:t>
            </w:r>
          </w:p>
        </w:tc>
      </w:tr>
      <w:tr>
        <w:tc>
          <w:tcPr>
            <w:tcW w:type="dxa" w:w="19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1. Fetch</w:t>
            </w:r>
          </w:p>
        </w:tc>
        <w:tc>
          <w:tcPr>
            <w:tcW w:type="dxa" w:w="75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The system calls the MWP feed once daily and immediately archives the exact response received, before anything else happens. This gives a reliable rollback point if anything downstream needs to be investigated.</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2. Classify</w:t>
            </w:r>
          </w:p>
        </w:tc>
        <w:tc>
          <w:tcPr>
            <w:tcW w:type="dxa" w:w="7500"/>
            <w:tcMar>
              <w:top w:type="dxa" w:w="100"/>
              <w:left w:type="dxa" w:w="120"/>
              <w:bottom w:type="dxa" w:w="100"/>
              <w:right w:type="dxa" w:w="120"/>
            </w:tcMar>
            <w:vAlign w:val="center"/>
          </w:tcPr>
          <w:p>
            <w:pPr>
              <w:jc w:val="left"/>
            </w:pPr>
            <w:r>
              <w:rPr>
                <w:b w:val="false"/>
                <w:bCs w:val="false"/>
                <w:color w:val="262626"/>
                <w:sz w:val="20"/>
                <w:szCs w:val="20"/>
              </w:rPr>
              <w:t xml:space="preserve">Every employee record is evaluated against the classification rules above (Agent / QA / Supervisor / Team Leader) and mapped to the organizational tree position implied by their office, client, and process.</w:t>
            </w:r>
          </w:p>
        </w:tc>
      </w:tr>
      <w:tr>
        <w:tc>
          <w:tcPr>
            <w:tcW w:type="dxa" w:w="19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3. Compare</w:t>
            </w:r>
          </w:p>
        </w:tc>
        <w:tc>
          <w:tcPr>
            <w:tcW w:type="dxa" w:w="75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Today's classified data is compared against what AIQMS already has on file, matched on each employee's unique MWP identifier — not by name or email, which can change.</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4. Update</w:t>
            </w:r>
          </w:p>
        </w:tc>
        <w:tc>
          <w:tcPr>
            <w:tcW w:type="dxa" w:w="7500"/>
            <w:tcMar>
              <w:top w:type="dxa" w:w="100"/>
              <w:left w:type="dxa" w:w="120"/>
              <w:bottom w:type="dxa" w:w="100"/>
              <w:right w:type="dxa" w:w="120"/>
            </w:tcMar>
            <w:vAlign w:val="center"/>
          </w:tcPr>
          <w:p>
            <w:pPr>
              <w:jc w:val="left"/>
            </w:pPr>
            <w:r>
              <w:rPr>
                <w:b w:val="false"/>
                <w:bCs w:val="false"/>
                <w:color w:val="262626"/>
                <w:sz w:val="20"/>
                <w:szCs w:val="20"/>
              </w:rPr>
              <w:t xml:space="preserve">Only records that actually changed are written. New employees are onboarded, departures are deactivated (never deleted), and changed fields (supervisor, status, assignment, etc.) are updated individually. Unchanged records are left untouched.</w:t>
            </w:r>
          </w:p>
        </w:tc>
      </w:tr>
      <w:tr>
        <w:tc>
          <w:tcPr>
            <w:tcW w:type="dxa" w:w="19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5. Log</w:t>
            </w:r>
          </w:p>
        </w:tc>
        <w:tc>
          <w:tcPr>
            <w:tcW w:type="dxa" w:w="75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Every run produces a summary record — counts of additions, updates, deactivations, and items flagged for review — so any change can be traced back to the run that caused it.</w:t>
            </w:r>
          </w:p>
        </w:tc>
      </w:tr>
    </w:tbl>
    <w:p>
      <w:pPr>
        <w:pStyle w:val="Heading1"/>
        <w:pBdr>
          <w:bottom w:val="single" w:color="2E74B5" w:sz="6" w:space="4"/>
        </w:pBdr>
        <w:spacing w:after="160" w:before="360"/>
      </w:pPr>
      <w:r>
        <w:rPr>
          <w:b/>
          <w:bCs/>
          <w:color w:val="1F3864"/>
          <w:sz w:val="30"/>
          <w:szCs w:val="30"/>
        </w:rPr>
        <w:t xml:space="preserve">6. Handling Real-World Change</w:t>
      </w:r>
    </w:p>
    <w:p>
      <w:pPr>
        <w:pStyle w:val="Heading2"/>
        <w:spacing w:after="120" w:before="280"/>
      </w:pPr>
      <w:r>
        <w:rPr>
          <w:b/>
          <w:bCs/>
          <w:color w:val="1F3864"/>
          <w:sz w:val="24"/>
          <w:szCs w:val="24"/>
        </w:rPr>
        <w:t xml:space="preserve">6.1 Supervisor Rotation</w:t>
      </w:r>
    </w:p>
    <w:p>
      <w:pPr>
        <w:spacing w:after="160" w:line="300"/>
      </w:pPr>
      <w:r>
        <w:rPr>
          <w:color w:val="262626"/>
          <w:sz w:val="22"/>
          <w:szCs w:val="22"/>
        </w:rPr>
        <w:t xml:space="preserve">Supervisors and team leads rotate periodically as a normal part of operations. The system treats MWP as the source of truth for who supervises whom on any given day: every change is applied immediately, and a complete history of every supervisor change is preserved. A rotation that reverses next month is simply another recorded event — never blocked, and never mistaken for an error.</w:t>
      </w:r>
    </w:p>
    <w:p>
      <w:pPr>
        <w:pStyle w:val="Heading2"/>
        <w:spacing w:after="120" w:before="280"/>
      </w:pPr>
      <w:r>
        <w:rPr>
          <w:b/>
          <w:bCs/>
          <w:color w:val="1F3864"/>
          <w:sz w:val="24"/>
          <w:szCs w:val="24"/>
        </w:rPr>
        <w:t xml:space="preserve">6.2 Promotions and Role Changes</w:t>
      </w:r>
    </w:p>
    <w:p>
      <w:pPr>
        <w:spacing w:after="160" w:line="300"/>
      </w:pPr>
      <w:r>
        <w:rPr>
          <w:color w:val="262626"/>
          <w:sz w:val="22"/>
          <w:szCs w:val="22"/>
        </w:rPr>
        <w:t xml:space="preserve">When an employee’s role changes in a way that would change their AIQMS category (for example, an Agent promoted to Team Leader), the system does not apply this automatically. Instead, it is placed into a manual review queue for an administrator to confirm. This protects any additional roles an administrator may have manually granted inside AIQMS from being silently overwritten by MWP’s single-role view — the same principle agreed for the small percentage of employees who hold more than one responsibility.</w:t>
      </w:r>
    </w:p>
    <w:p>
      <w:pPr>
        <w:pStyle w:val="Heading2"/>
        <w:spacing w:after="120" w:before="280"/>
      </w:pPr>
      <w:r>
        <w:rPr>
          <w:b/>
          <w:bCs/>
          <w:color w:val="1F3864"/>
          <w:sz w:val="24"/>
          <w:szCs w:val="24"/>
        </w:rPr>
        <w:t xml:space="preserve">6.3 New Hires and Departures</w:t>
      </w:r>
    </w:p>
    <w:p>
      <w:pPr>
        <w:spacing w:after="160" w:line="300"/>
      </w:pPr>
      <w:r>
        <w:rPr>
          <w:color w:val="262626"/>
          <w:sz w:val="22"/>
          <w:szCs w:val="22"/>
        </w:rPr>
        <w:t xml:space="preserve">New employees are automatically onboarded into AIQMS with the correct category and organizational placement. Employees who leave MWP entirely are automatically deactivated — never deleted — so historical records and reporting remain intact.</w:t>
      </w:r>
    </w:p>
    <w:p>
      <w:pPr>
        <w:pStyle w:val="Heading1"/>
        <w:pBdr>
          <w:bottom w:val="single" w:color="2E74B5" w:sz="6" w:space="4"/>
        </w:pBdr>
        <w:spacing w:after="160" w:before="360"/>
      </w:pPr>
      <w:r>
        <w:rPr>
          <w:b/>
          <w:bCs/>
          <w:color w:val="1F3864"/>
          <w:sz w:val="30"/>
          <w:szCs w:val="30"/>
        </w:rPr>
        <w:t xml:space="preserve">7. Governance and Data Safety</w:t>
      </w:r>
    </w:p>
    <w:p>
      <w:pPr>
        <w:pStyle w:val="ListParagraph"/>
        <w:numPr>
          <w:ilvl w:val="0"/>
          <w:numId w:val="2"/>
        </w:numPr>
        <w:spacing w:after="100" w:line="280"/>
      </w:pPr>
      <w:r>
        <w:rPr>
          <w:color w:val="262626"/>
          <w:sz w:val="22"/>
          <w:szCs w:val="22"/>
        </w:rPr>
        <w:t xml:space="preserve">No full rebuild, ever: each day’s update only changes records that actually differ from what AIQMS already has.</w:t>
      </w:r>
    </w:p>
    <w:p>
      <w:pPr>
        <w:pStyle w:val="ListParagraph"/>
        <w:numPr>
          <w:ilvl w:val="0"/>
          <w:numId w:val="2"/>
        </w:numPr>
        <w:spacing w:after="100" w:line="280"/>
      </w:pPr>
      <w:r>
        <w:rPr>
          <w:color w:val="262626"/>
          <w:sz w:val="22"/>
          <w:szCs w:val="22"/>
        </w:rPr>
        <w:t xml:space="preserve">Nothing is ever permanently deleted; departures are deactivated, preserving full history.</w:t>
      </w:r>
    </w:p>
    <w:p>
      <w:pPr>
        <w:pStyle w:val="ListParagraph"/>
        <w:numPr>
          <w:ilvl w:val="0"/>
          <w:numId w:val="2"/>
        </w:numPr>
        <w:spacing w:after="100" w:line="280"/>
      </w:pPr>
      <w:r>
        <w:rPr>
          <w:color w:val="262626"/>
          <w:sz w:val="22"/>
          <w:szCs w:val="22"/>
        </w:rPr>
        <w:t xml:space="preserve">Every automated decision (add, update, deactivate, or flag for review) is written to a run log, so any change can be traced back to exactly when and why it happened.</w:t>
      </w:r>
    </w:p>
    <w:p>
      <w:pPr>
        <w:pStyle w:val="ListParagraph"/>
        <w:numPr>
          <w:ilvl w:val="0"/>
          <w:numId w:val="2"/>
        </w:numPr>
        <w:spacing w:after="100" w:line="280"/>
      </w:pPr>
      <w:r>
        <w:rPr>
          <w:color w:val="262626"/>
          <w:sz w:val="22"/>
          <w:szCs w:val="22"/>
        </w:rPr>
        <w:t xml:space="preserve">Ambiguous or sensitive changes — specifically, category/role changes — always go to a human reviewer rather than being applied automatically.</w:t>
      </w:r>
    </w:p>
    <w:p>
      <w:pPr>
        <w:pStyle w:val="ListParagraph"/>
        <w:numPr>
          <w:ilvl w:val="0"/>
          <w:numId w:val="2"/>
        </w:numPr>
        <w:spacing w:after="100" w:line="280"/>
      </w:pPr>
      <w:r>
        <w:rPr>
          <w:color w:val="262626"/>
          <w:sz w:val="22"/>
          <w:szCs w:val="22"/>
        </w:rPr>
        <w:t xml:space="preserve">Newly synced accounts are created in a safe, inactive-login state until they go through proper onboarding — the sync process never issues live credentials on its own.</w:t>
      </w:r>
    </w:p>
    <w:p>
      <w:pPr>
        <w:pStyle w:val="Heading1"/>
        <w:pBdr>
          <w:bottom w:val="single" w:color="2E74B5" w:sz="6" w:space="4"/>
        </w:pBdr>
        <w:spacing w:after="160" w:before="360"/>
      </w:pPr>
      <w:r>
        <w:rPr>
          <w:b/>
          <w:bCs/>
          <w:color w:val="1F3864"/>
          <w:sz w:val="30"/>
          <w:szCs w:val="30"/>
        </w:rPr>
        <w:t xml:space="preserve">8. Current Status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2E7D32" w:val="clear"/>
            <w:tcMar>
              <w:top w:type="dxa" w:w="100"/>
              <w:left w:type="dxa" w:w="120"/>
              <w:bottom w:type="dxa" w:w="100"/>
              <w:right w:type="dxa" w:w="120"/>
            </w:tcMar>
            <w:vAlign w:val="center"/>
          </w:tcPr>
          <w:p>
            <w:pPr>
              <w:jc w:val="left"/>
            </w:pPr>
            <w:r>
              <w:rPr>
                <w:b/>
                <w:bCs/>
                <w:color w:val="FFFFFF"/>
                <w:sz w:val="20"/>
                <w:szCs w:val="20"/>
              </w:rPr>
              <w:t xml:space="preserve">Completed</w:t>
            </w:r>
          </w:p>
        </w:tc>
        <w:tc>
          <w:tcPr>
            <w:tcW w:type="dxa" w:w="4700"/>
            <w:shd w:fill="B45309" w:val="clear"/>
            <w:tcMar>
              <w:top w:type="dxa" w:w="100"/>
              <w:left w:type="dxa" w:w="120"/>
              <w:bottom w:type="dxa" w:w="100"/>
              <w:right w:type="dxa" w:w="120"/>
            </w:tcMar>
            <w:vAlign w:val="center"/>
          </w:tcPr>
          <w:p>
            <w:pPr>
              <w:jc w:val="left"/>
            </w:pPr>
            <w:r>
              <w:rPr>
                <w:b/>
                <w:bCs/>
                <w:color w:val="FFFFFF"/>
                <w:sz w:val="20"/>
                <w:szCs w:val="20"/>
              </w:rPr>
              <w:t xml:space="preserve">Pending Before Go-Live</w:t>
            </w:r>
          </w:p>
        </w:tc>
      </w:tr>
      <w:tr>
        <w:tc>
          <w:tcPr>
            <w:tcW w:type="dxa" w:w="47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Classification rules validated against a live 15,339-employee data pull</w:t>
            </w:r>
          </w:p>
        </w:tc>
        <w:tc>
          <w:tcPr>
            <w:tcW w:type="dxa" w:w="47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Confirm which AIQMS workspace the synced roster belongs to</w:t>
            </w:r>
          </w:p>
        </w:tc>
      </w:tr>
      <w:tr>
        <w:tc>
          <w:tcPr>
            <w:tcW w:type="dxa" w:w="4700"/>
            <w:tcMar>
              <w:top w:type="dxa" w:w="100"/>
              <w:left w:type="dxa" w:w="120"/>
              <w:bottom w:type="dxa" w:w="100"/>
              <w:right w:type="dxa" w:w="120"/>
            </w:tcMar>
            <w:vAlign w:val="center"/>
          </w:tcPr>
          <w:p>
            <w:pPr>
              <w:jc w:val="left"/>
            </w:pPr>
            <w:r>
              <w:rPr>
                <w:b w:val="false"/>
                <w:bCs w:val="false"/>
                <w:color w:val="262626"/>
                <w:sz w:val="20"/>
                <w:szCs w:val="20"/>
              </w:rPr>
              <w:t xml:space="preserve">Organizational tree design (Geography → Country → Location → Client → Process)</w:t>
            </w:r>
          </w:p>
        </w:tc>
        <w:tc>
          <w:tcPr>
            <w:tcW w:type="dxa" w:w="4700"/>
            <w:tcMar>
              <w:top w:type="dxa" w:w="100"/>
              <w:left w:type="dxa" w:w="120"/>
              <w:bottom w:type="dxa" w:w="100"/>
              <w:right w:type="dxa" w:w="120"/>
            </w:tcMar>
            <w:vAlign w:val="center"/>
          </w:tcPr>
          <w:p>
            <w:pPr>
              <w:jc w:val="left"/>
            </w:pPr>
            <w:r>
              <w:rPr>
                <w:b w:val="false"/>
                <w:bCs w:val="false"/>
                <w:color w:val="262626"/>
                <w:sz w:val="20"/>
                <w:szCs w:val="20"/>
              </w:rPr>
              <w:t xml:space="preserve">Confirm the meaning of the inactive/status code returned by MWP</w:t>
            </w:r>
          </w:p>
        </w:tc>
      </w:tr>
      <w:tr>
        <w:tc>
          <w:tcPr>
            <w:tcW w:type="dxa" w:w="47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Daily sync engine built and logic-tested end to end</w:t>
            </w:r>
          </w:p>
        </w:tc>
        <w:tc>
          <w:tcPr>
            <w:tcW w:type="dxa" w:w="4700"/>
            <w:shd w:fill="EAF1FB" w:val="clear"/>
            <w:tcMar>
              <w:top w:type="dxa" w:w="100"/>
              <w:left w:type="dxa" w:w="120"/>
              <w:bottom w:type="dxa" w:w="100"/>
              <w:right w:type="dxa" w:w="120"/>
            </w:tcMar>
            <w:vAlign w:val="center"/>
          </w:tcPr>
          <w:p>
            <w:pPr>
              <w:jc w:val="left"/>
            </w:pPr>
            <w:r>
              <w:rPr>
                <w:b w:val="false"/>
                <w:bCs w:val="false"/>
                <w:color w:val="262626"/>
                <w:sz w:val="20"/>
                <w:szCs w:val="20"/>
              </w:rPr>
              <w:t xml:space="preserve">Seed baseline permission groups for each employee category</w:t>
            </w:r>
          </w:p>
        </w:tc>
      </w:tr>
      <w:tr>
        <w:tc>
          <w:tcPr>
            <w:tcW w:type="dxa" w:w="4700"/>
            <w:tcMar>
              <w:top w:type="dxa" w:w="100"/>
              <w:left w:type="dxa" w:w="120"/>
              <w:bottom w:type="dxa" w:w="100"/>
              <w:right w:type="dxa" w:w="120"/>
            </w:tcMar>
            <w:vAlign w:val="center"/>
          </w:tcPr>
          <w:p>
            <w:pPr>
              <w:jc w:val="left"/>
            </w:pPr>
            <w:r>
              <w:rPr>
                <w:b w:val="false"/>
                <w:bCs w:val="false"/>
                <w:color w:val="262626"/>
                <w:sz w:val="20"/>
                <w:szCs w:val="20"/>
              </w:rPr>
              <w:t xml:space="preserve">Supervisor-rotation and role-change safeguards verified</w:t>
            </w:r>
          </w:p>
        </w:tc>
        <w:tc>
          <w:tcPr>
            <w:tcW w:type="dxa" w:w="4700"/>
            <w:tcMar>
              <w:top w:type="dxa" w:w="100"/>
              <w:left w:type="dxa" w:w="120"/>
              <w:bottom w:type="dxa" w:w="100"/>
              <w:right w:type="dxa" w:w="120"/>
            </w:tcMar>
            <w:vAlign w:val="center"/>
          </w:tcPr>
          <w:p>
            <w:pPr>
              <w:jc w:val="left"/>
            </w:pPr>
            <w:r>
              <w:rPr>
                <w:b w:val="false"/>
                <w:bCs w:val="false"/>
                <w:color w:val="262626"/>
                <w:sz w:val="20"/>
                <w:szCs w:val="20"/>
              </w:rPr>
              <w:t xml:space="preserve">Run and verify a full end-to-end sync against a live database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EMS User Management — Solution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2026-07-28T13:01:06.039Z</dcterms:created>
  <dcterms:modified xsi:type="dcterms:W3CDTF">2026-07-28T13:01:06.044Z</dcterms:modified>
</cp:coreProperties>
</file>

<file path=docProps/custom.xml><?xml version="1.0" encoding="utf-8"?>
<Properties xmlns="http://schemas.openxmlformats.org/officeDocument/2006/custom-properties" xmlns:vt="http://schemas.openxmlformats.org/officeDocument/2006/docPropsVTypes"/>
</file>