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C0522A"/>
          <w:sz w:val="64"/>
          <w:szCs w:val="64"/>
        </w:rPr>
        <w:t xml:space="preserve">PHENORA</w:t>
      </w:r>
    </w:p>
    <w:p>
      <w:pPr>
        <w:spacing w:after="200"/>
        <w:jc w:val="center"/>
      </w:pPr>
      <w:r>
        <w:rPr>
          <w:b/>
          <w:bCs/>
          <w:color w:val="1F3864"/>
          <w:sz w:val="32"/>
          <w:szCs w:val="32"/>
        </w:rPr>
        <w:t xml:space="preserve">RAPID-AST EDGE</w:t>
      </w:r>
    </w:p>
    <w:p>
      <w:pPr>
        <w:spacing w:after="600"/>
        <w:jc w:val="center"/>
      </w:pPr>
      <w:r>
        <w:rPr>
          <w:i/>
          <w:iCs/>
          <w:sz w:val="26"/>
          <w:szCs w:val="26"/>
        </w:rPr>
        <w:t xml:space="preserve">Project Flow Foundation</w:t>
      </w:r>
    </w:p>
    <w:p>
      <w:pPr>
        <w:spacing w:after="80"/>
        <w:jc w:val="center"/>
      </w:pPr>
      <w:r>
        <w:rPr>
          <w:color w:val="555555"/>
          <w:sz w:val="22"/>
          <w:szCs w:val="22"/>
        </w:rPr>
        <w:t xml:space="preserve">Confidence-Driven Adaptive Impedance AST at the Edge</w:t>
      </w:r>
    </w:p>
    <w:p>
      <w:pPr>
        <w:spacing w:before="800"/>
        <w:jc w:val="center"/>
      </w:pPr>
      <w:r>
        <w:rPr>
          <w:color w:val="888888"/>
          <w:sz w:val="18"/>
          <w:szCs w:val="18"/>
        </w:rPr>
        <w:t xml:space="preserve">Innovest DeepSprint Hackathon 2026 — Chennai Institute of Technology</w:t>
      </w:r>
    </w:p>
    <w:p>
      <w:pPr>
        <w:jc w:val="center"/>
      </w:pPr>
      <w:r>
        <w:rPr>
          <w:color w:val="888888"/>
          <w:sz w:val="18"/>
          <w:szCs w:val="18"/>
        </w:rPr>
        <w:t xml:space="preserve">Team PHENORA</w:t>
      </w:r>
    </w:p>
    <w:p>
      <w:r>
        <w:br w:type="page"/>
      </w:r>
    </w:p>
    <w:p>
      <w:pPr>
        <w:pStyle w:val="Heading1"/>
        <w:spacing w:after="160" w:before="360"/>
      </w:pPr>
      <w:r>
        <w:t xml:space="preserve">PHENORA in One Page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F3864" w:color="auto" w:val="clear"/>
          </w:tcPr>
          <w:p>
            <w:r>
              <w:rPr>
                <w:b/>
                <w:bCs/>
                <w:color w:val="FFFFFF"/>
                <w:sz w:val="20"/>
                <w:szCs w:val="20"/>
              </w:rPr>
              <w:t xml:space="preserve">Element</w:t>
            </w:r>
          </w:p>
        </w:tc>
        <w:tc>
          <w:tcPr>
            <w:tcW w:type="dxa" w:w="6800"/>
            <w:shd w:fill="1F3864" w:color="auto" w:val="clear"/>
          </w:tcPr>
          <w:p>
            <w:r>
              <w:rPr>
                <w:b/>
                <w:bCs/>
                <w:color w:val="FFFFFF"/>
                <w:sz w:val="20"/>
                <w:szCs w:val="20"/>
              </w:rPr>
              <w:t xml:space="preserve">Summary</w:t>
            </w:r>
          </w:p>
        </w:tc>
      </w:tr>
      <w:tr>
        <w:tc>
          <w:tcPr>
            <w:tcW w:type="dxa" w:w="2200"/>
          </w:tcPr>
          <w:p>
            <w:r>
              <w:rPr>
                <w:b w:val="false"/>
                <w:bCs w:val="false"/>
                <w:sz w:val="20"/>
                <w:szCs w:val="20"/>
              </w:rPr>
              <w:t xml:space="preserve">Problem</w:t>
            </w:r>
          </w:p>
        </w:tc>
        <w:tc>
          <w:tcPr>
            <w:tcW w:type="dxa" w:w="6800"/>
          </w:tcPr>
          <w:p>
            <w:r>
              <w:rPr>
                <w:b w:val="false"/>
                <w:bCs w:val="false"/>
                <w:sz w:val="20"/>
                <w:szCs w:val="20"/>
              </w:rPr>
              <w:t xml:space="preserve">Phenotypic antibiotic susceptibility testing (AST) cannot report a result until the pathogen produces a measurable response — biology, not computation, is the time bottleneck.</w:t>
            </w:r>
          </w:p>
        </w:tc>
      </w:tr>
      <w:tr>
        <w:tc>
          <w:tcPr>
            <w:tcW w:type="dxa" w:w="2200"/>
          </w:tcPr>
          <w:p>
            <w:r>
              <w:rPr>
                <w:b w:val="false"/>
                <w:bCs w:val="false"/>
                <w:sz w:val="20"/>
                <w:szCs w:val="20"/>
              </w:rPr>
              <w:t xml:space="preserve">Insight</w:t>
            </w:r>
          </w:p>
        </w:tc>
        <w:tc>
          <w:tcPr>
            <w:tcW w:type="dxa" w:w="6800"/>
          </w:tcPr>
          <w:p>
            <w:r>
              <w:rPr>
                <w:b w:val="false"/>
                <w:bCs w:val="false"/>
                <w:sz w:val="20"/>
                <w:szCs w:val="20"/>
              </w:rPr>
              <w:t xml:space="preserve">Most rapid-AST research makes the measurement faster. PHENORA asks a different question: can the system use the response observed so far to decide what to measure next?</w:t>
            </w:r>
          </w:p>
        </w:tc>
      </w:tr>
      <w:tr>
        <w:tc>
          <w:tcPr>
            <w:tcW w:type="dxa" w:w="2200"/>
          </w:tcPr>
          <w:p>
            <w:r>
              <w:rPr>
                <w:b w:val="false"/>
                <w:bCs w:val="false"/>
                <w:sz w:val="20"/>
                <w:szCs w:val="20"/>
              </w:rPr>
              <w:t xml:space="preserve">Technology</w:t>
            </w:r>
          </w:p>
        </w:tc>
        <w:tc>
          <w:tcPr>
            <w:tcW w:type="dxa" w:w="6800"/>
          </w:tcPr>
          <w:p>
            <w:r>
              <w:rPr>
                <w:b w:val="false"/>
                <w:bCs w:val="false"/>
                <w:sz w:val="20"/>
                <w:szCs w:val="20"/>
              </w:rPr>
              <w:t xml:space="preserve">Bulk differential impedance sensing (AD5933) + edge controller (Heltec/ESP32) + FPGA (VSDSquadron iCE40UP5K) running an adaptive confidence-driven stop/repeat decision loop.</w:t>
            </w:r>
          </w:p>
        </w:tc>
      </w:tr>
      <w:tr>
        <w:tc>
          <w:tcPr>
            <w:tcW w:type="dxa" w:w="2200"/>
          </w:tcPr>
          <w:p>
            <w:r>
              <w:rPr>
                <w:b w:val="false"/>
                <w:bCs w:val="false"/>
                <w:sz w:val="20"/>
                <w:szCs w:val="20"/>
              </w:rPr>
              <w:t xml:space="preserve">Current MVP</w:t>
            </w:r>
          </w:p>
        </w:tc>
        <w:tc>
          <w:tcPr>
            <w:tcW w:type="dxa" w:w="6800"/>
          </w:tcPr>
          <w:p>
            <w:r>
              <w:rPr>
                <w:b w:val="false"/>
                <w:bCs w:val="false"/>
                <w:sz w:val="20"/>
                <w:szCs w:val="20"/>
              </w:rPr>
              <w:t xml:space="preserve">V1 bench prototype: control-well vs test-well impedance, differential signal extraction, adaptive FSM — validated electrically, not yet biologically.</w:t>
            </w:r>
          </w:p>
        </w:tc>
      </w:tr>
      <w:tr>
        <w:tc>
          <w:tcPr>
            <w:tcW w:type="dxa" w:w="2200"/>
          </w:tcPr>
          <w:p>
            <w:r>
              <w:rPr>
                <w:b w:val="false"/>
                <w:bCs w:val="false"/>
                <w:sz w:val="20"/>
                <w:szCs w:val="20"/>
              </w:rPr>
              <w:t xml:space="preserve">What is proven</w:t>
            </w:r>
          </w:p>
        </w:tc>
        <w:tc>
          <w:tcPr>
            <w:tcW w:type="dxa" w:w="6800"/>
          </w:tcPr>
          <w:p>
            <w:r>
              <w:rPr>
                <w:b w:val="false"/>
                <w:bCs w:val="false"/>
                <w:sz w:val="20"/>
                <w:szCs w:val="20"/>
              </w:rPr>
              <w:t xml:space="preserve">Architecture is simulation-validated (TRL 3); AD5933 + iCE40UP5K are real, sourceable, documented components capable of the described roles.</w:t>
            </w:r>
          </w:p>
        </w:tc>
      </w:tr>
      <w:tr>
        <w:tc>
          <w:tcPr>
            <w:tcW w:type="dxa" w:w="2200"/>
          </w:tcPr>
          <w:p>
            <w:r>
              <w:rPr>
                <w:b w:val="false"/>
                <w:bCs w:val="false"/>
                <w:sz w:val="20"/>
                <w:szCs w:val="20"/>
              </w:rPr>
              <w:t xml:space="preserve">What is not yet proven</w:t>
            </w:r>
          </w:p>
        </w:tc>
        <w:tc>
          <w:tcPr>
            <w:tcW w:type="dxa" w:w="6800"/>
          </w:tcPr>
          <w:p>
            <w:r>
              <w:rPr>
                <w:b w:val="false"/>
                <w:bCs w:val="false"/>
                <w:sz w:val="20"/>
                <w:szCs w:val="20"/>
              </w:rPr>
              <w:t xml:space="preserve">That the bulk impedance signal correlates with actual antibiotic susceptibility; that adaptive stopping meaningfully saves time; that the architecture is patentable beyond existing prior art.</w:t>
            </w:r>
          </w:p>
        </w:tc>
      </w:tr>
      <w:tr>
        <w:tc>
          <w:tcPr>
            <w:tcW w:type="dxa" w:w="2200"/>
          </w:tcPr>
          <w:p>
            <w:r>
              <w:rPr>
                <w:b w:val="false"/>
                <w:bCs w:val="false"/>
                <w:sz w:val="20"/>
                <w:szCs w:val="20"/>
              </w:rPr>
              <w:t xml:space="preserve">Differentiation</w:t>
            </w:r>
          </w:p>
        </w:tc>
        <w:tc>
          <w:tcPr>
            <w:tcW w:type="dxa" w:w="6800"/>
          </w:tcPr>
          <w:p>
            <w:r>
              <w:rPr>
                <w:b w:val="false"/>
                <w:bCs w:val="false"/>
                <w:sz w:val="20"/>
                <w:szCs w:val="20"/>
              </w:rPr>
              <w:t xml:space="preserve">Not the sensor (impedance AST is published). Not the FPGA+AD5933 pairing (a reference design exists). The differentiation candidate is the closed-loop, confidence-driven measurement-scheduling layer.</w:t>
            </w:r>
          </w:p>
        </w:tc>
      </w:tr>
      <w:tr>
        <w:tc>
          <w:tcPr>
            <w:tcW w:type="dxa" w:w="2200"/>
          </w:tcPr>
          <w:p>
            <w:r>
              <w:rPr>
                <w:b w:val="false"/>
                <w:bCs w:val="false"/>
                <w:sz w:val="20"/>
                <w:szCs w:val="20"/>
              </w:rPr>
              <w:t xml:space="preserve">Next milestone</w:t>
            </w:r>
          </w:p>
        </w:tc>
        <w:tc>
          <w:tcPr>
            <w:tcW w:type="dxa" w:w="6800"/>
          </w:tcPr>
          <w:p>
            <w:r>
              <w:rPr>
                <w:b w:val="false"/>
                <w:bCs w:val="false"/>
                <w:sz w:val="20"/>
                <w:szCs w:val="20"/>
              </w:rPr>
              <w:t xml:space="preserve">Complete the electrical + complex-matrix + confounder + synthetic-FSM validation ladder, then pursue supervised biological validation with defined reference strains.</w:t>
            </w:r>
          </w:p>
        </w:tc>
      </w:tr>
    </w:tbl>
    <w:p>
      <w:r>
        <w:br w:type="page"/>
      </w:r>
    </w:p>
    <w:p>
      <w:pPr>
        <w:pStyle w:val="Heading1"/>
        <w:spacing w:after="160" w:before="360"/>
      </w:pPr>
      <w:r>
        <w:t xml:space="preserve">1. The Problem</w:t>
      </w:r>
    </w:p>
    <w:p>
      <w:pPr>
        <w:spacing w:after="160"/>
      </w:pPr>
      <w:r>
        <w:t xml:space="preserve">Antibiotic susceptibility cannot be determined until the pathogen produces a measurable biological response. Conventional phenotypic AST (disk diffusion, broth microdilution) requires bacterial growth to a fixed endpoint — typically requiring culture, incubation, and endpoint reading — before a susceptible/intermediate/resistant (S/I/R) result is available.</w:t>
      </w:r>
    </w:p>
    <w:p>
      <w:pPr>
        <w:spacing w:after="160"/>
      </w:pPr>
      <w:r>
        <w:t xml:space="preserve">This affects clinicians choosing therapy, microbiology labs running AST workflows, hospitals managing antimicrobial stewardship, and — for PHENORA's target deployment — district and rural health facilities with limited laboratory infrastructure.</w:t>
      </w:r>
    </w:p>
    <w:p>
      <w:pPr>
        <w:pStyle w:val="Heading1"/>
        <w:spacing w:after="160" w:before="360"/>
      </w:pPr>
      <w:r>
        <w:t xml:space="preserve">2. Why Existing AST Is Slow</w:t>
      </w:r>
    </w:p>
    <w:p>
      <w:pPr>
        <w:shd w:fill="F2F2F2" w:color="auto" w:val="clear"/>
        <w:spacing w:after="160"/>
      </w:pPr>
      <w:r>
        <w:rPr>
          <w:rFonts w:ascii="Consolas" w:cs="Consolas" w:eastAsia="Consolas" w:hAnsi="Consolas"/>
          <w:sz w:val="18"/>
          <w:szCs w:val="18"/>
        </w:rPr>
        <w:t xml:space="preserve">PATIENT → SAMPLE → CULTURE/ISOLATION → AST SETUP → INCUBATION → ENDPOINT READING → S/I/R RESULT</w:t>
      </w:r>
    </w:p>
    <w:p>
      <w:pPr>
        <w:spacing w:after="160"/>
      </w:pPr>
      <w:r>
        <w:t xml:space="preserve">Digital tools such as smartphone-based antibiogram readers (e.g., Antibiogo) improve how an already-grown result is interpreted and reported, but they do not shorten the underlying biological growth time. The bottleneck is biological, not computational — faster electronics alone cannot remove it. PHENORA's premise is that continuous sensing during the biological response, rather than waiting for its endpoint, is where time can genuinely be recovered.</w:t>
      </w:r>
    </w:p>
    <w:p>
      <w:pPr>
        <w:pStyle w:val="Heading1"/>
        <w:spacing w:after="160" w:before="360"/>
      </w:pPr>
      <w:r>
        <w:t xml:space="preserve">3. What Impedance Means</w:t>
      </w:r>
    </w:p>
    <w:p>
      <w:pPr>
        <w:spacing w:after="160"/>
      </w:pPr>
      <w:r>
        <w:t xml:space="preserve">Electrical impedance (Z) describes how much a material or medium resists the flow of an alternating current, and how that resistance is split between resistive (R) and reactive/capacitive (X) components: Z = R + jX. PHENORA measures the impedance of a bacterial culture in a control well and a test (antibiotic-exposed) well, at one or more frequencies, over time.</w:t>
      </w:r>
    </w:p>
    <w:p>
      <w:pPr>
        <w:spacing w:after="160"/>
      </w:pPr>
      <w:r>
        <w:t xml:space="preserve">The AD5933 impedance-converter IC generates the AC excitation, digitizes the response, and performs an on-chip discrete Fourier transform (DFT) to return the real and imaginary components of Z directly — this is the foundation of PHENORA's sensing layer.</w:t>
      </w:r>
    </w:p>
    <w:p>
      <w:pPr>
        <w:pStyle w:val="Heading1"/>
        <w:spacing w:after="160" w:before="360"/>
      </w:pPr>
      <w:r>
        <w:t xml:space="preserve">4. What Biological Changes May Affect Impedance</w:t>
      </w:r>
    </w:p>
    <w:p>
      <w:pPr>
        <w:pStyle w:val="ListParagraph"/>
        <w:numPr>
          <w:ilvl w:val="0"/>
          <w:numId w:val="1"/>
        </w:numPr>
        <w:spacing w:after="80"/>
      </w:pPr>
      <w:r>
        <w:t xml:space="preserve">Bacterial growth/metabolism alters the ionic composition of the surrounding medium, which changes its conductivity.</w:t>
      </w:r>
    </w:p>
    <w:p>
      <w:pPr>
        <w:pStyle w:val="ListParagraph"/>
        <w:numPr>
          <w:ilvl w:val="0"/>
          <w:numId w:val="1"/>
        </w:numPr>
        <w:spacing w:after="80"/>
      </w:pPr>
      <w:r>
        <w:t xml:space="preserve">Cell death releases intracellular ions into the medium, another conductivity-altering event.</w:t>
      </w:r>
    </w:p>
    <w:p>
      <w:pPr>
        <w:pStyle w:val="ListParagraph"/>
        <w:numPr>
          <w:ilvl w:val="0"/>
          <w:numId w:val="1"/>
        </w:numPr>
        <w:spacing w:after="80"/>
      </w:pPr>
      <w:r>
        <w:t xml:space="preserve">Electrode/electrolyte interface effects (double-layer capacitance, charge-transfer resistance) contribute to the measured signal and must be accounted for.</w:t>
      </w:r>
    </w:p>
    <w:p>
      <w:pPr>
        <w:pStyle w:val="ListParagraph"/>
        <w:numPr>
          <w:ilvl w:val="0"/>
          <w:numId w:val="1"/>
        </w:numPr>
        <w:spacing w:after="80"/>
      </w:pPr>
      <w:r>
        <w:t xml:space="preserve">Non-biological confounders — temperature (~2% conductivity change per °C), evaporation, and electrode drift — can produce impedance changes that look biological but are not. These must be actively measured and controlled for, not assumed away.</w:t>
      </w:r>
    </w:p>
    <w:p>
      <w:pPr>
        <w:pStyle w:val="Heading1"/>
        <w:spacing w:after="160" w:before="360"/>
      </w:pPr>
      <w:r>
        <w:t xml:space="preserve">5. What PHENORA Is Trying to Measure</w:t>
      </w:r>
    </w:p>
    <w:p>
      <w:pPr>
        <w:spacing w:after="160"/>
      </w:pPr>
      <w:r>
        <w:t xml:space="preserve">PHENORA does not attempt single-cell resolution (that is the domain of microfluidic impedance cytometry systems such as iFAST). It targets a population-level, bulk-impedance feature — most simply |Z|, but potentially a more biologically meaningful derived quantity such as charge-transfer resistance (Rct) — that shifts measurably and reproducibly between an antibiotic-exposed culture and an unexposed control.</w:t>
      </w:r>
    </w:p>
    <w:p>
      <w:pPr>
        <w:spacing w:after="160"/>
      </w:pPr>
      <w:r>
        <w:t xml:space="preserve">The central hypothesis: a low-cost bulk impedance system may detect reproducible electrical changes associated with a biological or chemical perturbation, and an adaptive edge-computing layer may reduce unnecessary repeated measurement by recognizing when the electrical evidence is already sufficient. This is stated explicitly as a hypothesis, not an established result.</w:t>
      </w:r>
    </w:p>
    <w:p>
      <w:pPr>
        <w:pStyle w:val="Heading1"/>
        <w:spacing w:after="160" w:before="360"/>
      </w:pPr>
      <w:r>
        <w:t xml:space="preserve">6. Control vs Test Concept</w:t>
      </w:r>
    </w:p>
    <w:p>
      <w:pPr>
        <w:shd w:fill="F2F2F2" w:color="auto" w:val="clear"/>
        <w:spacing w:after="160"/>
      </w:pPr>
      <w:r>
        <w:rPr>
          <w:rFonts w:ascii="Consolas" w:cs="Consolas" w:eastAsia="Consolas" w:hAnsi="Consolas"/>
          <w:sz w:val="18"/>
          <w:szCs w:val="18"/>
        </w:rPr>
        <w:t xml:space="preserve">CONTROL well (no antibiotic)         TEST well (+ antibiotic)
        │                                      │
        └──────────────────┬───────────────────┘
                            ▼
                     Differential signal
                     ΔF(t) = F_test(t) − F_control(t)</w:t>
      </w:r>
    </w:p>
    <w:p>
      <w:pPr>
        <w:spacing w:after="160"/>
      </w:pPr>
      <w:r>
        <w:t xml:space="preserve">Comparing a test well against a parallel, identically-prepared control well — rather than reading one well's absolute impedance — is the key design choice that allows the system to reject common-mode drift (temperature, evaporation, electrode aging) that would otherwise be indistinguishable from a genuine biological response.</w:t>
      </w:r>
    </w:p>
    <w:p>
      <w:pPr>
        <w:pStyle w:val="Heading1"/>
        <w:spacing w:after="160" w:before="360"/>
      </w:pPr>
      <w:r>
        <w:t xml:space="preserve">7. AD5933 Role</w:t>
      </w:r>
    </w:p>
    <w:p>
      <w:pPr>
        <w:spacing w:after="160"/>
      </w:pPr>
      <w:r>
        <w:t xml:space="preserve">The AD5933 is a single-chip impedance converter: it contains a DDS sine-wave generator for AC excitation, a 12-bit 1 MSPS ADC, and an on-chip DFT engine that returns real and imaginary impedance components over I²C. Its native range is roughly 1 kHz–100 kHz excitation and 1 kΩ–10 MΩ impedance; frequencies below 1 kHz — where medium-conductivity effects from bacterial metabolism are often strongest in the literature — require additional front-end circuitry, a known limitation carried forward into this design rather than hidden.</w:t>
      </w:r>
    </w:p>
    <w:p>
      <w:pPr>
        <w:spacing w:after="160"/>
      </w:pPr>
      <w:r>
        <w:t xml:space="preserve">A more capable alternative, the AD5941/AD5940 (native 4-wire measurement, ~0.015 Hz–200 kHz range, 16-bit resolution), has been identified and documented as a strong V2 upgrade candidate but was not selected for the hackathon build due to cost and sourcing-timeline constraints.</w:t>
      </w:r>
    </w:p>
    <w:p>
      <w:pPr>
        <w:pStyle w:val="Heading1"/>
        <w:spacing w:after="160" w:before="360"/>
      </w:pPr>
      <w:r>
        <w:t xml:space="preserve">8. Heltec Role</w:t>
      </w:r>
    </w:p>
    <w:p>
      <w:pPr>
        <w:spacing w:after="160"/>
      </w:pPr>
      <w:r>
        <w:t xml:space="preserve">The Heltec WiFi Kit 32 V3 (ESP32-S3) — or, if the team's on-hand board is instead an ESP8266, the same role applies via its I²C interface — configures and calibrates the AD5933, reads the real/imaginary registers, computes magnitude and phase, generates the feature to be sent onward, communicates with the FPGA over UART, and drives an OLED status display and optional Wi-Fi telemetry.</w:t>
      </w:r>
    </w:p>
    <w:p>
      <w:pPr>
        <w:pStyle w:val="Heading1"/>
        <w:spacing w:after="160" w:before="360"/>
      </w:pPr>
      <w:r>
        <w:t xml:space="preserve">9. FPGA Role</w:t>
      </w:r>
    </w:p>
    <w:p>
      <w:pPr>
        <w:spacing w:after="160"/>
      </w:pPr>
      <w:r>
        <w:t xml:space="preserve">The VSDSquadron FPGA Mini (Lattice iCE40UP5K) is where PHENORA's proposed differentiated contribution lives. It receives the feature stream over UART and performs deterministic, parallel, low-latency digital filtering, differential calculation, slope estimation, stability checking, and the adaptive stop/repeat decision — entirely at the edge, without cloud dependency.</w:t>
      </w:r>
    </w:p>
    <w:p>
      <w:pPr>
        <w:spacing w:after="160"/>
      </w:pPr>
      <w:r>
        <w:t xml:space="preserve">A guiding architectural principle: the AD5933 already performs excitation, analog-to-digital conversion, and DFT — the FPGA's job begins above that layer (turning R/I into |Z|/phase, then into features, confidence, and a decision), not duplicating what the AD5933 already does well.</w:t>
      </w:r>
    </w:p>
    <w:p>
      <w:pPr>
        <w:pStyle w:val="Heading1"/>
        <w:spacing w:after="160" w:before="360"/>
      </w:pPr>
      <w:r>
        <w:t xml:space="preserve">10. Heltec-to-FPGA Communication</w:t>
      </w:r>
    </w:p>
    <w:p>
      <w:pPr>
        <w:shd w:fill="F2F2F2" w:color="auto" w:val="clear"/>
        <w:spacing w:after="0"/>
      </w:pPr>
      <w:r>
        <w:rPr>
          <w:rFonts w:ascii="Consolas" w:cs="Consolas" w:eastAsia="Consolas" w:hAnsi="Consolas"/>
          <w:sz w:val="18"/>
          <w:szCs w:val="18"/>
        </w:rPr>
        <w:t xml:space="preserve">Physical:  Heltec TX -&gt; FPGA RX</w:t>
      </w:r>
    </w:p>
    <w:p>
      <w:pPr>
        <w:shd w:fill="F2F2F2" w:color="auto" w:val="clear"/>
        <w:spacing w:after="0"/>
      </w:pPr>
      <w:r>
        <w:rPr>
          <w:rFonts w:ascii="Consolas" w:cs="Consolas" w:eastAsia="Consolas" w:hAnsi="Consolas"/>
          <w:sz w:val="18"/>
          <w:szCs w:val="18"/>
        </w:rPr>
        <w:t xml:space="preserve">           Heltec RX &lt;- FPGA TX</w:t>
      </w:r>
    </w:p>
    <w:p>
      <w:pPr>
        <w:shd w:fill="F2F2F2" w:color="auto" w:val="clear"/>
        <w:spacing w:after="0"/>
      </w:pPr>
      <w:r>
        <w:rPr>
          <w:rFonts w:ascii="Consolas" w:cs="Consolas" w:eastAsia="Consolas" w:hAnsi="Consolas"/>
          <w:sz w:val="18"/>
          <w:szCs w:val="18"/>
        </w:rPr>
        <w:t xml:space="preserve">           Heltec GND &lt;-&gt; FPGA GND   (3.3V logic both sides)</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Protocol:  UART, 115200 baud, 8N1</w:t>
      </w:r>
    </w:p>
    <w:p>
      <w:pPr>
        <w:shd w:fill="F2F2F2" w:color="auto" w:val="clear"/>
        <w:spacing w:after="0"/>
      </w:pPr>
      <w:r>
        <w:rPr>
          <w:rFonts w:ascii="Consolas" w:cs="Consolas" w:eastAsia="Consolas" w:hAnsi="Consolas"/>
          <w:sz w:val="18"/>
          <w:szCs w:val="18"/>
        </w:rPr>
        <w:t xml:space="preserve">Packet:    [AA 55] [Type] [Sequence] [Feature:16-bit] [Flags] [Checksum:XOR]</w:t>
      </w:r>
    </w:p>
    <w:p>
      <w:pPr>
        <w:spacing w:after="160"/>
      </w:pPr>
      <w:r>
        <w:t xml:space="preserve">This protocol is a design-stage specification and has not yet been hardware-verified at the time of writing; the checksum scheme is a placeholder for initial bring-up. FPGA GPIO assignments must always be taken from the VSDSquadron board's own pin-constraint file, not hard-coded from memory.</w:t>
      </w:r>
    </w:p>
    <w:p>
      <w:pPr>
        <w:pStyle w:val="Heading1"/>
        <w:spacing w:after="160" w:before="360"/>
      </w:pPr>
      <w:r>
        <w:t xml:space="preserve">11. Feature Extraction</w:t>
      </w:r>
    </w:p>
    <w:p>
      <w:pPr>
        <w:spacing w:after="160"/>
      </w:pPr>
      <w:r>
        <w:t xml:space="preserve">From the raw real/imaginary impedance data, PHENORA computes |Z| (and, as the design matures, potentially phase, real(Z), imaginary(Z), or a fitted charge-transfer resistance Rct) as the working biological feature, denoted F. The choice of F is not fixed in advance — it must be selected based on which quantity shows the cleanest, most repeatable separation during validation, not assumed to be |Z| by default.</w:t>
      </w:r>
    </w:p>
    <w:p>
      <w:pPr>
        <w:pStyle w:val="Heading1"/>
        <w:spacing w:after="160" w:before="360"/>
      </w:pPr>
      <w:r>
        <w:t xml:space="preserve">12. Differential Signal</w:t>
      </w:r>
    </w:p>
    <w:p>
      <w:pPr>
        <w:shd w:fill="F2F2F2" w:color="auto" w:val="clear"/>
        <w:spacing w:after="160"/>
      </w:pPr>
      <w:r>
        <w:rPr>
          <w:rFonts w:ascii="Consolas" w:cs="Consolas" w:eastAsia="Consolas" w:hAnsi="Consolas"/>
          <w:sz w:val="18"/>
          <w:szCs w:val="18"/>
        </w:rPr>
        <w:t xml:space="preserve">ΔF(t) = F_test(t) − F_control(t)</w:t>
      </w:r>
    </w:p>
    <w:p>
      <w:pPr>
        <w:spacing w:after="160"/>
      </w:pPr>
      <w:r>
        <w:t xml:space="preserve">This differential signal is the primary quantity the FPGA's adaptive logic operates on. A related ratio metric, the Differential Impedance Ratio (DIR), is defined for future biological work as ΔZ_antibiotic / ΔZ_growth-control — a DIR near 1 suggests the drug did not suppress metabolism (resistant-like), while a DIR near 0 suggests suppressed metabolism (susceptible-like).</w:t>
      </w:r>
    </w:p>
    <w:p>
      <w:pPr>
        <w:pStyle w:val="Heading1"/>
        <w:spacing w:after="160" w:before="360"/>
      </w:pPr>
      <w:r>
        <w:t xml:space="preserve">13. Slope</w:t>
      </w:r>
    </w:p>
    <w:p>
      <w:pPr>
        <w:shd w:fill="F2F2F2" w:color="auto" w:val="clear"/>
        <w:spacing w:after="160"/>
      </w:pPr>
      <w:r>
        <w:rPr>
          <w:rFonts w:ascii="Consolas" w:cs="Consolas" w:eastAsia="Consolas" w:hAnsi="Consolas"/>
          <w:sz w:val="18"/>
          <w:szCs w:val="18"/>
        </w:rPr>
        <w:t xml:space="preserve">slope[n] = delta[n] − delta[n−4]</w:t>
      </w:r>
    </w:p>
    <w:p>
      <w:pPr>
        <w:spacing w:after="160"/>
      </w:pPr>
      <w:r>
        <w:t xml:space="preserve">A simple finite-difference slope over a small window, computed in fixed-point arithmetic to avoid the cost of floating-point or division-heavy operations on the FPGA in V1.</w:t>
      </w:r>
    </w:p>
    <w:p>
      <w:pPr>
        <w:pStyle w:val="Heading1"/>
        <w:spacing w:after="160" w:before="360"/>
      </w:pPr>
      <w:r>
        <w:t xml:space="preserve">14. Stability</w:t>
      </w:r>
    </w:p>
    <w:p>
      <w:pPr>
        <w:shd w:fill="F2F2F2" w:color="auto" w:val="clear"/>
        <w:spacing w:after="160"/>
      </w:pPr>
      <w:r>
        <w:rPr>
          <w:rFonts w:ascii="Consolas" w:cs="Consolas" w:eastAsia="Consolas" w:hAnsi="Consolas"/>
          <w:sz w:val="18"/>
          <w:szCs w:val="18"/>
        </w:rPr>
        <w:t xml:space="preserve">range = max(recent slopes) − min(recent slopes)</w:t>
      </w:r>
    </w:p>
    <w:p>
      <w:pPr>
        <w:spacing w:after="160"/>
      </w:pPr>
      <w:r>
        <w:t xml:space="preserve">A low range across recent slope values indicates the signal has settled into a stable trend rather than still actively changing or noisily fluctuating.</w:t>
      </w:r>
    </w:p>
    <w:p>
      <w:pPr>
        <w:pStyle w:val="Heading1"/>
        <w:spacing w:after="160" w:before="360"/>
      </w:pPr>
      <w:r>
        <w:t xml:space="preserve">15. STOP vs MEASURE AGAIN</w:t>
      </w:r>
    </w:p>
    <w:p>
      <w:pPr>
        <w:shd w:fill="F2F2F2" w:color="auto" w:val="clear"/>
        <w:spacing w:after="160"/>
      </w:pPr>
      <w:r>
        <w:rPr>
          <w:rFonts w:ascii="Consolas" w:cs="Consolas" w:eastAsia="Consolas" w:hAnsi="Consolas"/>
          <w:sz w:val="18"/>
          <w:szCs w:val="18"/>
        </w:rPr>
        <w:t xml:space="preserve">IF  signal above minimum threshold
    AND sufficiently stable
    AND stable for N consecutive windows
THEN  → STOP  (sufficient evidence)
ELSE  → MEASURE AGAIN
IF no resolution within a bounded time window → INCONCLUSIVE / TIMEOUT</w:t>
      </w:r>
    </w:p>
    <w:p>
      <w:pPr>
        <w:spacing w:after="160"/>
      </w:pPr>
      <w:r>
        <w:t xml:space="preserve">This finite state machine, running entirely on the FPGA, is the concrete implementation of PHENORA's proposed novelty: deciding, from the evidence gathered so far, whether continued measurement is actually necessary.</w:t>
      </w:r>
    </w:p>
    <w:p>
      <w:pPr>
        <w:pStyle w:val="Heading1"/>
        <w:spacing w:after="160" w:before="360"/>
      </w:pPr>
      <w:r>
        <w:t xml:space="preserve">16. Today's Validation Experiments</w:t>
      </w:r>
    </w:p>
    <w:p>
      <w:pPr>
        <w:spacing w:after="160"/>
      </w:pPr>
      <w:r>
        <w:t xml:space="preserve">Because controlled bacterial culture and reference AST could not be responsibly completed within the hackathon timeline, validation was deliberately split into an engineering validation ladder (achievable immediately) and a future, supervised biological validation stage.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3800"/>
      </w:tblGrid>
      <w:tr>
        <w:tc>
          <w:tcPr>
            <w:tcW w:type="dxa" w:w="1000"/>
            <w:shd w:fill="1F3864" w:color="auto" w:val="clear"/>
          </w:tcPr>
          <w:p>
            <w:r>
              <w:rPr>
                <w:b/>
                <w:bCs/>
                <w:color w:val="FFFFFF"/>
                <w:sz w:val="20"/>
                <w:szCs w:val="20"/>
              </w:rPr>
              <w:t xml:space="preserve">Stage</w:t>
            </w:r>
          </w:p>
        </w:tc>
        <w:tc>
          <w:tcPr>
            <w:tcW w:type="dxa" w:w="4200"/>
            <w:shd w:fill="1F3864" w:color="auto" w:val="clear"/>
          </w:tcPr>
          <w:p>
            <w:r>
              <w:rPr>
                <w:b/>
                <w:bCs/>
                <w:color w:val="FFFFFF"/>
                <w:sz w:val="20"/>
                <w:szCs w:val="20"/>
              </w:rPr>
              <w:t xml:space="preserve">Test</w:t>
            </w:r>
          </w:p>
        </w:tc>
        <w:tc>
          <w:tcPr>
            <w:tcW w:type="dxa" w:w="3800"/>
            <w:shd w:fill="1F3864" w:color="auto" w:val="clear"/>
          </w:tcPr>
          <w:p>
            <w:r>
              <w:rPr>
                <w:b/>
                <w:bCs/>
                <w:color w:val="FFFFFF"/>
                <w:sz w:val="20"/>
                <w:szCs w:val="20"/>
              </w:rPr>
              <w:t xml:space="preserve">Purpose</w:t>
            </w:r>
          </w:p>
        </w:tc>
      </w:tr>
      <w:tr>
        <w:tc>
          <w:tcPr>
            <w:tcW w:type="dxa" w:w="1000"/>
          </w:tcPr>
          <w:p>
            <w:r>
              <w:rPr>
                <w:b w:val="false"/>
                <w:bCs w:val="false"/>
                <w:sz w:val="20"/>
                <w:szCs w:val="20"/>
              </w:rPr>
              <w:t xml:space="preserve">1</w:t>
            </w:r>
          </w:p>
        </w:tc>
        <w:tc>
          <w:tcPr>
            <w:tcW w:type="dxa" w:w="4200"/>
          </w:tcPr>
          <w:p>
            <w:r>
              <w:rPr>
                <w:b w:val="false"/>
                <w:bCs w:val="false"/>
                <w:sz w:val="20"/>
                <w:szCs w:val="20"/>
              </w:rPr>
              <w:t xml:space="preserve">Known resistors (1kΩ/10kΩ/100kΩ)</w:t>
            </w:r>
          </w:p>
        </w:tc>
        <w:tc>
          <w:tcPr>
            <w:tcW w:type="dxa" w:w="3800"/>
          </w:tcPr>
          <w:p>
            <w:r>
              <w:rPr>
                <w:b w:val="false"/>
                <w:bCs w:val="false"/>
                <w:sz w:val="20"/>
                <w:szCs w:val="20"/>
              </w:rPr>
              <w:t xml:space="preserve">Verify AD5933 measurement accuracy and repeatability</w:t>
            </w:r>
          </w:p>
        </w:tc>
      </w:tr>
      <w:tr>
        <w:tc>
          <w:tcPr>
            <w:tcW w:type="dxa" w:w="1000"/>
          </w:tcPr>
          <w:p>
            <w:r>
              <w:rPr>
                <w:b w:val="false"/>
                <w:bCs w:val="false"/>
                <w:sz w:val="20"/>
                <w:szCs w:val="20"/>
              </w:rPr>
              <w:t xml:space="preserve">2</w:t>
            </w:r>
          </w:p>
        </w:tc>
        <w:tc>
          <w:tcPr>
            <w:tcW w:type="dxa" w:w="4200"/>
          </w:tcPr>
          <w:p>
            <w:r>
              <w:rPr>
                <w:b w:val="false"/>
                <w:bCs w:val="false"/>
                <w:sz w:val="20"/>
                <w:szCs w:val="20"/>
              </w:rPr>
              <w:t xml:space="preserve">Controlled electrolyte (salt/water gradient)</w:t>
            </w:r>
          </w:p>
        </w:tc>
        <w:tc>
          <w:tcPr>
            <w:tcW w:type="dxa" w:w="3800"/>
          </w:tcPr>
          <w:p>
            <w:r>
              <w:rPr>
                <w:b w:val="false"/>
                <w:bCs w:val="false"/>
                <w:sz w:val="20"/>
                <w:szCs w:val="20"/>
              </w:rPr>
              <w:t xml:space="preserve">Demonstrate resolvable, repeatable impedance separation</w:t>
            </w:r>
          </w:p>
        </w:tc>
      </w:tr>
      <w:tr>
        <w:tc>
          <w:tcPr>
            <w:tcW w:type="dxa" w:w="1000"/>
          </w:tcPr>
          <w:p>
            <w:r>
              <w:rPr>
                <w:b w:val="false"/>
                <w:bCs w:val="false"/>
                <w:sz w:val="20"/>
                <w:szCs w:val="20"/>
              </w:rPr>
              <w:t xml:space="preserve">3</w:t>
            </w:r>
          </w:p>
        </w:tc>
        <w:tc>
          <w:tcPr>
            <w:tcW w:type="dxa" w:w="4200"/>
          </w:tcPr>
          <w:p>
            <w:r>
              <w:rPr>
                <w:b w:val="false"/>
                <w:bCs w:val="false"/>
                <w:sz w:val="20"/>
                <w:szCs w:val="20"/>
              </w:rPr>
              <w:t xml:space="preserve">Curd vs reference / curd dilution series</w:t>
            </w:r>
          </w:p>
        </w:tc>
        <w:tc>
          <w:tcPr>
            <w:tcW w:type="dxa" w:w="3800"/>
          </w:tcPr>
          <w:p>
            <w:r>
              <w:rPr>
                <w:b w:val="false"/>
                <w:bCs w:val="false"/>
                <w:sz w:val="20"/>
                <w:szCs w:val="20"/>
              </w:rPr>
              <w:t xml:space="preserve">Demonstrate operation on a complex biological matrix — NOT an AST claim</w:t>
            </w:r>
          </w:p>
        </w:tc>
      </w:tr>
      <w:tr>
        <w:tc>
          <w:tcPr>
            <w:tcW w:type="dxa" w:w="1000"/>
          </w:tcPr>
          <w:p>
            <w:r>
              <w:rPr>
                <w:b w:val="false"/>
                <w:bCs w:val="false"/>
                <w:sz w:val="20"/>
                <w:szCs w:val="20"/>
              </w:rPr>
              <w:t xml:space="preserve">4</w:t>
            </w:r>
          </w:p>
        </w:tc>
        <w:tc>
          <w:tcPr>
            <w:tcW w:type="dxa" w:w="4200"/>
          </w:tcPr>
          <w:p>
            <w:r>
              <w:rPr>
                <w:b w:val="false"/>
                <w:bCs w:val="false"/>
                <w:sz w:val="20"/>
                <w:szCs w:val="20"/>
              </w:rPr>
              <w:t xml:space="preserve">Temperature perturbation</w:t>
            </w:r>
          </w:p>
        </w:tc>
        <w:tc>
          <w:tcPr>
            <w:tcW w:type="dxa" w:w="3800"/>
          </w:tcPr>
          <w:p>
            <w:r>
              <w:rPr>
                <w:b w:val="false"/>
                <w:bCs w:val="false"/>
                <w:sz w:val="20"/>
                <w:szCs w:val="20"/>
              </w:rPr>
              <w:t xml:space="preserve">Characterize a known confounder and test differential-architecture robustness</w:t>
            </w:r>
          </w:p>
        </w:tc>
      </w:tr>
      <w:tr>
        <w:tc>
          <w:tcPr>
            <w:tcW w:type="dxa" w:w="1000"/>
          </w:tcPr>
          <w:p>
            <w:r>
              <w:rPr>
                <w:b w:val="false"/>
                <w:bCs w:val="false"/>
                <w:sz w:val="20"/>
                <w:szCs w:val="20"/>
              </w:rPr>
              <w:t xml:space="preserve">5</w:t>
            </w:r>
          </w:p>
        </w:tc>
        <w:tc>
          <w:tcPr>
            <w:tcW w:type="dxa" w:w="4200"/>
          </w:tcPr>
          <w:p>
            <w:r>
              <w:rPr>
                <w:b w:val="false"/>
                <w:bCs w:val="false"/>
                <w:sz w:val="20"/>
                <w:szCs w:val="20"/>
              </w:rPr>
              <w:t xml:space="preserve">Synthetic signal patterns</w:t>
            </w:r>
          </w:p>
        </w:tc>
        <w:tc>
          <w:tcPr>
            <w:tcW w:type="dxa" w:w="3800"/>
          </w:tcPr>
          <w:p>
            <w:r>
              <w:rPr>
                <w:b w:val="false"/>
                <w:bCs w:val="false"/>
                <w:sz w:val="20"/>
                <w:szCs w:val="20"/>
              </w:rPr>
              <w:t xml:space="preserve">Validate the FPGA's STOP/REPEAT/TIMEOUT logic independent of any physical sensor</w:t>
            </w:r>
          </w:p>
        </w:tc>
      </w:tr>
    </w:tbl>
    <w:p>
      <w:pPr>
        <w:pStyle w:val="Heading1"/>
        <w:spacing w:after="160" w:before="360"/>
      </w:pPr>
      <w:r>
        <w:t xml:space="preserve">17. Why Curd Is Not AST</w:t>
      </w:r>
    </w:p>
    <w:p>
      <w:pPr>
        <w:spacing w:after="160"/>
      </w:pPr>
      <w:r>
        <w:t xml:space="preserve">Curd (a fermented dairy matrix) is used only to demonstrate that the sensing and adaptive-computation pipeline can operate on a complex, changing biological matrix — a legitimate engineering test, supported by published electrochemical-impedance-spectroscopy characterization of yogurt/fermented dairy in the literature. It is explicitly not a bacterial-culture antibiotic-exposure experiment and must never be described as demonstrating antibiotic susceptibility. This distinction is treated as a hard rule throughout the project, not a rhetorical caveat.</w:t>
      </w:r>
    </w:p>
    <w:p>
      <w:pPr>
        <w:pStyle w:val="Heading1"/>
        <w:spacing w:after="160" w:before="360"/>
      </w:pPr>
      <w:r>
        <w:t xml:space="preserve">18. What Future Biological Validation Requires</w:t>
      </w:r>
    </w:p>
    <w:p>
      <w:pPr>
        <w:pStyle w:val="ListParagraph"/>
        <w:numPr>
          <w:ilvl w:val="0"/>
          <w:numId w:val="1"/>
        </w:numPr>
        <w:spacing w:after="80"/>
      </w:pPr>
      <w:r>
        <w:t xml:space="preserve">A defined organism pair — e.g., a CLSI/EUCAST quality-control susceptible reference strain and a matched resistant reference strain.</w:t>
      </w:r>
    </w:p>
    <w:p>
      <w:pPr>
        <w:pStyle w:val="ListParagraph"/>
        <w:numPr>
          <w:ilvl w:val="0"/>
          <w:numId w:val="1"/>
        </w:numPr>
        <w:spacing w:after="80"/>
      </w:pPr>
      <w:r>
        <w:t xml:space="preserve">A defined antibiotic and concentration series (dose-response, for eventual electrical-MIC extraction).</w:t>
      </w:r>
    </w:p>
    <w:p>
      <w:pPr>
        <w:pStyle w:val="ListParagraph"/>
        <w:numPr>
          <w:ilvl w:val="0"/>
          <w:numId w:val="1"/>
        </w:numPr>
        <w:spacing w:after="80"/>
      </w:pPr>
      <w:r>
        <w:t xml:space="preserve">A defined, appropriately low-conductivity growth medium (diluted broth or a zwitterionic buffer), chosen because impedance sensitivity is inversely related to medium conductivity.</w:t>
      </w:r>
    </w:p>
    <w:p>
      <w:pPr>
        <w:pStyle w:val="ListParagraph"/>
        <w:numPr>
          <w:ilvl w:val="0"/>
          <w:numId w:val="1"/>
        </w:numPr>
        <w:spacing w:after="80"/>
      </w:pPr>
      <w:r>
        <w:t xml:space="preserve">Growth control, sterility control, and test wells in biological triplicate.</w:t>
      </w:r>
    </w:p>
    <w:p>
      <w:pPr>
        <w:pStyle w:val="ListParagraph"/>
        <w:numPr>
          <w:ilvl w:val="0"/>
          <w:numId w:val="1"/>
        </w:numPr>
        <w:spacing w:after="80"/>
      </w:pPr>
      <w:r>
        <w:t xml:space="preserve">An approved, supervised laboratory setting.</w:t>
      </w:r>
    </w:p>
    <w:p>
      <w:pPr>
        <w:pStyle w:val="ListParagraph"/>
        <w:numPr>
          <w:ilvl w:val="0"/>
          <w:numId w:val="1"/>
        </w:numPr>
        <w:spacing w:after="80"/>
      </w:pPr>
      <w:r>
        <w:t xml:space="preserve">A reference AST method (broth microdilution or E-test) for correlation.</w:t>
      </w:r>
    </w:p>
    <w:p>
      <w:pPr>
        <w:spacing w:after="160"/>
      </w:pPr>
      <w:r>
        <w:t xml:space="preserve">None of this has been performed for the hackathon submission. It is documented here as the defined next stage, not as work already completed.</w:t>
      </w:r>
    </w:p>
    <w:p>
      <w:pPr>
        <w:pStyle w:val="Heading1"/>
        <w:spacing w:after="160" w:before="360"/>
      </w:pPr>
      <w:r>
        <w:t xml:space="preserve">19. Competitors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200"/>
      </w:tblGrid>
      <w:tr>
        <w:tc>
          <w:tcPr>
            <w:tcW w:type="dxa" w:w="1800"/>
            <w:shd w:fill="1F3864" w:color="auto" w:val="clear"/>
          </w:tcPr>
          <w:p>
            <w:r>
              <w:rPr>
                <w:b/>
                <w:bCs/>
                <w:color w:val="FFFFFF"/>
                <w:sz w:val="20"/>
                <w:szCs w:val="20"/>
              </w:rPr>
              <w:t xml:space="preserve">Approach</w:t>
            </w:r>
          </w:p>
        </w:tc>
        <w:tc>
          <w:tcPr>
            <w:tcW w:type="dxa" w:w="2600"/>
            <w:shd w:fill="1F3864" w:color="auto" w:val="clear"/>
          </w:tcPr>
          <w:p>
            <w:r>
              <w:rPr>
                <w:b/>
                <w:bCs/>
                <w:color w:val="FFFFFF"/>
                <w:sz w:val="20"/>
                <w:szCs w:val="20"/>
              </w:rPr>
              <w:t xml:space="preserve">Principle</w:t>
            </w:r>
          </w:p>
        </w:tc>
        <w:tc>
          <w:tcPr>
            <w:tcW w:type="dxa" w:w="2400"/>
            <w:shd w:fill="1F3864" w:color="auto" w:val="clear"/>
          </w:tcPr>
          <w:p>
            <w:r>
              <w:rPr>
                <w:b/>
                <w:bCs/>
                <w:color w:val="FFFFFF"/>
                <w:sz w:val="20"/>
                <w:szCs w:val="20"/>
              </w:rPr>
              <w:t xml:space="preserve">Where it's ahead of PHENORA</w:t>
            </w:r>
          </w:p>
        </w:tc>
        <w:tc>
          <w:tcPr>
            <w:tcW w:type="dxa" w:w="2200"/>
            <w:shd w:fill="1F3864" w:color="auto" w:val="clear"/>
          </w:tcPr>
          <w:p>
            <w:r>
              <w:rPr>
                <w:b/>
                <w:bCs/>
                <w:color w:val="FFFFFF"/>
                <w:sz w:val="20"/>
                <w:szCs w:val="20"/>
              </w:rPr>
              <w:t xml:space="preserve">PHENORA's angle</w:t>
            </w:r>
          </w:p>
        </w:tc>
      </w:tr>
      <w:tr>
        <w:tc>
          <w:tcPr>
            <w:tcW w:type="dxa" w:w="1800"/>
          </w:tcPr>
          <w:p>
            <w:r>
              <w:rPr>
                <w:b w:val="false"/>
                <w:bCs w:val="false"/>
                <w:sz w:val="20"/>
                <w:szCs w:val="20"/>
              </w:rPr>
              <w:t xml:space="preserve">Antibiogo</w:t>
            </w:r>
          </w:p>
        </w:tc>
        <w:tc>
          <w:tcPr>
            <w:tcW w:type="dxa" w:w="2600"/>
          </w:tcPr>
          <w:p>
            <w:r>
              <w:rPr>
                <w:b w:val="false"/>
                <w:bCs w:val="false"/>
                <w:sz w:val="20"/>
                <w:szCs w:val="20"/>
              </w:rPr>
              <w:t xml:space="preserve">Smartphone reads an already-incubated antibiogram</w:t>
            </w:r>
          </w:p>
        </w:tc>
        <w:tc>
          <w:tcPr>
            <w:tcW w:type="dxa" w:w="2400"/>
          </w:tcPr>
          <w:p>
            <w:r>
              <w:rPr>
                <w:b w:val="false"/>
                <w:bCs w:val="false"/>
                <w:sz w:val="20"/>
                <w:szCs w:val="20"/>
              </w:rPr>
              <w:t xml:space="preserve">Deployed, LMIC-proven, interpretation layer mature</w:t>
            </w:r>
          </w:p>
        </w:tc>
        <w:tc>
          <w:tcPr>
            <w:tcW w:type="dxa" w:w="2200"/>
          </w:tcPr>
          <w:p>
            <w:r>
              <w:rPr>
                <w:b w:val="false"/>
                <w:bCs w:val="false"/>
                <w:sz w:val="20"/>
                <w:szCs w:val="20"/>
              </w:rPr>
              <w:t xml:space="preserve">Creates a new measurement layer instead of only interpreting an existing plate</w:t>
            </w:r>
          </w:p>
        </w:tc>
      </w:tr>
      <w:tr>
        <w:tc>
          <w:tcPr>
            <w:tcW w:type="dxa" w:w="1800"/>
          </w:tcPr>
          <w:p>
            <w:r>
              <w:rPr>
                <w:b w:val="false"/>
                <w:bCs w:val="false"/>
                <w:sz w:val="20"/>
                <w:szCs w:val="20"/>
              </w:rPr>
              <w:t xml:space="preserve">iFAST</w:t>
            </w:r>
          </w:p>
        </w:tc>
        <w:tc>
          <w:tcPr>
            <w:tcW w:type="dxa" w:w="2600"/>
          </w:tcPr>
          <w:p>
            <w:r>
              <w:rPr>
                <w:b w:val="false"/>
                <w:bCs w:val="false"/>
                <w:sz w:val="20"/>
                <w:szCs w:val="20"/>
              </w:rPr>
              <w:t xml:space="preserve">Single-cell microfluidic impedance cytometry</w:t>
            </w:r>
          </w:p>
        </w:tc>
        <w:tc>
          <w:tcPr>
            <w:tcW w:type="dxa" w:w="2400"/>
          </w:tcPr>
          <w:p>
            <w:r>
              <w:rPr>
                <w:b w:val="false"/>
                <w:bCs w:val="false"/>
                <w:sz w:val="20"/>
                <w:szCs w:val="20"/>
              </w:rPr>
              <w:t xml:space="preserve">Clinically validated, very fast (minutes), fine-grained signal</w:t>
            </w:r>
          </w:p>
        </w:tc>
        <w:tc>
          <w:tcPr>
            <w:tcW w:type="dxa" w:w="2200"/>
          </w:tcPr>
          <w:p>
            <w:r>
              <w:rPr>
                <w:b w:val="false"/>
                <w:bCs w:val="false"/>
                <w:sz w:val="20"/>
                <w:szCs w:val="20"/>
              </w:rPr>
              <w:t xml:space="preserve">Benchtop cost/complexity instead of flow-cytometry-grade instrumentation</w:t>
            </w:r>
          </w:p>
        </w:tc>
      </w:tr>
      <w:tr>
        <w:tc>
          <w:tcPr>
            <w:tcW w:type="dxa" w:w="1800"/>
          </w:tcPr>
          <w:p>
            <w:r>
              <w:rPr>
                <w:b w:val="false"/>
                <w:bCs w:val="false"/>
                <w:sz w:val="20"/>
                <w:szCs w:val="20"/>
              </w:rPr>
              <w:t xml:space="preserve">Bulk EIS AST (2025 paper)</w:t>
            </w:r>
          </w:p>
        </w:tc>
        <w:tc>
          <w:tcPr>
            <w:tcW w:type="dxa" w:w="2600"/>
          </w:tcPr>
          <w:p>
            <w:r>
              <w:rPr>
                <w:b w:val="false"/>
                <w:bCs w:val="false"/>
                <w:sz w:val="20"/>
                <w:szCs w:val="20"/>
              </w:rPr>
              <w:t xml:space="preserve">Population impedance via carbon SPEs</w:t>
            </w:r>
          </w:p>
        </w:tc>
        <w:tc>
          <w:tcPr>
            <w:tcW w:type="dxa" w:w="2400"/>
          </w:tcPr>
          <w:p>
            <w:r>
              <w:rPr>
                <w:b w:val="false"/>
                <w:bCs w:val="false"/>
                <w:sz w:val="20"/>
                <w:szCs w:val="20"/>
              </w:rPr>
              <w:t xml:space="preserve">Established the exact sensing principle PHENORA borrows</w:t>
            </w:r>
          </w:p>
        </w:tc>
        <w:tc>
          <w:tcPr>
            <w:tcW w:type="dxa" w:w="2200"/>
          </w:tcPr>
          <w:p>
            <w:r>
              <w:rPr>
                <w:b w:val="false"/>
                <w:bCs w:val="false"/>
                <w:sz w:val="20"/>
                <w:szCs w:val="20"/>
              </w:rPr>
              <w:t xml:space="preserve">Adds a proposed adaptive edge-decision layer on top</w:t>
            </w:r>
          </w:p>
        </w:tc>
      </w:tr>
      <w:tr>
        <w:tc>
          <w:tcPr>
            <w:tcW w:type="dxa" w:w="1800"/>
          </w:tcPr>
          <w:p>
            <w:r>
              <w:rPr>
                <w:b w:val="false"/>
                <w:bCs w:val="false"/>
                <w:sz w:val="20"/>
                <w:szCs w:val="20"/>
              </w:rPr>
              <w:t xml:space="preserve">LOSC/SiNWFET (2026 paper)</w:t>
            </w:r>
          </w:p>
        </w:tc>
        <w:tc>
          <w:tcPr>
            <w:tcW w:type="dxa" w:w="2600"/>
          </w:tcPr>
          <w:p>
            <w:r>
              <w:rPr>
                <w:b w:val="false"/>
                <w:bCs w:val="false"/>
                <w:sz w:val="20"/>
                <w:szCs w:val="20"/>
              </w:rPr>
              <w:t xml:space="preserve">Metabolic pH sensing in microfabricated chip</w:t>
            </w:r>
          </w:p>
        </w:tc>
        <w:tc>
          <w:tcPr>
            <w:tcW w:type="dxa" w:w="2400"/>
          </w:tcPr>
          <w:p>
            <w:r>
              <w:rPr>
                <w:b w:val="false"/>
                <w:bCs w:val="false"/>
                <w:sz w:val="20"/>
                <w:szCs w:val="20"/>
              </w:rPr>
              <w:t xml:space="preserve">Sub-20-minute result in its tested conditions</w:t>
            </w:r>
          </w:p>
        </w:tc>
        <w:tc>
          <w:tcPr>
            <w:tcW w:type="dxa" w:w="2200"/>
          </w:tcPr>
          <w:p>
            <w:r>
              <w:rPr>
                <w:b w:val="false"/>
                <w:bCs w:val="false"/>
                <w:sz w:val="20"/>
                <w:szCs w:val="20"/>
              </w:rPr>
              <w:t xml:space="preserve">Used only as a north-star benchmark, not reproduced — PHENORA does not claim this speed</w:t>
            </w:r>
          </w:p>
        </w:tc>
      </w:tr>
    </w:tbl>
    <w:p>
      <w:pPr>
        <w:pStyle w:val="Heading1"/>
        <w:spacing w:after="160" w:before="360"/>
      </w:pPr>
      <w:r>
        <w:t xml:space="preserve">20. PHENORA Differentiation</w:t>
      </w:r>
    </w:p>
    <w:p>
      <w:pPr>
        <w:spacing w:after="160"/>
      </w:pPr>
      <w:r>
        <w:t xml:space="preserve">PHENORA does not claim novelty in the impedance sensor itself (extensively published) or in pairing an AD5933 with an FPGA (a reference design already exists for that pairing). The differentiation candidate is narrower and more specific: a confidence-driven, closed-loop measurement-scheduling layer that decides, from the response observed so far, whether continued measurement is necessary for phenotypic AST. This is presented as a research hypothesis requiring a formal prior-art search before any patent claim, not as an established fact.</w:t>
      </w:r>
    </w:p>
    <w:p>
      <w:pPr>
        <w:pStyle w:val="Heading1"/>
        <w:spacing w:after="160" w:before="360"/>
      </w:pPr>
      <w:r>
        <w:t xml:space="preserve">21. V1 to V5 Startup Evolution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shd w:fill="1F3864" w:color="auto" w:val="clear"/>
          </w:tcPr>
          <w:p>
            <w:r>
              <w:rPr>
                <w:b/>
                <w:bCs/>
                <w:color w:val="FFFFFF"/>
                <w:sz w:val="20"/>
                <w:szCs w:val="20"/>
              </w:rPr>
              <w:t xml:space="preserve">Version</w:t>
            </w:r>
          </w:p>
        </w:tc>
        <w:tc>
          <w:tcPr>
            <w:tcW w:type="dxa" w:w="7800"/>
            <w:shd w:fill="1F3864" w:color="auto" w:val="clear"/>
          </w:tcPr>
          <w:p>
            <w:r>
              <w:rPr>
                <w:b/>
                <w:bCs/>
                <w:color w:val="FFFFFF"/>
                <w:sz w:val="20"/>
                <w:szCs w:val="20"/>
              </w:rPr>
              <w:t xml:space="preserve">Scope</w:t>
            </w:r>
          </w:p>
        </w:tc>
      </w:tr>
      <w:tr>
        <w:tc>
          <w:tcPr>
            <w:tcW w:type="dxa" w:w="1200"/>
          </w:tcPr>
          <w:p>
            <w:r>
              <w:rPr>
                <w:b w:val="false"/>
                <w:bCs w:val="false"/>
                <w:sz w:val="20"/>
                <w:szCs w:val="20"/>
              </w:rPr>
              <w:t xml:space="preserve">V1</w:t>
            </w:r>
          </w:p>
        </w:tc>
        <w:tc>
          <w:tcPr>
            <w:tcW w:type="dxa" w:w="7800"/>
          </w:tcPr>
          <w:p>
            <w:r>
              <w:rPr>
                <w:b w:val="false"/>
                <w:bCs w:val="false"/>
                <w:sz w:val="20"/>
                <w:szCs w:val="20"/>
              </w:rPr>
              <w:t xml:space="preserve">Bulk differential impedance (AD5933/discrete fallback) + Heltec + FPGA adaptive STOP/REPEAT; electrical, complex-matrix, and synthetic validation only</w:t>
            </w:r>
          </w:p>
        </w:tc>
      </w:tr>
      <w:tr>
        <w:tc>
          <w:tcPr>
            <w:tcW w:type="dxa" w:w="1200"/>
          </w:tcPr>
          <w:p>
            <w:r>
              <w:rPr>
                <w:b w:val="false"/>
                <w:bCs w:val="false"/>
                <w:sz w:val="20"/>
                <w:szCs w:val="20"/>
              </w:rPr>
              <w:t xml:space="preserve">V2</w:t>
            </w:r>
          </w:p>
        </w:tc>
        <w:tc>
          <w:tcPr>
            <w:tcW w:type="dxa" w:w="7800"/>
          </w:tcPr>
          <w:p>
            <w:r>
              <w:rPr>
                <w:b w:val="false"/>
                <w:bCs w:val="false"/>
                <w:sz w:val="20"/>
                <w:szCs w:val="20"/>
              </w:rPr>
              <w:t xml:space="preserve">Improved electrodes (gold PCB IDEs or commercial SPEs), possible 4-wire AD5941 upgrade, first supervised biological validation with reference strains</w:t>
            </w:r>
          </w:p>
        </w:tc>
      </w:tr>
      <w:tr>
        <w:tc>
          <w:tcPr>
            <w:tcW w:type="dxa" w:w="1200"/>
          </w:tcPr>
          <w:p>
            <w:r>
              <w:rPr>
                <w:b w:val="false"/>
                <w:bCs w:val="false"/>
                <w:sz w:val="20"/>
                <w:szCs w:val="20"/>
              </w:rPr>
              <w:t xml:space="preserve">V3</w:t>
            </w:r>
          </w:p>
        </w:tc>
        <w:tc>
          <w:tcPr>
            <w:tcW w:type="dxa" w:w="7800"/>
          </w:tcPr>
          <w:p>
            <w:r>
              <w:rPr>
                <w:b w:val="false"/>
                <w:bCs w:val="false"/>
                <w:sz w:val="20"/>
                <w:szCs w:val="20"/>
              </w:rPr>
              <w:t xml:space="preserve">Multi-well/multi-antibiotic cartridge, refined impedance features (e.g., Rct), more advanced adaptive inference</w:t>
            </w:r>
          </w:p>
        </w:tc>
      </w:tr>
      <w:tr>
        <w:tc>
          <w:tcPr>
            <w:tcW w:type="dxa" w:w="1200"/>
          </w:tcPr>
          <w:p>
            <w:r>
              <w:rPr>
                <w:b w:val="false"/>
                <w:bCs w:val="false"/>
                <w:sz w:val="20"/>
                <w:szCs w:val="20"/>
              </w:rPr>
              <w:t xml:space="preserve">V4</w:t>
            </w:r>
          </w:p>
        </w:tc>
        <w:tc>
          <w:tcPr>
            <w:tcW w:type="dxa" w:w="7800"/>
          </w:tcPr>
          <w:p>
            <w:r>
              <w:rPr>
                <w:b w:val="false"/>
                <w:bCs w:val="false"/>
                <w:sz w:val="20"/>
                <w:szCs w:val="20"/>
              </w:rPr>
              <w:t xml:space="preserve">Sample preparation and cartridge productization</w:t>
            </w:r>
          </w:p>
        </w:tc>
      </w:tr>
      <w:tr>
        <w:tc>
          <w:tcPr>
            <w:tcW w:type="dxa" w:w="1200"/>
          </w:tcPr>
          <w:p>
            <w:r>
              <w:rPr>
                <w:b w:val="false"/>
                <w:bCs w:val="false"/>
                <w:sz w:val="20"/>
                <w:szCs w:val="20"/>
              </w:rPr>
              <w:t xml:space="preserve">V5</w:t>
            </w:r>
          </w:p>
        </w:tc>
        <w:tc>
          <w:tcPr>
            <w:tcW w:type="dxa" w:w="7800"/>
          </w:tcPr>
          <w:p>
            <w:r>
              <w:rPr>
                <w:b w:val="false"/>
                <w:bCs w:val="false"/>
                <w:sz w:val="20"/>
                <w:szCs w:val="20"/>
              </w:rPr>
              <w:t xml:space="preserve">Laboratory validation, reference AST correlation, electrical-MIC regression, clinical pathway exploration</w:t>
            </w:r>
          </w:p>
        </w:tc>
      </w:tr>
    </w:tbl>
    <w:p>
      <w:pPr>
        <w:pStyle w:val="Heading1"/>
        <w:spacing w:after="160" w:before="360"/>
      </w:pPr>
      <w:r>
        <w:t xml:space="preserve">22. Team Responsibilities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1F3864" w:color="auto" w:val="clear"/>
          </w:tcPr>
          <w:p>
            <w:r>
              <w:rPr>
                <w:b/>
                <w:bCs/>
                <w:color w:val="FFFFFF"/>
                <w:sz w:val="20"/>
                <w:szCs w:val="20"/>
              </w:rPr>
              <w:t xml:space="preserve">Role</w:t>
            </w:r>
          </w:p>
        </w:tc>
        <w:tc>
          <w:tcPr>
            <w:tcW w:type="dxa" w:w="6600"/>
            <w:shd w:fill="1F3864" w:color="auto" w:val="clear"/>
          </w:tcPr>
          <w:p>
            <w:r>
              <w:rPr>
                <w:b/>
                <w:bCs/>
                <w:color w:val="FFFFFF"/>
                <w:sz w:val="20"/>
                <w:szCs w:val="20"/>
              </w:rPr>
              <w:t xml:space="preserve">Deliverables</w:t>
            </w:r>
          </w:p>
        </w:tc>
      </w:tr>
      <w:tr>
        <w:tc>
          <w:tcPr>
            <w:tcW w:type="dxa" w:w="2400"/>
          </w:tcPr>
          <w:p>
            <w:r>
              <w:rPr>
                <w:b w:val="false"/>
                <w:bCs w:val="false"/>
                <w:sz w:val="20"/>
                <w:szCs w:val="20"/>
              </w:rPr>
              <w:t xml:space="preserve">System / Startup Lead</w:t>
            </w:r>
          </w:p>
        </w:tc>
        <w:tc>
          <w:tcPr>
            <w:tcW w:type="dxa" w:w="6600"/>
          </w:tcPr>
          <w:p>
            <w:r>
              <w:rPr>
                <w:b w:val="false"/>
                <w:bCs w:val="false"/>
                <w:sz w:val="20"/>
                <w:szCs w:val="20"/>
              </w:rPr>
              <w:t xml:space="preserve">Architecture, competitor and prior-art research, novelty framing, integration, demo, roadmap, risk management</w:t>
            </w:r>
          </w:p>
        </w:tc>
      </w:tr>
      <w:tr>
        <w:tc>
          <w:tcPr>
            <w:tcW w:type="dxa" w:w="2400"/>
          </w:tcPr>
          <w:p>
            <w:r>
              <w:rPr>
                <w:b w:val="false"/>
                <w:bCs w:val="false"/>
                <w:sz w:val="20"/>
                <w:szCs w:val="20"/>
              </w:rPr>
              <w:t xml:space="preserve">Electronics (Impedance)</w:t>
            </w:r>
          </w:p>
        </w:tc>
        <w:tc>
          <w:tcPr>
            <w:tcW w:type="dxa" w:w="6600"/>
          </w:tcPr>
          <w:p>
            <w:r>
              <w:rPr>
                <w:b w:val="false"/>
                <w:bCs w:val="false"/>
                <w:sz w:val="20"/>
                <w:szCs w:val="20"/>
              </w:rPr>
              <w:t xml:space="preserve">AD5933 bring-up, calibration, frequency/electrode characterization, repeatability testing</w:t>
            </w:r>
          </w:p>
        </w:tc>
      </w:tr>
      <w:tr>
        <w:tc>
          <w:tcPr>
            <w:tcW w:type="dxa" w:w="2400"/>
          </w:tcPr>
          <w:p>
            <w:r>
              <w:rPr>
                <w:b w:val="false"/>
                <w:bCs w:val="false"/>
                <w:sz w:val="20"/>
                <w:szCs w:val="20"/>
              </w:rPr>
              <w:t xml:space="preserve">FPGA / Embedded</w:t>
            </w:r>
          </w:p>
        </w:tc>
        <w:tc>
          <w:tcPr>
            <w:tcW w:type="dxa" w:w="6600"/>
          </w:tcPr>
          <w:p>
            <w:r>
              <w:rPr>
                <w:b w:val="false"/>
                <w:bCs w:val="false"/>
                <w:sz w:val="20"/>
                <w:szCs w:val="20"/>
              </w:rPr>
              <w:t xml:space="preserve">UART protocol, filtering, differential/slope/stability logic, adaptive FSM, Heltec integration</w:t>
            </w:r>
          </w:p>
        </w:tc>
      </w:tr>
      <w:tr>
        <w:tc>
          <w:tcPr>
            <w:tcW w:type="dxa" w:w="2400"/>
          </w:tcPr>
          <w:p>
            <w:r>
              <w:rPr>
                <w:b w:val="false"/>
                <w:bCs w:val="false"/>
                <w:sz w:val="20"/>
                <w:szCs w:val="20"/>
              </w:rPr>
              <w:t xml:space="preserve">Biotechnology</w:t>
            </w:r>
          </w:p>
        </w:tc>
        <w:tc>
          <w:tcPr>
            <w:tcW w:type="dxa" w:w="6600"/>
          </w:tcPr>
          <w:p>
            <w:r>
              <w:rPr>
                <w:b w:val="false"/>
                <w:bCs w:val="false"/>
                <w:sz w:val="20"/>
                <w:szCs w:val="20"/>
              </w:rPr>
              <w:t xml:space="preserve">Literature analysis, future organism/antibiotic/medium selection, controls design, confounder identification, supervised validation protocol (no fabricated biology in the hackathon build)</w:t>
            </w:r>
          </w:p>
        </w:tc>
      </w:tr>
    </w:tbl>
    <w:p>
      <w:pPr>
        <w:pStyle w:val="Heading1"/>
        <w:spacing w:after="160" w:before="360"/>
      </w:pPr>
      <w:r>
        <w:t xml:space="preserve">23. Immediate Action Checklist</w:t>
      </w:r>
    </w:p>
    <w:p>
      <w:pPr>
        <w:pStyle w:val="ListParagraph"/>
        <w:numPr>
          <w:ilvl w:val="0"/>
          <w:numId w:val="1"/>
        </w:numPr>
        <w:spacing w:after="80"/>
      </w:pPr>
      <w:r>
        <w:t xml:space="preserve">Source AD5933 module locally; if unavailable within budget/time, commit fully to the discrete 555 + op-amp + ADS1115 fallback — no mid-build switching.</w:t>
      </w:r>
    </w:p>
    <w:p>
      <w:pPr>
        <w:pStyle w:val="ListParagraph"/>
        <w:numPr>
          <w:ilvl w:val="0"/>
          <w:numId w:val="1"/>
        </w:numPr>
        <w:spacing w:after="80"/>
      </w:pPr>
      <w:r>
        <w:t xml:space="preserve">Run Stage 1 (known-resistor) calibration before any liquid or biological-adjacent test.</w:t>
      </w:r>
    </w:p>
    <w:p>
      <w:pPr>
        <w:pStyle w:val="ListParagraph"/>
        <w:numPr>
          <w:ilvl w:val="0"/>
          <w:numId w:val="1"/>
        </w:numPr>
        <w:spacing w:after="80"/>
      </w:pPr>
      <w:r>
        <w:t xml:space="preserve">Run Stage 2 (controlled electrolyte) and confirm repeatable, resolvable separation.</w:t>
      </w:r>
    </w:p>
    <w:p>
      <w:pPr>
        <w:pStyle w:val="ListParagraph"/>
        <w:numPr>
          <w:ilvl w:val="0"/>
          <w:numId w:val="1"/>
        </w:numPr>
        <w:spacing w:after="80"/>
      </w:pPr>
      <w:r>
        <w:t xml:space="preserve">Build and test the FPGA's synthetic STOP/REPEAT validation (Stage 5) — this is the strongest, lowest-risk demo asset available before any physical sensor data is trusted.</w:t>
      </w:r>
    </w:p>
    <w:p>
      <w:pPr>
        <w:pStyle w:val="ListParagraph"/>
        <w:numPr>
          <w:ilvl w:val="0"/>
          <w:numId w:val="1"/>
        </w:numPr>
        <w:spacing w:after="80"/>
      </w:pPr>
      <w:r>
        <w:t xml:space="preserve">Run the curd complex-matrix demonstration (Stage 3) and temperature-confounder test (Stage 4), using the required non-AST language throughout.</w:t>
      </w:r>
    </w:p>
    <w:p>
      <w:pPr>
        <w:pStyle w:val="ListParagraph"/>
        <w:numPr>
          <w:ilvl w:val="0"/>
          <w:numId w:val="1"/>
        </w:numPr>
        <w:spacing w:after="80"/>
      </w:pPr>
      <w:r>
        <w:t xml:space="preserve">Keep DEP, microfluidics, pH sensing, optical sensing, ML, and full equivalent-circuit fitting explicitly out of scope for V1.</w:t>
      </w:r>
    </w:p>
    <w:p>
      <w:pPr>
        <w:pStyle w:val="ListParagraph"/>
        <w:numPr>
          <w:ilvl w:val="0"/>
          <w:numId w:val="1"/>
        </w:numPr>
        <w:spacing w:after="80"/>
      </w:pPr>
      <w:r>
        <w:t xml:space="preserve">Do not present target prices (₹49,900 / ₹299 / ₹34,900) as validated economics — they are targets pending a completed BOM.</w:t>
      </w:r>
    </w:p>
    <w:p>
      <w:pPr>
        <w:pStyle w:val="ListParagraph"/>
        <w:numPr>
          <w:ilvl w:val="0"/>
          <w:numId w:val="1"/>
        </w:numPr>
        <w:spacing w:after="80"/>
      </w:pPr>
      <w:r>
        <w:t xml:space="preserve">Use 'investigates' / 'proposes' language for the novelty claim in all written and spoken submissions; do not claim clinical validation or established uniqueness.</w:t>
      </w:r>
    </w:p>
    <w:p>
      <w:r>
        <w:br w:type="page"/>
      </w:r>
    </w:p>
    <w:p>
      <w:pPr>
        <w:pStyle w:val="Heading1"/>
        <w:spacing w:after="160" w:before="360"/>
      </w:pPr>
      <w:r>
        <w:t xml:space="preserve">Companion Document</w:t>
      </w:r>
    </w:p>
    <w:p>
      <w:pPr>
        <w:spacing w:after="160"/>
      </w:pPr>
      <w:r>
        <w:t xml:space="preserve">This document is the executive/engineering companion to PHENORA_MASTER_R&amp;D_FOUNDATION.md, which contains the complete technical detail, full risk register, bill of materials, mathematical definitions, validation protocols, decision log, and references. Where the two differ in emphasis, the master markdown document is the authoritative technical source; this document is the readable walkthrough for team members, mentors, judges, and future collaborators.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PHENORA — Project Flow Foundation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2026-08-25T19:39:35.674Z</dcterms:created>
  <dcterms:modified xsi:type="dcterms:W3CDTF">2026-08-25T19:39:35.675Z</dcterms:modified>
</cp:coreProperties>
</file>

<file path=docProps/custom.xml><?xml version="1.0" encoding="utf-8"?>
<Properties xmlns="http://schemas.openxmlformats.org/officeDocument/2006/custom-properties" xmlns:vt="http://schemas.openxmlformats.org/officeDocument/2006/docPropsVTypes"/>
</file>