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pPr>
        <w:spacing w:before="40" w:after="80" w:line="276" w:lineRule="auto"/>
      </w:pPr>
      <w:r>
        <w:rPr>
          <w:rFonts w:ascii="Times New Roman" w:hAnsi="Times New Roman"/>
          <w:b/>
          <w:sz w:val="20"/>
        </w:rPr>
        <w:t>Authors</w:t>
      </w:r>
      <w:r>
        <w:rPr>
          <w:rFonts w:ascii="Times New Roman" w:hAnsi="Times New Roman"/>
          <w:sz w:val="20"/>
        </w:rPr>
        <w:t>: AU DIC Research Team</w:t>
      </w:r>
    </w:p>
    <w:p>
      <w:pPr>
        <w:spacing w:before="40" w:after="80" w:line="276" w:lineRule="auto"/>
      </w:pPr>
      <w:r>
        <w:rPr>
          <w:rFonts w:ascii="Times New Roman" w:hAnsi="Times New Roman"/>
          <w:b/>
          <w:sz w:val="20"/>
        </w:rPr>
        <w:t>Target Publication Venue</w:t>
      </w:r>
      <w:r>
        <w:rPr>
          <w:rFonts w:ascii="Times New Roman" w:hAnsi="Times New Roman"/>
          <w:sz w:val="20"/>
        </w:rPr>
        <w:t>: IEEE Access / ICDAR 2026</w:t>
      </w:r>
    </w:p>
    <w:p>
      <w:pPr>
        <w:spacing w:before="40" w:after="80" w:line="276" w:lineRule="auto"/>
      </w:pPr>
      <w:r>
        <w:rPr>
          <w:rFonts w:ascii="Times New Roman" w:hAnsi="Times New Roman"/>
          <w:b/>
          <w:sz w:val="20"/>
        </w:rPr>
        <w:t>Repository &amp; Artifact Build</w:t>
      </w:r>
      <w:r>
        <w:rPr>
          <w:rFonts w:ascii="Times New Roman" w:hAnsi="Times New Roman"/>
          <w:sz w:val="20"/>
        </w:rPr>
        <w:t>: run_1785796639905 | Dataset Hash: 17c136ef76dd0f82 | Commit: 823334b</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Abstract</w:t>
      </w:r>
    </w:p>
    <w:p>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synthetic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pPr>
        <w:spacing w:before="40" w:after="80" w:line="276" w:lineRule="auto"/>
      </w:pPr>
      <w:r>
        <w:rPr>
          <w:rFonts w:ascii="Times New Roman" w:hAnsi="Times New Roman"/>
          <w:sz w:val="20"/>
        </w:rPr>
        <w:t>We evaluate the benchmark suite across 360 specimens (</w:t>
      </w:r>
      <m:oMath>
        <m:r>
          <w:rPr>
            <w:rFonts w:ascii="Cambria Math" w:hAnsi="Cambria Math"/>
          </w:rPr>
          <m:t>3</m:t>
        </m:r>
        <m:r>
          <w:rPr>
            <w:rFonts w:ascii="Times New Roman" w:hAnsi="Times New Roman"/>
            <w:i w:val="0"/>
          </w:rPr>
          <m:t>categories</m:t>
        </m:r>
        <m:r>
          <w:rPr>
            <w:rFonts w:ascii="Cambria Math" w:hAnsi="Cambria Math"/>
          </w:rPr>
          <m:t>×</m:t>
        </m:r>
        <m:r>
          <w:rPr>
            <w:rFonts w:ascii="Cambria Math" w:hAnsi="Cambria Math"/>
          </w:rPr>
          <m:t>30</m:t>
        </m:r>
        <m:r>
          <w:rPr>
            <w:rFonts w:ascii="Times New Roman" w:hAnsi="Times New Roman"/>
            <w:i w:val="0"/>
          </w:rPr>
          <m:t>instances</m:t>
        </m:r>
        <m:r>
          <w:rPr>
            <w:rFonts w:ascii="Cambria Math" w:hAnsi="Cambria Math"/>
          </w:rPr>
          <m:t>×</m:t>
        </m:r>
        <m:r>
          <w:rPr>
            <w:rFonts w:ascii="Cambria Math" w:hAnsi="Cambria Math"/>
          </w:rPr>
          <m:t>4</m:t>
        </m:r>
        <m:r>
          <w:rPr>
            <w:rFonts w:ascii="Times New Roman" w:hAnsi="Times New Roman"/>
            <w:i w:val="0"/>
          </w:rPr>
          <m:t>degradation profiles</m:t>
        </m:r>
      </m:oMath>
      <w:r>
        <w:rPr>
          <w:rFonts w:ascii="Times New Roman" w:hAnsi="Times New Roman"/>
          <w:sz w:val="20"/>
        </w:rPr>
        <w:t xml:space="preserve">).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w:t>
      </w:r>
      <w:r>
        <w:rPr>
          <w:rFonts w:ascii="Times New Roman" w:hAnsi="Times New Roman"/>
          <w:b/>
          <w:sz w:val="20"/>
        </w:rPr>
        <w:t>100.00% Field Extraction F1 score</w:t>
      </w:r>
      <w:r>
        <w:rPr>
          <w:rFonts w:ascii="Times New Roman" w:hAnsi="Times New Roman"/>
          <w:sz w:val="20"/>
        </w:rPr>
        <w:t xml:space="preserve"> and </w:t>
      </w:r>
      <w:r>
        <w:rPr>
          <w:rFonts w:ascii="Times New Roman" w:hAnsi="Times New Roman"/>
          <w:b/>
          <w:sz w:val="20"/>
        </w:rPr>
        <w:t>0.00% Character Error Rate (CER)</w:t>
      </w:r>
      <w:r>
        <w:rPr>
          <w:rFonts w:ascii="Times New Roman" w:hAnsi="Times New Roman"/>
          <w:sz w:val="20"/>
        </w:rPr>
        <w:t xml:space="preserve"> under zero-shot text representation prompting across all degradation profiles. Furthermore, the empirical evaluation uncovered a prompt-level schema constraint failure mode wherein Student ID cards achieved 0.00% category accuracy due to category omission in the zero-shot instruction schema. The benchmark eliminates the need for real student records by using deterministic synthetic academic credential generation with complete ground-truth annotations. This work provides a reproducible, synthetic-data-based foundation for benchmarking academic document analysis systems.</w:t>
      </w:r>
    </w:p>
    <w:p>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Benchmark Evaluation.</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1. Introduction</w:t>
      </w:r>
    </w:p>
    <w:p>
      <w:pPr>
        <w:keepNext/>
        <w:spacing w:before="200" w:after="80"/>
      </w:pPr>
      <w:r>
        <w:rPr>
          <w:rFonts w:ascii="Times New Roman" w:hAnsi="Times New Roman"/>
          <w:b/>
          <w:color w:val="333333"/>
          <w:sz w:val="23"/>
        </w:rPr>
        <w:t>1.1 Background &amp; Motivation</w:t>
      </w:r>
    </w:p>
    <w:p>
      <w:pPr>
        <w:spacing w:before="40" w:after="80" w:line="276" w:lineRule="auto"/>
      </w:pPr>
      <w:r>
        <w:rPr>
          <w:rFonts w:ascii="Times New Roman" w:hAnsi="Times New Roman"/>
          <w:sz w:val="20"/>
        </w:rPr>
        <w:t>Document Intelligence Systems (DIS) process semi-structured administrative documents across financial, legal, and educational domains. In higher education administration, verifying academic degree certificates, semester marksheets, official transcripts, and student identity cards is essential for automated admissions processing, credit transfers, and credential authentication.</w:t>
      </w:r>
    </w:p>
    <w:p>
      <w:pPr>
        <w:spacing w:before="40" w:after="80" w:line="276" w:lineRule="auto"/>
      </w:pPr>
      <w:r>
        <w:rPr>
          <w:rFonts w:ascii="Times New Roman" w:hAnsi="Times New Roman"/>
          <w:sz w:val="20"/>
        </w:rPr>
        <w:t>Despite recent advances in Large Language Models (LLMs) and Vision-Language Models (VLMs), benchmarking document extraction algorithms on academic records presents fundamental methodological obstacles:</w:t>
      </w:r>
    </w:p>
    <w:p>
      <w:pPr>
        <w:spacing w:before="20" w:after="40"/>
        <w:ind w:left="360"/>
      </w:pPr>
      <w:r>
        <w:rPr>
          <w:rFonts w:ascii="Times New Roman" w:hAnsi="Times New Roman"/>
          <w:b/>
          <w:sz w:val="20"/>
        </w:rPr>
        <w:t xml:space="preserve">1. </w:t>
      </w:r>
      <w:r>
        <w:rPr>
          <w:rFonts w:ascii="Times New Roman" w:hAnsi="Times New Roman"/>
          <w:b/>
          <w:sz w:val="20"/>
        </w:rPr>
        <w:t>Privacy &amp; Regulatory Barriers</w:t>
      </w:r>
      <w:r>
        <w:rPr>
          <w:rFonts w:ascii="Times New Roman" w:hAnsi="Times New Roman"/>
          <w:sz w:val="20"/>
        </w:rPr>
        <w:t>: Privacy laws such as the Family Educational Rights and Privacy Act (FERPA) in the United States and the General Data Protection Regulation (GDPR) in the European Union prohibit public sharing of authentic student academic records.</w:t>
      </w:r>
    </w:p>
    <w:p>
      <w:pPr>
        <w:spacing w:before="20" w:after="40"/>
        <w:ind w:left="360"/>
      </w:pPr>
      <w:r>
        <w:rPr>
          <w:rFonts w:ascii="Times New Roman" w:hAnsi="Times New Roman"/>
          <w:b/>
          <w:sz w:val="20"/>
        </w:rPr>
        <w:t xml:space="preserve">2. </w:t>
      </w:r>
      <w:r>
        <w:rPr>
          <w:rFonts w:ascii="Times New Roman" w:hAnsi="Times New Roman"/>
          <w:b/>
          <w:sz w:val="20"/>
        </w:rPr>
        <w:t>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w:t>
      </w:r>
    </w:p>
    <w:p>
      <w:pPr>
        <w:spacing w:before="20" w:after="40"/>
        <w:ind w:left="360"/>
      </w:pPr>
      <w:r>
        <w:rPr>
          <w:rFonts w:ascii="Times New Roman" w:hAnsi="Times New Roman"/>
          <w:b/>
          <w:sz w:val="20"/>
        </w:rPr>
        <w:t xml:space="preserve">3. </w:t>
      </w:r>
      <w:r>
        <w:rPr>
          <w:rFonts w:ascii="Times New Roman" w:hAnsi="Times New Roman"/>
          <w:b/>
          <w:sz w:val="20"/>
        </w:rPr>
        <w:t>Superficial Formatting Discrepancies</w:t>
      </w:r>
      <w:r>
        <w:rPr>
          <w:rFonts w:ascii="Times New Roman" w:hAnsi="Times New Roman"/>
          <w:sz w:val="20"/>
        </w:rPr>
        <w:t>: Standard string comparison metrics (e.g., raw string matching) incorrectly penalize minor formatting variations (e.g., 2026-08-04 vs August 4, 2026), distorting extraction accuracy evaluations.</w:t>
      </w:r>
    </w:p>
    <w:p>
      <w:pPr>
        <w:spacing w:before="40" w:after="80" w:line="276" w:lineRule="auto"/>
      </w:pPr>
      <w:r>
        <w:rPr>
          <w:rFonts w:ascii="Times New Roman" w:hAnsi="Times New Roman"/>
          <w:sz w:val="20"/>
        </w:rPr>
        <w:t>Real-world academic credentials frequently contain personally identifiable information (PII), including student names, enrollment identifiers, grades, transcripts, and institutional records. Public distribution of such documents is often restricted by privacy regulations such as the Family Educational Rights and Privacy Act (FERPA) in the United States and the General Data Protection Regulation (GDPR) in the European Union. 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w:t>
      </w:r>
    </w:p>
    <w:p>
      <w:pPr>
        <w:keepNext/>
        <w:spacing w:before="200" w:after="80"/>
      </w:pPr>
      <w:r>
        <w:rPr>
          <w:rFonts w:ascii="Times New Roman" w:hAnsi="Times New Roman"/>
          <w:b/>
          <w:color w:val="333333"/>
          <w:sz w:val="23"/>
        </w:rPr>
        <w:t>1.2 Research Objectives</w:t>
      </w:r>
    </w:p>
    <w:p>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Specifically, we focus on:</w:t>
      </w:r>
    </w:p>
    <w:p>
      <w:pPr>
        <w:pStyle w:val="ListBullet"/>
        <w:spacing w:before="20" w:after="40"/>
      </w:pPr>
      <w:r>
        <w:rPr>
          <w:rFonts w:ascii="Times New Roman" w:hAnsi="Times New Roman"/>
          <w:b/>
          <w:sz w:val="20"/>
        </w:rPr>
        <w:t>O1</w:t>
      </w:r>
      <w:r>
        <w:rPr>
          <w:rFonts w:ascii="Times New Roman" w:hAnsi="Times New Roman"/>
          <w:sz w:val="20"/>
        </w:rPr>
        <w:t>: Developing a deterministic synthetic data generator capable of rendering diverse academic credentials with pixel-exact ground truth annotations without relying on real student records.</w:t>
      </w:r>
    </w:p>
    <w:p>
      <w:pPr>
        <w:pStyle w:val="ListBullet"/>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pPr>
        <w:pStyle w:val="ListBullet"/>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pPr>
        <w:keepNext/>
        <w:spacing w:before="200" w:after="80"/>
      </w:pPr>
      <w:r>
        <w:rPr>
          <w:rFonts w:ascii="Times New Roman" w:hAnsi="Times New Roman"/>
          <w:b/>
          <w:color w:val="333333"/>
          <w:sz w:val="23"/>
        </w:rPr>
        <w:t>1.3 Main Research Contributions</w:t>
      </w:r>
    </w:p>
    <w:p>
      <w:pPr>
        <w:spacing w:before="40" w:after="80" w:line="276" w:lineRule="auto"/>
      </w:pPr>
      <w:r>
        <w:rPr>
          <w:rFonts w:ascii="Times New Roman" w:hAnsi="Times New Roman"/>
          <w:sz w:val="20"/>
        </w:rPr>
        <w:t>The primary contributions of this work are summarized as follows:</w:t>
      </w:r>
    </w:p>
    <w:p>
      <w:pPr>
        <w:spacing w:before="20" w:after="40"/>
        <w:ind w:left="360"/>
      </w:pPr>
      <w:r>
        <w:rPr>
          <w:rFonts w:ascii="Times New Roman" w:hAnsi="Times New Roman"/>
          <w:b/>
          <w:sz w:val="20"/>
        </w:rPr>
        <w:t xml:space="preserve">1. </w:t>
      </w:r>
      <w:r>
        <w:rPr>
          <w:rFonts w:ascii="Times New Roman" w:hAnsi="Times New Roman"/>
          <w:b/>
          <w:sz w:val="20"/>
        </w:rPr>
        <w:t>Synthetic Academic Credential Benchmark Generator</w:t>
      </w:r>
      <w:r>
        <w:rPr>
          <w:rFonts w:ascii="Times New Roman" w:hAnsi="Times New Roman"/>
          <w:sz w:val="20"/>
        </w:rPr>
        <w:t>: A seed-deterministic synthetic benchmark generation methodology for academic document intelligence that enables reproducible evaluation while eliminating the need for real student records (ADBG v1.0).</w:t>
      </w:r>
    </w:p>
    <w:p>
      <w:pPr>
        <w:spacing w:before="20" w:after="40"/>
        <w:ind w:left="360"/>
      </w:pPr>
      <w:r>
        <w:rPr>
          <w:rFonts w:ascii="Times New Roman" w:hAnsi="Times New Roman"/>
          <w:b/>
          <w:sz w:val="20"/>
        </w:rPr>
        <w:t xml:space="preserve">2. </w:t>
      </w:r>
      <w:r>
        <w:rPr>
          <w:rFonts w:ascii="Times New Roman" w:hAnsi="Times New Roman"/>
          <w:b/>
          <w:sz w:val="20"/>
        </w:rPr>
        <w:t>AU DIC Evaluation Subsystem</w:t>
      </w:r>
      <w:r>
        <w:rPr>
          <w:rFonts w:ascii="Times New Roman" w:hAnsi="Times New Roman"/>
          <w:sz w:val="20"/>
        </w:rPr>
        <w:t>: A decoupled, strictly read-only benchmark execution engine that evaluates document processing pipelines without modifying production data stores.</w:t>
      </w:r>
    </w:p>
    <w:p>
      <w:pPr>
        <w:spacing w:before="20" w:after="40"/>
        <w:ind w:left="360"/>
      </w:pPr>
      <w:r>
        <w:rPr>
          <w:rFonts w:ascii="Times New Roman" w:hAnsi="Times New Roman"/>
          <w:b/>
          <w:sz w:val="20"/>
        </w:rPr>
        <w:t xml:space="preserve">3. </w:t>
      </w:r>
      <w:r>
        <w:rPr>
          <w:rFonts w:ascii="Times New Roman" w:hAnsi="Times New Roman"/>
          <w:b/>
          <w:sz w:val="20"/>
        </w:rPr>
        <w:t>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w:t>
      </w:r>
    </w:p>
    <w:p>
      <w:pPr>
        <w:spacing w:before="20" w:after="40"/>
        <w:ind w:left="360"/>
      </w:pPr>
      <w:r>
        <w:rPr>
          <w:rFonts w:ascii="Times New Roman" w:hAnsi="Times New Roman"/>
          <w:b/>
          <w:sz w:val="20"/>
        </w:rPr>
        <w:t xml:space="preserve">4. </w:t>
      </w:r>
      <w:r>
        <w:rPr>
          <w:rFonts w:ascii="Times New Roman" w:hAnsi="Times New Roman"/>
          <w:b/>
          <w:sz w:val="20"/>
        </w:rPr>
        <w:t>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w:t>
      </w:r>
    </w:p>
    <w:p>
      <w:pPr>
        <w:spacing w:before="20" w:after="40"/>
        <w:ind w:left="360"/>
      </w:pPr>
      <w:r>
        <w:rPr>
          <w:rFonts w:ascii="Times New Roman" w:hAnsi="Times New Roman"/>
          <w:b/>
          <w:sz w:val="20"/>
        </w:rPr>
        <w:t xml:space="preserve">5. </w:t>
      </w:r>
      <w:r>
        <w:rPr>
          <w:rFonts w:ascii="Times New Roman" w:hAnsi="Times New Roman"/>
          <w:b/>
          <w:sz w:val="20"/>
        </w:rPr>
        <w:t>Quality Profile Robustness Framework</w:t>
      </w:r>
      <w:r>
        <w:rPr>
          <w:rFonts w:ascii="Times New Roman" w:hAnsi="Times New Roman"/>
          <w:sz w:val="20"/>
        </w:rPr>
        <w:t>: A systematic evaluation matrix measuring extraction decay across four standardized optical profiles (clean, scanner_copy, mobile_camera, rotated_90).</w:t>
      </w:r>
    </w:p>
    <w:p>
      <w:pPr>
        <w:keepNext/>
        <w:spacing w:before="200" w:after="80"/>
      </w:pPr>
      <w:r>
        <w:rPr>
          <w:rFonts w:ascii="Times New Roman" w:hAnsi="Times New Roman"/>
          <w:b/>
          <w:color w:val="333333"/>
          <w:sz w:val="23"/>
        </w:rPr>
        <w:t>1.4 Scientific Novelty Statement</w:t>
      </w:r>
    </w:p>
    <w:p>
      <w:pPr>
        <w:spacing w:before="40" w:after="80" w:line="276" w:lineRule="auto"/>
      </w:pPr>
      <w:r>
        <w:rPr>
          <w:rFonts w:ascii="Times New Roman" w:hAnsi="Times New Roman"/>
          <w:sz w:val="20"/>
        </w:rPr>
        <w:t>To the best of our knowledge, this work presents one of the first integrated benchmarking methodologies specifically designed for academic credential document intelligence. The proposed methodology combines deterministic synthetic document generation, semantic canonical normalization, structured OCR error taxonomy, and controlled quality-profile evaluation into a unified experimental benchmark while eliminating the need for real student records.</w:t>
      </w:r>
    </w:p>
    <w:p>
      <w:pPr>
        <w:spacing w:before="40" w:after="80" w:line="276" w:lineRule="auto"/>
      </w:pPr>
      <w:r>
        <w:rPr>
          <w:rFonts w:ascii="Times New Roman" w:hAnsi="Times New Roman"/>
          <w:sz w:val="20"/>
        </w:rPr>
        <w:t>The primary scientific contribution of this work lies not merely in software implementation or tool engineering, but in establishing a unified evaluation methodology for Document Intelligence Systems (DIS) operating in administrative credential domains where real student records are restricted by statutory regulations. Previous benchmark contributions in document analysis (e.g., SROIE, CORD, FUNSD, DocVQA) evaluate neural models on static, authentic document collections. However, in the academic credential domain, regulatory constraints (FERPA, GDPR) prohibit public distribution of real student records, while superficial string representation variations distort extraction evaluation.</w:t>
      </w:r>
    </w:p>
    <w:p>
      <w:pPr>
        <w:spacing w:before="40" w:after="80" w:line="276" w:lineRule="auto"/>
      </w:pPr>
      <w:r>
        <w:rPr>
          <w:rFonts w:ascii="Times New Roman" w:hAnsi="Times New Roman"/>
          <w:sz w:val="20"/>
        </w:rPr>
        <w:t>By integrating five interdependent methodological components—seed-deterministic synthetic rendering, multi-profile optical degradation, decoupled read-only execution, multi-stage semantic canonicalization, and a structured diagnostic error taxonomy—into a single benchmark protocol, this work establishes a standardized, reproducible foundation to evaluate OCR engines, Large Language Models (LLMs), and Vision-Language Models (VLMs) under controlled experimental conditions.</w:t>
      </w:r>
    </w:p>
    <w:p>
      <w:pPr>
        <w:keepNext/>
        <w:spacing w:before="200" w:after="80"/>
      </w:pPr>
      <w:r>
        <w:rPr>
          <w:rFonts w:ascii="Times New Roman" w:hAnsi="Times New Roman"/>
          <w:b/>
          <w:color w:val="333333"/>
          <w:sz w:val="23"/>
        </w:rPr>
        <w:t>1.5 Paper Organization</w:t>
      </w:r>
    </w:p>
    <w:p>
      <w:pPr>
        <w:spacing w:before="40" w:after="80" w:line="276" w:lineRule="auto"/>
      </w:pPr>
      <w:r>
        <w:rPr>
          <w:rFonts w:ascii="Times New Roman" w:hAnsi="Times New Roman"/>
          <w:sz w:val="20"/>
        </w:rPr>
        <w:t>The remainder of this paper is organized as follows. Section 2 surveys related work. Section 3 details the system architecture. Section 4 presents the ADBG synthetic data generation methodology. Section 5 describes the AU DIC evaluation framework and normalizers. Section 6 specifies the experimental protocol and metrics. Section 7 presents empirical validation results. Section 8 discusses scientific contributions, methodological novelty, threats to validity, and limitations. Section 9 outlines future research directions, Section 10 concludes the paper, and Appendices A and B provide reproducibility specifications and technical answers to reviewer inquiries.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2. Related Work</w:t>
      </w:r>
    </w:p>
    <w:p>
      <w:pPr>
        <w:keepNext/>
        <w:spacing w:before="200" w:after="80"/>
      </w:pPr>
      <w:r>
        <w:rPr>
          <w:rFonts w:ascii="Times New Roman" w:hAnsi="Times New Roman"/>
          <w:b/>
          <w:color w:val="333333"/>
          <w:sz w:val="23"/>
        </w:rPr>
        <w:t>2.1 Foundational Document AI Models &amp; Benchmarks (Historical Context)</w:t>
      </w:r>
    </w:p>
    <w:p>
      <w:pPr>
        <w:spacing w:before="40" w:after="80" w:line="276" w:lineRule="auto"/>
      </w:pPr>
      <w:r>
        <w:rPr>
          <w:rFonts w:ascii="Times New Roman" w:hAnsi="Times New Roman"/>
          <w:sz w:val="20"/>
        </w:rPr>
        <w:t>Early research in Document Artificial Intelligence (Document AI) focused primarily on static scanned administrative forms, business invoices, and commercial receipts. Foundational benchmark datasets established core evaluation paradigms:</w:t>
      </w:r>
    </w:p>
    <w:p>
      <w:pPr>
        <w:pStyle w:val="ListBullet"/>
        <w:spacing w:before="20" w:after="40"/>
      </w:pPr>
      <w:r>
        <w:rPr>
          <w:rFonts w:ascii="Times New Roman" w:hAnsi="Times New Roman"/>
          <w:b/>
          <w:sz w:val="20"/>
        </w:rPr>
        <w:t>Receipt Parsing</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(Huang et al., 2019) and </w:t>
      </w:r>
      <w:r>
        <w:rPr>
          <w:rFonts w:ascii="Times New Roman" w:hAnsi="Times New Roman"/>
          <w:b/>
          <w:sz w:val="20"/>
        </w:rPr>
        <w:t>CORD</w:t>
      </w:r>
      <w:r>
        <w:rPr>
          <w:rFonts w:ascii="Times New Roman" w:hAnsi="Times New Roman"/>
          <w:sz w:val="20"/>
        </w:rPr>
        <w:t xml:space="preserve"> (Park et al., 2019) introduced key-value extraction tasks for point-of-sale receipt images.</w:t>
      </w:r>
    </w:p>
    <w:p>
      <w:pPr>
        <w:pStyle w:val="ListBullet"/>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(Jaume et al., 2019) provided entity-level spatial relationship annotations for scanned administrative forms.</w:t>
      </w:r>
    </w:p>
    <w:p>
      <w:pPr>
        <w:pStyle w:val="ListBullet"/>
        <w:spacing w:before="20" w:after="40"/>
      </w:pPr>
      <w:r>
        <w:rPr>
          <w:rFonts w:ascii="Times New Roman" w:hAnsi="Times New Roman"/>
          <w:b/>
          <w:sz w:val="20"/>
        </w:rPr>
        <w:t>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(Mathew et al., 2021) established visual question answering across mixed industry document images.</w:t>
      </w:r>
    </w:p>
    <w:p>
      <w:pPr>
        <w:pStyle w:val="ListBullet"/>
        <w:spacing w:before="20" w:after="40"/>
      </w:pPr>
      <w:r>
        <w:rPr>
          <w:rFonts w:ascii="Times New Roman" w:hAnsi="Times New Roman"/>
          <w:b/>
          <w:sz w:val="20"/>
        </w:rPr>
        <w:t>Document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(Harley et al., 2015) benchmarked document image classification across 16 administrative categories.</w:t>
      </w:r>
    </w:p>
    <w:p>
      <w:pPr>
        <w:spacing w:before="40" w:after="80" w:line="276" w:lineRule="auto"/>
      </w:pPr>
      <w:r>
        <w:rPr>
          <w:rFonts w:ascii="Times New Roman" w:hAnsi="Times New Roman"/>
          <w:sz w:val="20"/>
        </w:rPr>
        <w:t xml:space="preserve">To process these document datasets, early multimodal architectures integrated visual features, OCR text, and spatial layout coordinates. </w:t>
      </w:r>
      <w:r>
        <w:rPr>
          <w:rFonts w:ascii="Times New Roman" w:hAnsi="Times New Roman"/>
          <w:b/>
          <w:sz w:val="20"/>
        </w:rPr>
        <w:t>LayoutLMv3</w:t>
      </w:r>
      <w:r>
        <w:rPr>
          <w:rFonts w:ascii="Times New Roman" w:hAnsi="Times New Roman"/>
          <w:sz w:val="20"/>
        </w:rPr>
        <w:t xml:space="preserve"> (Huang et al., 2022) introduced unified text and image masking to capture multi-modal field alignment. Subsequently, OCR-free architectures such as </w:t>
      </w:r>
      <w:r>
        <w:rPr>
          <w:rFonts w:ascii="Times New Roman" w:hAnsi="Times New Roman"/>
          <w:b/>
          <w:sz w:val="20"/>
        </w:rPr>
        <w:t>Donut</w:t>
      </w:r>
      <w:r>
        <w:rPr>
          <w:rFonts w:ascii="Times New Roman" w:hAnsi="Times New Roman"/>
          <w:sz w:val="20"/>
        </w:rPr>
        <w:t xml:space="preserve"> (Kim et al., 2022) and sequence-to-sequence transformers such as </w:t>
      </w:r>
      <w:r>
        <w:rPr>
          <w:rFonts w:ascii="Times New Roman" w:hAnsi="Times New Roman"/>
          <w:b/>
          <w:sz w:val="20"/>
        </w:rPr>
        <w:t>TrOCR</w:t>
      </w:r>
      <w:r>
        <w:rPr>
          <w:rFonts w:ascii="Times New Roman" w:hAnsi="Times New Roman"/>
          <w:sz w:val="20"/>
        </w:rPr>
        <w:t xml:space="preserve"> (Li et al., 2023) mapped document images directly to text outputs without explicit OCR bounding-box dependencies. While foundational, these early benchmarks and models relied primarily on raw string matching or unnormalized character error rates, failing to isolate genuine recognition failures from benign representation differences.</w:t>
      </w:r>
    </w:p>
    <w:p>
      <w:pPr>
        <w:keepNext/>
        <w:spacing w:before="200" w:after="80"/>
      </w:pPr>
      <w:r>
        <w:rPr>
          <w:rFonts w:ascii="Times New Roman" w:hAnsi="Times New Roman"/>
          <w:b/>
          <w:color w:val="333333"/>
          <w:sz w:val="23"/>
        </w:rPr>
        <w:t>2.2 Modern Vision-Language Models &amp; Multimodal Document Intelligence (2025–2026 Advances)</w:t>
      </w:r>
    </w:p>
    <w:p>
      <w:pPr>
        <w:spacing w:before="40" w:after="80" w:line="276" w:lineRule="auto"/>
      </w:pPr>
      <w:r>
        <w:rPr>
          <w:rFonts w:ascii="Times New Roman" w:hAnsi="Times New Roman"/>
          <w:sz w:val="20"/>
        </w:rPr>
        <w:t>Recent advances in Large Multimodal Models (LMMs) and Vision-Language Models (VLMs) have significantly transformed document understanding by enabling end-to-end page comprehension without modular OCR pipelines:</w:t>
      </w:r>
    </w:p>
    <w:p>
      <w:pPr>
        <w:pStyle w:val="ListBullet"/>
        <w:spacing w:before="20" w:after="40"/>
      </w:pPr>
      <w:r>
        <w:rPr>
          <w:rFonts w:ascii="Times New Roman" w:hAnsi="Times New Roman"/>
          <w:b/>
          <w:sz w:val="20"/>
        </w:rPr>
        <w:t>Unified Vision Representation</w:t>
      </w:r>
      <w:r>
        <w:rPr>
          <w:rFonts w:ascii="Times New Roman" w:hAnsi="Times New Roman"/>
          <w:sz w:val="20"/>
        </w:rPr>
        <w:t xml:space="preserve">: </w:t>
      </w:r>
      <w:r>
        <w:rPr>
          <w:rFonts w:ascii="Times New Roman" w:hAnsi="Times New Roman"/>
          <w:b/>
          <w:sz w:val="20"/>
        </w:rPr>
        <w:t>Florence-2</w:t>
      </w:r>
      <w:r>
        <w:rPr>
          <w:rFonts w:ascii="Times New Roman" w:hAnsi="Times New Roman"/>
          <w:sz w:val="20"/>
        </w:rPr>
        <w:t xml:space="preserve"> (Xiao et al., 2024) established sequence-to-sequence visual task learning, mapping spatial bounding boxes directly to fine-grained text tokens.</w:t>
      </w:r>
    </w:p>
    <w:p>
      <w:pPr>
        <w:pStyle w:val="ListBullet"/>
        <w:spacing w:before="20" w:after="40"/>
      </w:pPr>
      <w:r>
        <w:rPr>
          <w:rFonts w:ascii="Times New Roman" w:hAnsi="Times New Roman"/>
          <w:b/>
          <w:sz w:val="20"/>
        </w:rPr>
        <w:t>High-Resolution Structural Embedding</w:t>
      </w:r>
      <w:r>
        <w:rPr>
          <w:rFonts w:ascii="Times New Roman" w:hAnsi="Times New Roman"/>
          <w:sz w:val="20"/>
        </w:rPr>
        <w:t xml:space="preserve">: </w:t>
      </w:r>
      <w:r>
        <w:rPr>
          <w:rFonts w:ascii="Times New Roman" w:hAnsi="Times New Roman"/>
          <w:b/>
          <w:sz w:val="20"/>
        </w:rPr>
        <w:t>mPLUG-DocOwl 2.0</w:t>
      </w:r>
      <w:r>
        <w:rPr>
          <w:rFonts w:ascii="Times New Roman" w:hAnsi="Times New Roman"/>
          <w:sz w:val="20"/>
        </w:rPr>
        <w:t xml:space="preserve"> (Hu et al., 2025) introduced crop-based structural image embeddings and visual sequence compression to process high-resolution document pages without losing small text legibility.</w:t>
      </w:r>
    </w:p>
    <w:p>
      <w:pPr>
        <w:pStyle w:val="ListBullet"/>
        <w:spacing w:before="20" w:after="40"/>
      </w:pPr>
      <w:r>
        <w:rPr>
          <w:rFonts w:ascii="Times New Roman" w:hAnsi="Times New Roman"/>
          <w:b/>
          <w:sz w:val="20"/>
        </w:rPr>
        <w:t>Dynamic Resolution Vision Transformers</w:t>
      </w:r>
      <w:r>
        <w:rPr>
          <w:rFonts w:ascii="Times New Roman" w:hAnsi="Times New Roman"/>
          <w:sz w:val="20"/>
        </w:rPr>
        <w:t xml:space="preserve">: </w:t>
      </w:r>
      <w:r>
        <w:rPr>
          <w:rFonts w:ascii="Times New Roman" w:hAnsi="Times New Roman"/>
          <w:b/>
          <w:sz w:val="20"/>
        </w:rPr>
        <w:t>Qwen2-VL</w:t>
      </w:r>
      <w:r>
        <w:rPr>
          <w:rFonts w:ascii="Times New Roman" w:hAnsi="Times New Roman"/>
          <w:sz w:val="20"/>
        </w:rPr>
        <w:t xml:space="preserve"> (Wang et al., 2025) implemented dynamic resolution NaViT encoders, allowing vision transformers to process document images at native aspect ratios and variable pixel resolutions.</w:t>
      </w:r>
    </w:p>
    <w:p>
      <w:pPr>
        <w:pStyle w:val="ListBullet"/>
        <w:spacing w:before="20" w:after="40"/>
      </w:pPr>
      <w:r>
        <w:rPr>
          <w:rFonts w:ascii="Times New Roman" w:hAnsi="Times New Roman"/>
          <w:b/>
          <w:sz w:val="20"/>
        </w:rPr>
        <w:t>Shifted Window Attention</w:t>
      </w:r>
      <w:r>
        <w:rPr>
          <w:rFonts w:ascii="Times New Roman" w:hAnsi="Times New Roman"/>
          <w:sz w:val="20"/>
        </w:rPr>
        <w:t xml:space="preserve">: </w:t>
      </w:r>
      <w:r>
        <w:rPr>
          <w:rFonts w:ascii="Times New Roman" w:hAnsi="Times New Roman"/>
          <w:b/>
          <w:sz w:val="20"/>
        </w:rPr>
        <w:t>TextMonkey</w:t>
      </w:r>
      <w:r>
        <w:rPr>
          <w:rFonts w:ascii="Times New Roman" w:hAnsi="Times New Roman"/>
          <w:sz w:val="20"/>
        </w:rPr>
        <w:t xml:space="preserve"> (Liu et al., 2025) addressed high-resolution tokenization bottlenecks by introducing cross-window attention mechanisms and token compression for document image parsing.</w:t>
      </w:r>
    </w:p>
    <w:p>
      <w:pPr>
        <w:pStyle w:val="ListBullet"/>
        <w:spacing w:before="20" w:after="40"/>
      </w:pPr>
      <w:r>
        <w:rPr>
          <w:rFonts w:ascii="Times New Roman" w:hAnsi="Times New Roman"/>
          <w:b/>
          <w:sz w:val="20"/>
        </w:rPr>
        <w:t>Layout-Aware Large Multimodal Models</w:t>
      </w:r>
      <w:r>
        <w:rPr>
          <w:rFonts w:ascii="Times New Roman" w:hAnsi="Times New Roman"/>
          <w:sz w:val="20"/>
        </w:rPr>
        <w:t xml:space="preserve">: </w:t>
      </w:r>
      <w:r>
        <w:rPr>
          <w:rFonts w:ascii="Times New Roman" w:hAnsi="Times New Roman"/>
          <w:b/>
          <w:sz w:val="20"/>
        </w:rPr>
        <w:t>LayoutLLM</w:t>
      </w:r>
      <w:r>
        <w:rPr>
          <w:rFonts w:ascii="Times New Roman" w:hAnsi="Times New Roman"/>
          <w:sz w:val="20"/>
        </w:rPr>
        <w:t xml:space="preserve"> (Xu et al., 2025) integrated explicit spatial layout instruction tuning into open-weight LLMs for structured key-value field extraction, while </w:t>
      </w:r>
      <w:r>
        <w:rPr>
          <w:rFonts w:ascii="Times New Roman" w:hAnsi="Times New Roman"/>
          <w:b/>
          <w:sz w:val="20"/>
        </w:rPr>
        <w:t>UDOP-v2</w:t>
      </w:r>
      <w:r>
        <w:rPr>
          <w:rFonts w:ascii="Times New Roman" w:hAnsi="Times New Roman"/>
          <w:sz w:val="20"/>
        </w:rPr>
        <w:t xml:space="preserve"> (Ye et al., 2025) and </w:t>
      </w:r>
      <w:r>
        <w:rPr>
          <w:rFonts w:ascii="Times New Roman" w:hAnsi="Times New Roman"/>
          <w:b/>
          <w:sz w:val="20"/>
        </w:rPr>
        <w:t>LLaVA-NeXT-Doc</w:t>
      </w:r>
      <w:r>
        <w:rPr>
          <w:rFonts w:ascii="Times New Roman" w:hAnsi="Times New Roman"/>
          <w:sz w:val="20"/>
        </w:rPr>
        <w:t xml:space="preserve"> (Li et al., 2025) established universal document pretraining across vision, text, and layout channels.</w:t>
      </w:r>
    </w:p>
    <w:p>
      <w:pPr>
        <w:spacing w:before="40" w:after="80" w:line="276" w:lineRule="auto"/>
      </w:pPr>
      <w:r>
        <w:rPr>
          <w:rFonts w:ascii="Times New Roman" w:hAnsi="Times New Roman"/>
          <w:b/>
          <w:sz w:val="20"/>
        </w:rPr>
        <w:t>Critical Analysis of Current Evaluation Limitations</w:t>
      </w:r>
      <w:r>
        <w:rPr>
          <w:rFonts w:ascii="Times New Roman" w:hAnsi="Times New Roman"/>
          <w:sz w:val="20"/>
        </w:rPr>
        <w:t>: Despite these substantial architectural improvements in 2025–2026 Vision-Language Models, current evaluation methodologies remain largely limited when applied to higher education credentials. First, modern VLMs are predominantly evaluated on generic VQA or unnormalized string matching metrics, which incorrectly penalize models for benign formatting variations (such as ISO date styling 2026-08-04 vs August 4, 2026 or institutional shorthand VTU vs Vivekananda Technical University). Second, existing evaluation suites lack multi-column tabular grade array evaluation protocols required to verify semester credit structures, subject marks, and GPA calculations. Third, model robustness is rarely benchmarked across controlled physical optical degradation profiles (such as scanner aging, camera tilt, perspective skew, or resolution loss).</w:t>
      </w:r>
    </w:p>
    <w:p>
      <w:pPr>
        <w:keepNext/>
        <w:spacing w:before="200" w:after="80"/>
      </w:pPr>
      <w:r>
        <w:rPr>
          <w:rFonts w:ascii="Times New Roman" w:hAnsi="Times New Roman"/>
          <w:b/>
          <w:color w:val="333333"/>
          <w:sz w:val="23"/>
        </w:rPr>
        <w:t>2.3 Synthetic Document Generation &amp; Comparative Benchmark Analysis</w:t>
      </w:r>
    </w:p>
    <w:p>
      <w:pPr>
        <w:spacing w:before="40" w:after="80" w:line="276" w:lineRule="auto"/>
      </w:pPr>
      <w:r>
        <w:rPr>
          <w:rFonts w:ascii="Times New Roman" w:hAnsi="Times New Roman"/>
          <w:sz w:val="20"/>
        </w:rPr>
        <w:t>To address data access restrictions imposed by student educational privacy regulations (such as FERPA in the United States and GDPR in the European Union), synthetic dataset generation has emerged as a key data availability solution. Synthetic document generators render fictional text onto rendered templates, eliminating the legal and ethical risks of processing authentic student records. ADBG v1.0 advances synthetic document generation for higher education credentials by combining Typst vector PDF compilation with 14 physical optical degradation operators, rendering synthetic specimens under four controlled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w:t>
      </w:r>
    </w:p>
    <w:p>
      <w:pPr>
        <w:spacing w:before="40" w:after="80" w:line="276" w:lineRule="auto"/>
      </w:pPr>
      <w:r>
        <w:rPr>
          <w:rFonts w:ascii="Times New Roman" w:hAnsi="Times New Roman"/>
          <w:sz w:val="20"/>
        </w:rPr>
        <w:t>Table 0 presents an objective, comprehensive comparative matrix contrasting ADBG v1.0 and the AU DIC framework against foundational document analysis benchmarks and modern 2025–2026 evaluation paradigms.</w:t>
      </w:r>
    </w:p>
    <w:p>
      <w:pPr>
        <w:keepNext/>
        <w:spacing w:before="160" w:after="80"/>
        <w:jc w:val="center"/>
      </w:pPr>
      <w:r>
        <w:rPr>
          <w:rFonts w:ascii="Times New Roman" w:hAnsi="Times New Roman"/>
          <w:b/>
          <w:color w:val="003366"/>
          <w:sz w:val="19"/>
        </w:rPr>
        <w:t>Table 0: Comprehensive Comparative Matrix of Document Intelligence Benchmarks &amp; Evaluation Paradigms</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170"/>
        <w:gridCol w:w="1170"/>
        <w:gridCol w:w="1170"/>
        <w:gridCol w:w="1170"/>
        <w:gridCol w:w="1170"/>
        <w:gridCol w:w="1170"/>
        <w:gridCol w:w="1170"/>
        <w:gridCol w:w="1170"/>
      </w:tblGrid>
      <w:tr>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Benchmark / Model Paradigm</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Publication Year</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Document Domain</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Fully Synthetic Data</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Tabular Grade Array Support</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Controlled Quality Degradation Matrix</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Semantic Canonical Normalization</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Academic Credentials Domain</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RVL-CDIP</w:t>
            </w:r>
            <w:r>
              <w:rPr>
                <w:rFonts w:ascii="Times New Roman" w:hAnsi="Times New Roman"/>
                <w:sz w:val="18"/>
              </w:rPr>
              <w:t xml:space="preserve"> (Harley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2015</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General Business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SROIE</w:t>
            </w:r>
            <w:r>
              <w:rPr>
                <w:rFonts w:ascii="Times New Roman" w:hAnsi="Times New Roman"/>
                <w:sz w:val="18"/>
              </w:rPr>
              <w:t xml:space="preserve"> (Huang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2019</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Commercial Receipts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CORD</w:t>
            </w:r>
            <w:r>
              <w:rPr>
                <w:rFonts w:ascii="Times New Roman" w:hAnsi="Times New Roman"/>
                <w:sz w:val="18"/>
              </w:rPr>
              <w:t xml:space="preserve"> (Park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2019</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Scanned Receipts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 (Anonymized)</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FUNSD</w:t>
            </w:r>
            <w:r>
              <w:rPr>
                <w:rFonts w:ascii="Times New Roman" w:hAnsi="Times New Roman"/>
                <w:sz w:val="18"/>
              </w:rPr>
              <w:t xml:space="preserve"> (Jaume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2019</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Noise Forms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Static Noise</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DocVQA</w:t>
            </w:r>
            <w:r>
              <w:rPr>
                <w:rFonts w:ascii="Times New Roman" w:hAnsi="Times New Roman"/>
                <w:sz w:val="18"/>
              </w:rPr>
              <w:t xml:space="preserve"> (Mathew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2021</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Mixed Documents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LayoutLMv3</w:t>
            </w:r>
            <w:r>
              <w:rPr>
                <w:rFonts w:ascii="Times New Roman" w:hAnsi="Times New Roman"/>
                <w:sz w:val="18"/>
              </w:rPr>
              <w:t xml:space="preserve"> (Huang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2022</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Business Forms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 (Mixed)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Donut</w:t>
            </w:r>
            <w:r>
              <w:rPr>
                <w:rFonts w:ascii="Times New Roman" w:hAnsi="Times New Roman"/>
                <w:sz w:val="18"/>
              </w:rPr>
              <w:t xml:space="preserve"> (Kim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2022</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Receipts &amp; Forms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Synthetic Text</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Florence-2</w:t>
            </w:r>
            <w:r>
              <w:rPr>
                <w:rFonts w:ascii="Times New Roman" w:hAnsi="Times New Roman"/>
                <w:sz w:val="18"/>
              </w:rPr>
              <w:t xml:space="preserve"> (Xiao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2024</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General Vision-Text</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Synthetic/Natural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DocOwl 2.0</w:t>
            </w:r>
            <w:r>
              <w:rPr>
                <w:rFonts w:ascii="Times New Roman" w:hAnsi="Times New Roman"/>
                <w:sz w:val="18"/>
              </w:rPr>
              <w:t xml:space="preserve"> (Hu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2025</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General Documents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Synthetic Text</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Qwen2-VL</w:t>
            </w:r>
            <w:r>
              <w:rPr>
                <w:rFonts w:ascii="Times New Roman" w:hAnsi="Times New Roman"/>
                <w:sz w:val="18"/>
              </w:rPr>
              <w:t xml:space="preserve"> (Wang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2025</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Multimodal Pages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Mixed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ADBG v1.0 / AU DIC (Ours)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2026</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Academic Credentials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(100% Synthetic)</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(Semester Arrays)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(4 Profiles)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(6 Stages)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(Certificates/Mark-sheets)</w:t>
            </w:r>
          </w:p>
        </w:tc>
      </w:tr>
    </w:tbl>
    <w:p>
      <w:pPr>
        <w:spacing w:after="120"/>
      </w:pPr>
    </w:p>
    <w:p>
      <w:pPr>
        <w:keepNext/>
        <w:spacing w:before="200" w:after="80"/>
      </w:pPr>
      <w:r>
        <w:rPr>
          <w:rFonts w:ascii="Times New Roman" w:hAnsi="Times New Roman"/>
          <w:b/>
          <w:color w:val="333333"/>
          <w:sz w:val="23"/>
        </w:rPr>
        <w:t>2.4 Summary of Research Gap &amp; Methodological Motivation</w:t>
      </w:r>
    </w:p>
    <w:p>
      <w:pPr>
        <w:spacing w:before="40" w:after="80" w:line="276" w:lineRule="auto"/>
      </w:pPr>
      <w:r>
        <w:rPr>
          <w:rFonts w:ascii="Times New Roman" w:hAnsi="Times New Roman"/>
          <w:sz w:val="20"/>
        </w:rPr>
        <w:t>Despite recent advances in 2025–2026 multimodal Document AI architectures and benchmark datasets, several critical challenges remain insufficiently addressed for academic credential document intelligence: (1) the absence of publicly available, reproducible academic credential datasets due to statutory student record restrictions; (2) the lack of standardized, controlled optical degradation benchmarking matrices; (3) the absence of a domain-specific semantic canonical normalization layer to isolate true extraction failures from benign representation differences; and (4) the lack of a structured diagnostic OCR error taxonomy. These observations directly motivate the integrated benchmarking methodology presented in this work.</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3. System Architecture Overview</w:t>
      </w:r>
    </w:p>
    <w:p>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and the </w:t>
      </w:r>
      <w:r>
        <w:rPr>
          <w:rFonts w:ascii="Times New Roman" w:hAnsi="Times New Roman"/>
          <w:b/>
          <w:sz w:val="20"/>
        </w:rPr>
        <w:t>AU DIC Benchmark Subsystem</w:t>
      </w:r>
      <w:r>
        <w:rPr>
          <w:rFonts w:ascii="Times New Roman" w:hAnsi="Times New Roman"/>
          <w:sz w:val="20"/>
        </w:rPr>
        <w:t xml:space="preserve"> (read-only evaluation framework).</w:t>
      </w:r>
    </w:p>
    <w:p>
      <w:pPr>
        <w:spacing w:before="160" w:after="80"/>
        <w:jc w:val="center"/>
      </w:pPr>
      <w:r>
        <w:drawing>
          <wp:inline xmlns:a="http://schemas.openxmlformats.org/drawingml/2006/main" xmlns:pic="http://schemas.openxmlformats.org/drawingml/2006/picture">
            <wp:extent cx="5943600" cy="2476500"/>
            <wp:docPr id="1" name="Picture 1"/>
            <wp:cNvGraphicFramePr>
              <a:graphicFrameLocks noChangeAspect="1"/>
            </wp:cNvGraphicFramePr>
            <a:graphic>
              <a:graphicData uri="http://schemas.openxmlformats.org/drawingml/2006/picture">
                <pic:pic>
                  <pic:nvPicPr>
                    <pic:cNvPr id="0" name="figure1_system_architecture.png"/>
                    <pic:cNvPicPr/>
                  </pic:nvPicPr>
                  <pic:blipFill>
                    <a:blip r:embed="rId10"/>
                    <a:stretch>
                      <a:fillRect/>
                    </a:stretch>
                  </pic:blipFill>
                  <pic:spPr>
                    <a:xfrm>
                      <a:off x="0" y="0"/>
                      <a:ext cx="5943600" cy="2476500"/>
                    </a:xfrm>
                    <a:prstGeom prst="rect"/>
                  </pic:spPr>
                </pic:pic>
              </a:graphicData>
            </a:graphic>
          </wp:inline>
        </w:drawing>
      </w:r>
    </w:p>
    <w:p>
      <w:pPr>
        <w:spacing w:after="160"/>
        <w:jc w:val="center"/>
      </w:pPr>
      <w:r>
        <w:rPr>
          <w:rFonts w:ascii="Times New Roman" w:hAnsi="Times New Roman"/>
          <w:b/>
          <w:color w:val="003366"/>
          <w:sz w:val="19"/>
        </w:rPr>
        <w:t>Fig. 1. Decoupled System Architecture of the ADBG Synthetic Generation and AU DIC Evaluation Subsystems.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4. ADBG Synthetic Data Generation Methodology</w:t>
      </w:r>
    </w:p>
    <w:p>
      <w:pPr>
        <w:keepNext/>
        <w:spacing w:before="200" w:after="80"/>
      </w:pPr>
      <w:r>
        <w:rPr>
          <w:rFonts w:ascii="Times New Roman" w:hAnsi="Times New Roman"/>
          <w:b/>
          <w:color w:val="333333"/>
          <w:sz w:val="23"/>
        </w:rPr>
        <w:t>4.1 Seed-Deterministic Profile Generation</w:t>
      </w:r>
    </w:p>
    <w:p>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w:t>
      </w:r>
    </w:p>
    <w:p>
      <w:pPr>
        <w:spacing w:before="0" w:after="0"/>
        <w:jc w:val="center"/>
      </w:pPr>
      <m:oMathPara>
        <m:oMath>
          <m:r>
            <w:rPr>
              <w:rFonts w:ascii="Cambria Math" w:hAnsi="Cambria Math"/>
            </w:rPr>
            <m:t>D</m:t>
          </m:r>
          <m:r>
            <w:rPr>
              <w:rFonts w:ascii="Cambria Math" w:hAnsi="Cambria Math"/>
            </w:rPr>
            <m:t>o</m:t>
          </m:r>
          <m:r>
            <w:rPr>
              <w:rFonts w:ascii="Cambria Math" w:hAnsi="Cambria Math"/>
            </w:rPr>
            <m:t>c</m:t>
          </m:r>
          <m:r>
            <w:rPr>
              <w:rFonts w:ascii="Cambria Math" w:hAnsi="Cambria Math"/>
            </w:rPr>
            <m:t>u</m:t>
          </m:r>
          <m:r>
            <w:rPr>
              <w:rFonts w:ascii="Cambria Math" w:hAnsi="Cambria Math"/>
            </w:rPr>
            <m:t>m</m:t>
          </m:r>
          <m:r>
            <w:rPr>
              <w:rFonts w:ascii="Cambria Math" w:hAnsi="Cambria Math"/>
            </w:rPr>
            <m:t>e</m:t>
          </m:r>
          <m:r>
            <w:rPr>
              <w:rFonts w:ascii="Cambria Math" w:hAnsi="Cambria Math"/>
            </w:rPr>
            <m:t>n</m:t>
          </m:r>
          <m:r>
            <w:rPr>
              <w:rFonts w:ascii="Cambria Math" w:hAnsi="Cambria Math"/>
            </w:rPr>
            <m:t>t</m:t>
          </m:r>
          <m:r>
            <w:rPr>
              <w:rFonts w:ascii="Cambria Math" w:hAnsi="Cambria Math"/>
            </w:rPr>
            <m:t>S</m:t>
          </m:r>
          <m:r>
            <w:rPr>
              <w:rFonts w:ascii="Cambria Math" w:hAnsi="Cambria Math"/>
            </w:rPr>
            <m:t>p</m:t>
          </m:r>
          <m:r>
            <w:rPr>
              <w:rFonts w:ascii="Cambria Math" w:hAnsi="Cambria Math"/>
            </w:rPr>
            <m:t>e</m:t>
          </m:r>
          <m:r>
            <w:rPr>
              <w:rFonts w:ascii="Cambria Math" w:hAnsi="Cambria Math"/>
            </w:rPr>
            <m:t>c</m:t>
          </m:r>
          <m:r>
            <w:rPr>
              <w:rFonts w:ascii="Cambria Math" w:hAnsi="Cambria Math"/>
            </w:rPr>
            <m:t>i</m:t>
          </m:r>
          <m:r>
            <w:rPr>
              <w:rFonts w:ascii="Cambria Math" w:hAnsi="Cambria Math"/>
            </w:rPr>
            <m:t>m</m:t>
          </m:r>
          <m:r>
            <w:rPr>
              <w:rFonts w:ascii="Cambria Math" w:hAnsi="Cambria Math"/>
            </w:rPr>
            <m:t>e</m:t>
          </m:r>
          <m:r>
            <w:rPr>
              <w:rFonts w:ascii="Cambria Math" w:hAnsi="Cambria Math"/>
            </w:rPr>
            <m:t>n</m:t>
          </m:r>
          <m:r>
            <w:rPr>
              <w:rFonts w:ascii="Cambria Math" w:hAnsi="Cambria Math"/>
            </w:rPr>
            <m:t>=</m:t>
          </m:r>
          <m:r>
            <w:rPr>
              <w:rFonts w:ascii="Cambria Math" w:hAnsi="Cambria Math"/>
            </w:rPr>
            <m:t>G</m:t>
          </m:r>
          <m:r>
            <w:rPr>
              <w:rFonts w:ascii="Cambria Math" w:hAnsi="Cambria Math"/>
            </w:rPr>
            <m:t>(</m:t>
          </m:r>
          <m:r>
            <w:rPr>
              <w:rFonts w:ascii="Times New Roman" w:hAnsi="Times New Roman"/>
              <w:i w:val="0"/>
            </w:rPr>
            <m:t>Seed</m:t>
          </m:r>
          <m:r>
            <w:rPr>
              <w:rFonts w:ascii="Cambria Math" w:hAnsi="Cambria Math"/>
            </w:rPr>
            <m:t>,</m:t>
          </m:r>
          <m:r>
            <w:rPr>
              <w:rFonts w:ascii="Times New Roman" w:hAnsi="Times New Roman"/>
              <w:i w:val="0"/>
            </w:rPr>
            <m:t>Category</m:t>
          </m:r>
          <m:r>
            <w:rPr>
              <w:rFonts w:ascii="Cambria Math" w:hAnsi="Cambria Math"/>
            </w:rPr>
            <m:t>,</m:t>
          </m:r>
          <m:r>
            <w:rPr>
              <w:rFonts w:ascii="Times New Roman" w:hAnsi="Times New Roman"/>
              <w:i w:val="0"/>
            </w:rPr>
            <m:t>Profile</m:t>
          </m:r>
          <m:r>
            <w:rPr>
              <w:rFonts w:ascii="Cambria Math" w:hAnsi="Cambria Math"/>
            </w:rPr>
            <m:t>)</m:t>
          </m:r>
        </m:oMath>
      </m:oMathPara>
    </w:p>
    <w:p>
      <w:pPr>
        <w:keepNext/>
        <w:spacing w:before="200" w:after="80"/>
      </w:pPr>
      <w:r>
        <w:rPr>
          <w:rFonts w:ascii="Times New Roman" w:hAnsi="Times New Roman"/>
          <w:b/>
          <w:color w:val="333333"/>
          <w:sz w:val="23"/>
        </w:rPr>
        <w:t>4.2 Template Compilation Engine</w:t>
      </w:r>
    </w:p>
    <w:p>
      <w:pPr>
        <w:spacing w:before="40" w:after="80" w:line="276" w:lineRule="auto"/>
      </w:pPr>
      <w:r>
        <w:rPr>
          <w:rFonts w:ascii="Times New Roman" w:hAnsi="Times New Roman"/>
          <w:sz w:val="20"/>
        </w:rPr>
        <w:t>The generator utilizes a Typst vector compilation backend (TypstCompilerAdapter) to render high-resolution academic documents. Three primary document categories are supported:</w:t>
      </w:r>
    </w:p>
    <w:p>
      <w:pPr>
        <w:spacing w:before="20" w:after="40"/>
        <w:ind w:left="360"/>
      </w:pPr>
      <w:r>
        <w:rPr>
          <w:rFonts w:ascii="Times New Roman" w:hAnsi="Times New Roman"/>
          <w:b/>
          <w:sz w:val="20"/>
        </w:rPr>
        <w:t xml:space="preserve">1. </w:t>
      </w:r>
      <w:r>
        <w:rPr>
          <w:rFonts w:ascii="Times New Roman" w:hAnsi="Times New Roman"/>
          <w:b/>
          <w:sz w:val="20"/>
        </w:rPr>
        <w:t>Academic Certificates</w:t>
      </w:r>
      <w:r>
        <w:rPr>
          <w:rFonts w:ascii="Times New Roman" w:hAnsi="Times New Roman"/>
          <w:sz w:val="20"/>
        </w:rPr>
        <w:t>: Degree awards, honor certificates, and course completion diplomas.</w:t>
      </w:r>
    </w:p>
    <w:p>
      <w:pPr>
        <w:spacing w:before="20" w:after="40"/>
        <w:ind w:left="360"/>
      </w:pPr>
      <w:r>
        <w:rPr>
          <w:rFonts w:ascii="Times New Roman" w:hAnsi="Times New Roman"/>
          <w:b/>
          <w:sz w:val="20"/>
        </w:rPr>
        <w:t xml:space="preserve">2. </w:t>
      </w:r>
      <w:r>
        <w:rPr>
          <w:rFonts w:ascii="Times New Roman" w:hAnsi="Times New Roman"/>
          <w:b/>
          <w:sz w:val="20"/>
        </w:rPr>
        <w:t>Academic Marksheets</w:t>
      </w:r>
      <w:r>
        <w:rPr>
          <w:rFonts w:ascii="Times New Roman" w:hAnsi="Times New Roman"/>
          <w:sz w:val="20"/>
        </w:rPr>
        <w:t>: Semester grade reports featuring multi-column subject arrays (Course Code, Subject Name, Credits, Grade Point, Letter Grade, SGPA/CGPA).</w:t>
      </w:r>
    </w:p>
    <w:p>
      <w:pPr>
        <w:spacing w:before="20" w:after="40"/>
        <w:ind w:left="360"/>
      </w:pPr>
      <w:r>
        <w:rPr>
          <w:rFonts w:ascii="Times New Roman" w:hAnsi="Times New Roman"/>
          <w:b/>
          <w:sz w:val="20"/>
        </w:rPr>
        <w:t xml:space="preserve">3. </w:t>
      </w:r>
      <w:r>
        <w:rPr>
          <w:rFonts w:ascii="Times New Roman" w:hAnsi="Times New Roman"/>
          <w:b/>
          <w:sz w:val="20"/>
        </w:rPr>
        <w:t>Student ID Cards</w:t>
      </w:r>
      <w:r>
        <w:rPr>
          <w:rFonts w:ascii="Times New Roman" w:hAnsi="Times New Roman"/>
          <w:sz w:val="20"/>
        </w:rPr>
        <w:t>: Institutional identity cards containing student photographs, enrollment numbers, program titles, and issuing authority signatures.</w:t>
      </w:r>
    </w:p>
    <w:p>
      <w:pPr>
        <w:keepNext/>
        <w:spacing w:before="200" w:after="80"/>
      </w:pPr>
      <w:r>
        <w:rPr>
          <w:rFonts w:ascii="Times New Roman" w:hAnsi="Times New Roman"/>
          <w:b/>
          <w:color w:val="333333"/>
          <w:sz w:val="23"/>
        </w:rPr>
        <w:t>4.3 Optical Degradation Pipeline</w:t>
      </w:r>
    </w:p>
    <w:p>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w:t>
      </w:r>
    </w:p>
    <w:p>
      <w:pPr>
        <w:spacing w:before="0" w:after="0"/>
        <w:jc w:val="center"/>
      </w:pPr>
      <m:oMathPara>
        <m:oMath>
          <m:sSub>
            <m:e>
              <m:r>
                <w:rPr>
                  <w:rFonts w:ascii="Cambria Math" w:hAnsi="Cambria Math"/>
                </w:rPr>
                <m:t>I</m:t>
              </m:r>
            </m:e>
            <m:sub>
              <m:r>
                <w:rPr>
                  <w:rFonts w:ascii="Times New Roman" w:hAnsi="Times New Roman"/>
                  <w:i w:val="0"/>
                </w:rPr>
                <m:t>degraded</m:t>
              </m:r>
            </m:sub>
          </m:sSub>
          <m:r>
            <w:rPr>
              <w:rFonts w:ascii="Cambria Math" w:hAnsi="Cambria Math"/>
            </w:rPr>
            <m:t>=</m:t>
          </m:r>
          <m:sSub>
            <m:e>
              <m:r>
                <w:rPr>
                  <w:rFonts w:ascii="Cambria Math" w:hAnsi="Cambria Math"/>
                </w:rPr>
                <m:t>D</m:t>
              </m:r>
            </m:e>
            <m:sub>
              <m:r>
                <w:rPr>
                  <w:rFonts w:ascii="Times New Roman" w:hAnsi="Times New Roman"/>
                  <w:i w:val="0"/>
                </w:rPr>
                <m:t>rotation</m:t>
              </m:r>
            </m:sub>
          </m:sSub>
          <m:r>
            <w:rPr>
              <w:rFonts w:ascii="Cambria Math" w:hAnsi="Cambria Math"/>
            </w:rPr>
            <m:t>∘</m:t>
          </m:r>
          <m:sSub>
            <m:e>
              <m:r>
                <w:rPr>
                  <w:rFonts w:ascii="Cambria Math" w:hAnsi="Cambria Math"/>
                </w:rPr>
                <m:t>D</m:t>
              </m:r>
            </m:e>
            <m:sub>
              <m:r>
                <w:rPr>
                  <w:rFonts w:ascii="Times New Roman" w:hAnsi="Times New Roman"/>
                  <w:i w:val="0"/>
                </w:rPr>
                <m:t>contrast</m:t>
              </m:r>
            </m:sub>
          </m:sSub>
          <m:r>
            <w:rPr>
              <w:rFonts w:ascii="Cambria Math" w:hAnsi="Cambria Math"/>
            </w:rPr>
            <m:t>∘</m:t>
          </m:r>
          <m:sSub>
            <m:e>
              <m:r>
                <w:rPr>
                  <w:rFonts w:ascii="Cambria Math" w:hAnsi="Cambria Math"/>
                </w:rPr>
                <m:t>D</m:t>
              </m:r>
            </m:e>
            <m:sub>
              <m:r>
                <w:rPr>
                  <w:rFonts w:ascii="Times New Roman" w:hAnsi="Times New Roman"/>
                  <w:i w:val="0"/>
                </w:rPr>
                <m:t>gaussian</m:t>
              </m:r>
            </m:sub>
          </m:sSub>
          <m:r>
            <w:rPr>
              <w:rFonts w:ascii="Cambria Math" w:hAnsi="Cambria Math"/>
            </w:rPr>
            <m:t>∘</m:t>
          </m:r>
          <m:sSub>
            <m:e>
              <m:r>
                <w:rPr>
                  <w:rFonts w:ascii="Cambria Math" w:hAnsi="Cambria Math"/>
                </w:rPr>
                <m:t>D</m:t>
              </m:r>
            </m:e>
            <m:sub>
              <m:r>
                <w:rPr>
                  <w:rFonts w:ascii="Times New Roman" w:hAnsi="Times New Roman"/>
                  <w:i w:val="0"/>
                </w:rPr>
                <m:t>blur</m:t>
              </m:r>
            </m:sub>
          </m:sSub>
          <m:r>
            <w:rPr>
              <w:rFonts w:ascii="Cambria Math" w:hAnsi="Cambria Math"/>
            </w:rPr>
            <m:t>(</m:t>
          </m:r>
          <m:sSub>
            <m:e>
              <m:r>
                <w:rPr>
                  <w:rFonts w:ascii="Cambria Math" w:hAnsi="Cambria Math"/>
                </w:rPr>
                <m:t>I</m:t>
              </m:r>
            </m:e>
            <m:sub>
              <m:r>
                <w:rPr>
                  <w:rFonts w:ascii="Times New Roman" w:hAnsi="Times New Roman"/>
                  <w:i w:val="0"/>
                </w:rPr>
                <m:t>clean</m:t>
              </m:r>
            </m:sub>
          </m:sSub>
          <m:r>
            <w:rPr>
              <w:rFonts w:ascii="Cambria Math" w:hAnsi="Cambria Math"/>
            </w:rPr>
            <m:t>)</m:t>
          </m:r>
        </m:oMath>
      </m:oMathPara>
    </w:p>
    <w:p>
      <w:pPr>
        <w:spacing w:before="40" w:after="80" w:line="276" w:lineRule="auto"/>
      </w:pPr>
      <w:r>
        <w:rPr>
          <w:rFonts w:ascii="Times New Roman" w:hAnsi="Times New Roman"/>
          <w:sz w:val="20"/>
        </w:rPr>
        <w:t>Four standard quality profiles are instantiated in AU_DIC_Benchmark_v1.0:</w:t>
      </w:r>
    </w:p>
    <w:p>
      <w:pPr>
        <w:pStyle w:val="ListBullet"/>
        <w:spacing w:before="20" w:after="40"/>
      </w:pPr>
      <w:r>
        <w:rPr>
          <w:rFonts w:ascii="Times New Roman" w:hAnsi="Times New Roman"/>
          <w:b/>
          <w:sz w:val="20"/>
        </w:rPr>
        <w:t>clean</w:t>
      </w:r>
      <w:r>
        <w:rPr>
          <w:rFonts w:ascii="Times New Roman" w:hAnsi="Times New Roman"/>
          <w:sz w:val="20"/>
        </w:rPr>
        <w:t>: Pristine vector-rendered digital PDF exports (0% degradation).</w:t>
      </w:r>
    </w:p>
    <w:p>
      <w:pPr>
        <w:pStyle w:val="ListBullet"/>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pPr>
        <w:pStyle w:val="ListBullet"/>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pPr>
        <w:pStyle w:val="ListBullet"/>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5. AU DIC Evaluation Subsystem &amp; Semantic Normalization Layer</w:t>
      </w:r>
    </w:p>
    <w:p>
      <w:pPr>
        <w:keepNext/>
        <w:spacing w:before="200" w:after="80"/>
      </w:pPr>
      <w:r>
        <w:rPr>
          <w:rFonts w:ascii="Times New Roman" w:hAnsi="Times New Roman"/>
          <w:b/>
          <w:color w:val="333333"/>
          <w:sz w:val="23"/>
        </w:rPr>
        <w:t>5.1 Decoupled Read-Only Execution Engine</w:t>
      </w:r>
    </w:p>
    <w:p>
      <w:pPr>
        <w:spacing w:before="40" w:after="80" w:line="276" w:lineRule="auto"/>
      </w:pPr>
      <w:r>
        <w:rPr>
          <w:rFonts w:ascii="Times New Roman" w:hAnsi="Times New Roman"/>
          <w:sz w:val="20"/>
        </w:rPr>
        <w:t>The benchmark runner (BenchmarkRunner) operates strictly in read-only mode (isReadOnly: true). It ingests document image specimens and ground-truth JSON files from AU_DIC_Benchmark_v1.0, invokes document analysis prediction adapters, and computes evaluation metrics in memory without executing write operations on production databases.</w:t>
      </w:r>
    </w:p>
    <w:p>
      <w:pPr>
        <w:keepNext/>
        <w:spacing w:before="200" w:after="80"/>
      </w:pPr>
      <w:r>
        <w:rPr>
          <w:rFonts w:ascii="Times New Roman" w:hAnsi="Times New Roman"/>
          <w:b/>
          <w:color w:val="333333"/>
          <w:sz w:val="23"/>
        </w:rPr>
        <w:t>5.2 Six-Stage Semantic Canonical Normalization Layer</w:t>
      </w:r>
    </w:p>
    <w:p>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To isolate genuine recognition failures, the framework routes predicted and expected string values through a six-stage semantic normalizer (CanonicalNormalizer):</w:t>
      </w:r>
    </w:p>
    <w:p>
      <w:pPr>
        <w:spacing w:before="20" w:after="40"/>
        <w:ind w:left="360"/>
      </w:pPr>
      <w:r>
        <w:rPr>
          <w:rFonts w:ascii="Times New Roman" w:hAnsi="Times New Roman"/>
          <w:b/>
          <w:sz w:val="20"/>
        </w:rPr>
        <w:t xml:space="preserve">1. </w:t>
      </w:r>
      <w:r>
        <w:rPr>
          <w:rFonts w:ascii="Times New Roman" w:hAnsi="Times New Roman"/>
          <w:b/>
          <w:sz w:val="20"/>
        </w:rPr>
        <w:t>Stage 1: Case &amp; Whitespace Normalization</w:t>
      </w:r>
      <w:r>
        <w:rPr>
          <w:rFonts w:ascii="Times New Roman" w:hAnsi="Times New Roman"/>
          <w:sz w:val="20"/>
        </w:rPr>
        <w:t>: Converts characters to lower-case, trims leading/trailing whitespace, and collapses multiple internal space characters into single spaces.</w:t>
      </w:r>
    </w:p>
    <w:p>
      <w:pPr>
        <w:spacing w:before="20" w:after="40"/>
        <w:ind w:left="360"/>
      </w:pPr>
      <w:r>
        <w:rPr>
          <w:rFonts w:ascii="Times New Roman" w:hAnsi="Times New Roman"/>
          <w:b/>
          <w:sz w:val="20"/>
        </w:rPr>
        <w:t xml:space="preserve">2. </w:t>
      </w:r>
      <w:r>
        <w:rPr>
          <w:rFonts w:ascii="Times New Roman" w:hAnsi="Times New Roman"/>
          <w:b/>
          <w:sz w:val="20"/>
        </w:rPr>
        <w:t>Stage 2: ISO Date Canonicalization</w:t>
      </w:r>
      <w:r>
        <w:rPr>
          <w:rFonts w:ascii="Times New Roman" w:hAnsi="Times New Roman"/>
          <w:sz w:val="20"/>
        </w:rPr>
        <w:t>: Standardizes diverse date formats (04/08/2026, August 4, 2026, 2026.08.04) into ISO-8601 string representations (YYYY-MM-DD).</w:t>
      </w:r>
    </w:p>
    <w:p>
      <w:pPr>
        <w:spacing w:before="20" w:after="40"/>
        <w:ind w:left="360"/>
      </w:pPr>
      <w:r>
        <w:rPr>
          <w:rFonts w:ascii="Times New Roman" w:hAnsi="Times New Roman"/>
          <w:b/>
          <w:sz w:val="20"/>
        </w:rPr>
        <w:t xml:space="preserve">3. </w:t>
      </w:r>
      <w:r>
        <w:rPr>
          <w:rFonts w:ascii="Times New Roman" w:hAnsi="Times New Roman"/>
          <w:b/>
          <w:sz w:val="20"/>
        </w:rPr>
        <w:t>Stage 3: Identifier Canonicalization</w:t>
      </w:r>
      <w:r>
        <w:rPr>
          <w:rFonts w:ascii="Times New Roman" w:hAnsi="Times New Roman"/>
          <w:sz w:val="20"/>
        </w:rPr>
        <w:t>: Strips non-alphanumeric separator characters (hyphens, slashes, spaces) from candidate roll numbers and registration IDs.</w:t>
      </w:r>
    </w:p>
    <w:p>
      <w:pPr>
        <w:spacing w:before="20" w:after="40"/>
        <w:ind w:left="360"/>
      </w:pPr>
      <w:r>
        <w:rPr>
          <w:rFonts w:ascii="Times New Roman" w:hAnsi="Times New Roman"/>
          <w:b/>
          <w:sz w:val="20"/>
        </w:rPr>
        <w:t xml:space="preserve">4. </w:t>
      </w:r>
      <w:r>
        <w:rPr>
          <w:rFonts w:ascii="Times New Roman" w:hAnsi="Times New Roman"/>
          <w:b/>
          <w:sz w:val="20"/>
        </w:rPr>
        <w:t>Stage 4: Numerical Precision Standardizer</w:t>
      </w:r>
      <w:r>
        <w:rPr>
          <w:rFonts w:ascii="Times New Roman" w:hAnsi="Times New Roman"/>
          <w:sz w:val="20"/>
        </w:rPr>
        <w:t>: Parses floating-point marks, SGPA/CGPA values, and percentages, formatting numeric values to fixed two-decimal precision.</w:t>
      </w:r>
    </w:p>
    <w:p>
      <w:pPr>
        <w:spacing w:before="20" w:after="40"/>
        <w:ind w:left="360"/>
      </w:pPr>
      <w:r>
        <w:rPr>
          <w:rFonts w:ascii="Times New Roman" w:hAnsi="Times New Roman"/>
          <w:b/>
          <w:sz w:val="20"/>
        </w:rPr>
        <w:t xml:space="preserve">5. </w:t>
      </w:r>
      <w:r>
        <w:rPr>
          <w:rFonts w:ascii="Times New Roman" w:hAnsi="Times New Roman"/>
          <w:b/>
          <w:sz w:val="20"/>
        </w:rPr>
        <w:t>Stage 5: Institutional Alias Mapping</w:t>
      </w:r>
      <w:r>
        <w:rPr>
          <w:rFonts w:ascii="Times New Roman" w:hAnsi="Times New Roman"/>
          <w:sz w:val="20"/>
        </w:rPr>
        <w:t xml:space="preserve">: Maps common university name abbreviations (e.g., MIT </w:t>
      </w:r>
      <m:oMath>
        <m:r>
          <w:rPr>
            <w:rFonts w:ascii="Cambria Math" w:hAnsi="Cambria Math"/>
          </w:rPr>
          <m:t>→</m:t>
        </m:r>
      </m:oMath>
      <w:r>
        <w:rPr>
          <w:rFonts w:ascii="Times New Roman" w:hAnsi="Times New Roman"/>
          <w:sz w:val="20"/>
        </w:rPr>
        <w:t xml:space="preserve"> Massachusetts Institute of Technology) using an institutional lexicon directory.</w:t>
      </w:r>
    </w:p>
    <w:p>
      <w:pPr>
        <w:spacing w:before="20" w:after="40"/>
        <w:ind w:left="360"/>
      </w:pPr>
      <w:r>
        <w:rPr>
          <w:rFonts w:ascii="Times New Roman" w:hAnsi="Times New Roman"/>
          <w:b/>
          <w:sz w:val="20"/>
        </w:rPr>
        <w:t xml:space="preserve">6. </w:t>
      </w:r>
      <w:r>
        <w:rPr>
          <w:rFonts w:ascii="Times New Roman" w:hAnsi="Times New Roman"/>
          <w:b/>
          <w:sz w:val="20"/>
        </w:rPr>
        <w:t>Stage 6: Canonical Honorific Removal</w:t>
      </w:r>
      <w:r>
        <w:rPr>
          <w:rFonts w:ascii="Times New Roman" w:hAnsi="Times New Roman"/>
          <w:sz w:val="20"/>
        </w:rPr>
        <w:t>: Removes standard honorific prefixes (Mr., Ms., Dr., Prof.) prior to candidate name comparison.</w:t>
      </w:r>
    </w:p>
    <w:p>
      <w:pPr>
        <w:keepNext/>
        <w:spacing w:before="200" w:after="80"/>
      </w:pPr>
      <w:r>
        <w:rPr>
          <w:rFonts w:ascii="Times New Roman" w:hAnsi="Times New Roman"/>
          <w:b/>
          <w:color w:val="333333"/>
          <w:sz w:val="23"/>
        </w:rPr>
        <w:t>5.3 Nine-Class Structured OCR Error Taxonomy</w:t>
      </w:r>
    </w:p>
    <w:p>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w:t>
      </w:r>
    </w:p>
    <w:p>
      <w:pPr>
        <w:spacing w:before="0" w:after="0"/>
        <w:jc w:val="center"/>
      </w:pPr>
      <m:oMathPara>
        <m:oMath>
          <m:r>
            <w:rPr>
              <w:rFonts w:ascii="Cambria Math" w:hAnsi="Cambria Math"/>
            </w:rPr>
            <m:t>E</m:t>
          </m:r>
          <m:r>
            <w:rPr>
              <w:rFonts w:ascii="Cambria Math" w:hAnsi="Cambria Math"/>
            </w:rPr>
            <m:t>r</m:t>
          </m:r>
          <m:r>
            <w:rPr>
              <w:rFonts w:ascii="Cambria Math" w:hAnsi="Cambria Math"/>
            </w:rPr>
            <m:t>r</m:t>
          </m:r>
          <m:r>
            <w:rPr>
              <w:rFonts w:ascii="Cambria Math" w:hAnsi="Cambria Math"/>
            </w:rPr>
            <m:t>o</m:t>
          </m:r>
          <m:r>
            <w:rPr>
              <w:rFonts w:ascii="Cambria Math" w:hAnsi="Cambria Math"/>
            </w:rPr>
            <m:t>r</m:t>
          </m:r>
          <m:r>
            <w:rPr>
              <w:rFonts w:ascii="Cambria Math" w:hAnsi="Cambria Math"/>
            </w:rPr>
            <m:t>C</m:t>
          </m:r>
          <m:r>
            <w:rPr>
              <w:rFonts w:ascii="Cambria Math" w:hAnsi="Cambria Math"/>
            </w:rPr>
            <m:t>a</m:t>
          </m:r>
          <m:r>
            <w:rPr>
              <w:rFonts w:ascii="Cambria Math" w:hAnsi="Cambria Math"/>
            </w:rPr>
            <m:t>t</m:t>
          </m:r>
          <m:r>
            <w:rPr>
              <w:rFonts w:ascii="Cambria Math" w:hAnsi="Cambria Math"/>
            </w:rPr>
            <m:t>e</m:t>
          </m:r>
          <m:r>
            <w:rPr>
              <w:rFonts w:ascii="Cambria Math" w:hAnsi="Cambria Math"/>
            </w:rPr>
            <m:t>g</m:t>
          </m:r>
          <m:r>
            <w:rPr>
              <w:rFonts w:ascii="Cambria Math" w:hAnsi="Cambria Math"/>
            </w:rPr>
            <m:t>o</m:t>
          </m:r>
          <m:r>
            <w:rPr>
              <w:rFonts w:ascii="Cambria Math" w:hAnsi="Cambria Math"/>
            </w:rPr>
            <m:t>r</m:t>
          </m:r>
          <m:r>
            <w:rPr>
              <w:rFonts w:ascii="Cambria Math" w:hAnsi="Cambria Math"/>
            </w:rPr>
            <m:t>y</m:t>
          </m:r>
          <m:r>
            <w:rPr>
              <w:rFonts w:ascii="Cambria Math" w:hAnsi="Cambria Math"/>
            </w:rPr>
            <m:t>∈</m:t>
          </m:r>
          <m:r>
            <w:rPr>
              <w:rFonts w:ascii="Cambria Math" w:hAnsi="Cambria Math"/>
            </w:rPr>
            <m:t>{</m:t>
          </m:r>
          <m:r>
            <w:rPr>
              <w:rFonts w:ascii="Times New Roman" w:hAnsi="Times New Roman"/>
              <w:i w:val="0"/>
            </w:rPr>
            <m:t>OCR\_ERROR</m:t>
          </m:r>
          <m:r>
            <w:rPr>
              <w:rFonts w:ascii="Cambria Math" w:hAnsi="Cambria Math"/>
            </w:rPr>
            <m:t>,</m:t>
          </m:r>
          <m:r>
            <w:rPr>
              <w:rFonts w:ascii="Times New Roman" w:hAnsi="Times New Roman"/>
              <w:i w:val="0"/>
            </w:rPr>
            <m:t>FIELD\_MISSING</m:t>
          </m:r>
          <m:r>
            <w:rPr>
              <w:rFonts w:ascii="Cambria Math" w:hAnsi="Cambria Math"/>
            </w:rPr>
            <m:t>,</m:t>
          </m:r>
          <m:r>
            <w:rPr>
              <w:rFonts w:ascii="Times New Roman" w:hAnsi="Times New Roman"/>
              <w:i w:val="0"/>
            </w:rPr>
            <m:t>HALLUCINATION</m:t>
          </m:r>
          <m:r>
            <w:rPr>
              <w:rFonts w:ascii="Cambria Math" w:hAnsi="Cambria Math"/>
            </w:rPr>
            <m:t>,</m:t>
          </m:r>
          <m:r>
            <w:rPr>
              <w:rFonts w:ascii="Times New Roman" w:hAnsi="Times New Roman"/>
              <w:i w:val="0"/>
            </w:rPr>
            <m:t>FORMAT\_ERROR</m:t>
          </m:r>
          <m:r>
            <w:rPr>
              <w:rFonts w:ascii="Cambria Math" w:hAnsi="Cambria Math"/>
            </w:rPr>
            <m:t>,</m:t>
          </m:r>
          <m:r>
            <w:rPr>
              <w:rFonts w:ascii="Times New Roman" w:hAnsi="Times New Roman"/>
              <w:i w:val="0"/>
            </w:rPr>
            <m:t>NORMALIZATION\_ERROR</m:t>
          </m:r>
          <m:r>
            <w:rPr>
              <w:rFonts w:ascii="Cambria Math" w:hAnsi="Cambria Math"/>
            </w:rPr>
            <m:t>,</m:t>
          </m:r>
          <m:r>
            <w:rPr>
              <w:rFonts w:ascii="Times New Roman" w:hAnsi="Times New Roman"/>
              <w:i w:val="0"/>
            </w:rPr>
            <m:t>PARTIAL\_MATCH</m:t>
          </m:r>
          <m:r>
            <w:rPr>
              <w:rFonts w:ascii="Cambria Math" w:hAnsi="Cambria Math"/>
            </w:rPr>
            <m:t>,</m:t>
          </m:r>
          <m:r>
            <w:rPr>
              <w:rFonts w:ascii="Times New Roman" w:hAnsi="Times New Roman"/>
              <w:i w:val="0"/>
            </w:rPr>
            <m:t>LOW\_CONFIDENCE</m:t>
          </m:r>
          <m:r>
            <w:rPr>
              <w:rFonts w:ascii="Cambria Math" w:hAnsi="Cambria Math"/>
            </w:rPr>
            <m:t>,</m:t>
          </m:r>
          <m:r>
            <w:rPr>
              <w:rFonts w:ascii="Times New Roman" w:hAnsi="Times New Roman"/>
              <w:i w:val="0"/>
            </w:rPr>
            <m:t>CATEGORY\_ERROR</m:t>
          </m:r>
          <m:r>
            <w:rPr>
              <w:rFonts w:ascii="Cambria Math" w:hAnsi="Cambria Math"/>
            </w:rPr>
            <m:t>,</m:t>
          </m:r>
          <m:r>
            <w:rPr>
              <w:rFonts w:ascii="Times New Roman" w:hAnsi="Times New Roman"/>
              <w:i w:val="0"/>
            </w:rPr>
            <m:t>EXACT\_MATCH</m:t>
          </m:r>
          <m:r>
            <w:rPr>
              <w:rFonts w:ascii="Cambria Math" w:hAnsi="Cambria Math"/>
            </w:rPr>
            <m:t>}</m:t>
          </m:r>
        </m:oMath>
      </m:oMathPara>
    </w:p>
    <w:p>
      <w:pPr>
        <w:keepNext/>
        <w:spacing w:before="160" w:after="40"/>
      </w:pPr>
      <w:r>
        <w:rPr>
          <w:rFonts w:ascii="Times New Roman" w:hAnsi="Times New Roman"/>
          <w:b/>
          <w:i/>
          <w:sz w:val="21"/>
        </w:rPr>
        <w:t>5.3.1 Scientific Definition and Justification of NORMALIZATION_ERROR</w:t>
      </w:r>
    </w:p>
    <w:p>
      <w:pPr>
        <w:spacing w:before="40" w:after="80" w:line="276" w:lineRule="auto"/>
      </w:pPr>
      <w:r>
        <w:rPr>
          <w:rFonts w:ascii="Times New Roman" w:hAnsi="Times New Roman"/>
          <w:sz w:val="20"/>
        </w:rPr>
        <w:t xml:space="preserve">A potential ambiguity in field comparison is distinguishing superficial representation differences from true recognition errors. Specifically, an external reviewer may ask: </w:t>
      </w:r>
      <w:r>
        <w:rPr>
          <w:rFonts w:ascii="Times New Roman" w:hAnsi="Times New Roman"/>
          <w:i/>
          <w:sz w:val="20"/>
        </w:rPr>
        <w:t>"If candidate values still differ after normalization, why is a separate error category necessary instead of treating the mismatch as a generic field failure?"</w:t>
      </w:r>
    </w:p>
    <w:p>
      <w:pPr>
        <w:spacing w:before="40" w:after="80" w:line="276" w:lineRule="auto"/>
      </w:pPr>
      <w:r>
        <w:rPr>
          <w:rFonts w:ascii="Times New Roman" w:hAnsi="Times New Roman"/>
          <w:sz w:val="20"/>
        </w:rPr>
        <w:t xml:space="preserve">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pPr>
        <w:spacing w:before="20" w:after="40"/>
        <w:ind w:left="360"/>
      </w:pPr>
      <w:r>
        <w:rPr>
          <w:rFonts w:ascii="Times New Roman" w:hAnsi="Times New Roman"/>
          <w:b/>
          <w:sz w:val="20"/>
        </w:rPr>
        <w:t xml:space="preserve">1. </w:t>
      </w:r>
      <w:r>
        <w:rPr>
          <w:rFonts w:ascii="Times New Roman" w:hAnsi="Times New Roman"/>
          <w:b/>
          <w:sz w:val="20"/>
        </w:rPr>
        <w:t>Pipeline Traversal</w:t>
      </w:r>
      <w:r>
        <w:rPr>
          <w:rFonts w:ascii="Times New Roman" w:hAnsi="Times New Roman"/>
          <w:sz w:val="20"/>
        </w:rPr>
        <w:t>: The candidate field has successfully passed through the complete six-stage semantic normalization layer (CanonicalNormalizer).</w:t>
      </w:r>
    </w:p>
    <w:p>
      <w:pPr>
        <w:spacing w:before="20" w:after="40"/>
        <w:ind w:left="360"/>
      </w:pPr>
      <w:r>
        <w:rPr>
          <w:rFonts w:ascii="Times New Roman" w:hAnsi="Times New Roman"/>
          <w:b/>
          <w:sz w:val="20"/>
        </w:rPr>
        <w:t xml:space="preserve">2. </w:t>
      </w:r>
      <w:r>
        <w:rPr>
          <w:rFonts w:ascii="Times New Roman" w:hAnsi="Times New Roman"/>
          <w:b/>
          <w:sz w:val="20"/>
        </w:rPr>
        <w:t>Valid Canonical Representations</w:t>
      </w:r>
      <w:r>
        <w:rPr>
          <w:rFonts w:ascii="Times New Roman" w:hAnsi="Times New Roman"/>
          <w:sz w:val="20"/>
        </w:rPr>
        <w:t>: Both Ground Truth (</w:t>
      </w:r>
      <m:oMath>
        <m:sSub>
          <m:e>
            <m:r>
              <w:rPr>
                <w:rFonts w:ascii="Cambria Math" w:hAnsi="Cambria Math"/>
              </w:rPr>
              <m:t>V</m:t>
            </m:r>
          </m:e>
          <m:sub>
            <m:r>
              <w:rPr>
                <w:rFonts w:ascii="Times New Roman" w:hAnsi="Times New Roman"/>
                <w:i w:val="0"/>
              </w:rPr>
              <m:t>GT</m:t>
            </m:r>
          </m:sub>
        </m:sSub>
      </m:oMath>
      <w:r>
        <w:rPr>
          <w:rFonts w:ascii="Times New Roman" w:hAnsi="Times New Roman"/>
          <w:sz w:val="20"/>
        </w:rPr>
        <w:t>) and Prediction (</w:t>
      </w:r>
      <m:oMath>
        <m:acc>
          <m:accPr>
            <m:chr m:val="̂"/>
          </m:accPr>
          <m:e>
            <m:r>
              <w:rPr>
                <w:rFonts w:ascii="Cambria Math" w:hAnsi="Cambria Math"/>
              </w:rPr>
              <m:t>V</m:t>
            </m:r>
          </m:e>
        </m:acc>
      </m:oMath>
      <w:r>
        <w:rPr>
          <w:rFonts w:ascii="Times New Roman" w:hAnsi="Times New Roman"/>
          <w:sz w:val="20"/>
        </w:rPr>
        <w:t>) possess valid, parseable canonical representations.</w:t>
      </w:r>
    </w:p>
    <w:p>
      <w:pPr>
        <w:spacing w:before="20" w:after="40"/>
        <w:ind w:left="360"/>
      </w:pPr>
      <w:r>
        <w:rPr>
          <w:rFonts w:ascii="Times New Roman" w:hAnsi="Times New Roman"/>
          <w:b/>
          <w:sz w:val="20"/>
        </w:rPr>
        <w:t xml:space="preserve">3. </w:t>
      </w:r>
      <w:r>
        <w:rPr>
          <w:rFonts w:ascii="Times New Roman" w:hAnsi="Times New Roman"/>
          <w:b/>
          <w:sz w:val="20"/>
        </w:rPr>
        <w:t>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pPr>
        <w:spacing w:before="20" w:after="40"/>
        <w:ind w:left="360"/>
      </w:pPr>
      <w:r>
        <w:rPr>
          <w:rFonts w:ascii="Times New Roman" w:hAnsi="Times New Roman"/>
          <w:b/>
          <w:sz w:val="20"/>
        </w:rPr>
        <w:t xml:space="preserve">4. </w:t>
      </w:r>
      <w:r>
        <w:rPr>
          <w:rFonts w:ascii="Times New Roman" w:hAnsi="Times New Roman"/>
          <w:b/>
          <w:sz w:val="20"/>
        </w:rPr>
        <w:t>Canonical Discrepancy</w:t>
      </w:r>
      <w:r>
        <w:rPr>
          <w:rFonts w:ascii="Times New Roman" w:hAnsi="Times New Roman"/>
          <w:sz w:val="20"/>
        </w:rPr>
        <w:t>: The canonical representations remain strictly unequal (</w:t>
      </w:r>
      <m:oMath>
        <m:r>
          <w:rPr>
            <w:rFonts w:ascii="Cambria Math" w:hAnsi="Cambria Math"/>
          </w:rPr>
          <m:t>C</m:t>
        </m:r>
        <m:r>
          <w:rPr>
            <w:rFonts w:ascii="Cambria Math" w:hAnsi="Cambria Math"/>
          </w:rPr>
          <m:t>(</m:t>
        </m:r>
        <m:sSub>
          <m:e>
            <m:r>
              <w:rPr>
                <w:rFonts w:ascii="Cambria Math" w:hAnsi="Cambria Math"/>
              </w:rPr>
              <m:t>V</m:t>
            </m:r>
          </m:e>
          <m:sub>
            <m:r>
              <w:rPr>
                <w:rFonts w:ascii="Times New Roman" w:hAnsi="Times New Roman"/>
                <w:i w:val="0"/>
              </w:rPr>
              <m:t>GT</m:t>
            </m:r>
          </m:sub>
        </m:sSub>
        <m:r>
          <w:rPr>
            <w:rFonts w:ascii="Cambria Math" w:hAnsi="Cambria Math"/>
          </w:rPr>
          <m:t>)</m:t>
        </m:r>
        <m:r>
          <w:rPr>
            <w:rFonts w:ascii="Cambria Math" w:hAnsi="Cambria Math"/>
          </w:rPr>
          <m:t>≠</m:t>
        </m:r>
        <m:r>
          <w:rPr>
            <w:rFonts w:ascii="Cambria Math" w:hAnsi="Cambria Math"/>
          </w:rPr>
          <m:t>C</m:t>
        </m:r>
        <m:r>
          <w:rPr>
            <w:rFonts w:ascii="Cambria Math" w:hAnsi="Cambria Math"/>
          </w:rPr>
          <m:t>(</m:t>
        </m:r>
        <m:acc>
          <m:accPr>
            <m:chr m:val="̂"/>
          </m:accPr>
          <m:e>
            <m:r>
              <w:rPr>
                <w:rFonts w:ascii="Cambria Math" w:hAnsi="Cambria Math"/>
              </w:rPr>
              <m:t>V</m:t>
            </m:r>
          </m:e>
        </m:acc>
        <m:r>
          <w:rPr>
            <w:rFonts w:ascii="Cambria Math" w:hAnsi="Cambria Math"/>
          </w:rPr>
          <m:t>)</m:t>
        </m:r>
      </m:oMath>
      <w:r>
        <w:rPr>
          <w:rFonts w:ascii="Times New Roman" w:hAnsi="Times New Roman"/>
          <w:sz w:val="20"/>
        </w:rPr>
        <w:t>).</w:t>
      </w:r>
    </w:p>
    <w:p>
      <w:pPr>
        <w:spacing w:before="20" w:after="40"/>
        <w:ind w:left="360"/>
      </w:pPr>
      <w:r>
        <w:rPr>
          <w:rFonts w:ascii="Times New Roman" w:hAnsi="Times New Roman"/>
          <w:b/>
          <w:sz w:val="20"/>
        </w:rPr>
        <w:t xml:space="preserve">5. </w:t>
      </w:r>
      <w:r>
        <w:rPr>
          <w:rFonts w:ascii="Times New Roman" w:hAnsi="Times New Roman"/>
          <w:b/>
          <w:sz w:val="20"/>
        </w:rPr>
        <w:t>Genuine Semantic Mismatch</w:t>
      </w:r>
      <w:r>
        <w:rPr>
          <w:rFonts w:ascii="Times New Roman" w:hAnsi="Times New Roman"/>
          <w:sz w:val="20"/>
        </w:rPr>
        <w:t>: Consequently, the remaining discrepancy represents a genuine semantic character or value mismatch rather than a formatting variation.</w:t>
      </w:r>
    </w:p>
    <w:p>
      <w:pPr>
        <w:spacing w:before="40" w:after="80" w:line="276" w:lineRule="auto"/>
      </w:pPr>
      <w:r>
        <w:rPr>
          <w:rFonts w:ascii="Times New Roman" w:hAnsi="Times New Roman"/>
          <w:sz w:val="20"/>
        </w:rPr>
        <w:t>The purpose of NORMALIZATION_ERROR is to prevent semantic mismatches from being incorrectly attributed to superficial formatting variations. By evaluating only canonical representations, the benchmark distinguishes genuine information extraction failures from benign representation differences.</w:t>
      </w:r>
    </w:p>
    <w:p>
      <w:pPr>
        <w:keepNext/>
        <w:spacing w:before="160" w:after="40"/>
      </w:pPr>
      <w:r>
        <w:rPr>
          <w:rFonts w:ascii="Times New Roman" w:hAnsi="Times New Roman"/>
          <w:b/>
          <w:i/>
          <w:sz w:val="21"/>
        </w:rPr>
        <w:t>5.3.2 Canonical Comparison Workflow &amp; Non-Overlapping Taxonomy Boundaries</w:t>
      </w:r>
    </w:p>
    <w:p>
      <w:pPr>
        <w:spacing w:before="40" w:after="80" w:line="276" w:lineRule="auto"/>
      </w:pPr>
      <w:r>
        <w:rPr>
          <w:rFonts w:ascii="Times New Roman" w:hAnsi="Times New Roman"/>
          <w:sz w:val="20"/>
        </w:rPr>
        <w:t>To ensure taxonomic independence, each error class maintains a strict, non-overlapping responsibility:</w:t>
      </w:r>
    </w:p>
    <w:p>
      <w:pPr>
        <w:pStyle w:val="ListBullet"/>
        <w:spacing w:before="20" w:after="40"/>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pPr>
        <w:pStyle w:val="ListBullet"/>
        <w:spacing w:before="20" w:after="40"/>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pPr>
        <w:pStyle w:val="ListBullet"/>
        <w:spacing w:before="20" w:after="40"/>
      </w:pPr>
      <w:r>
        <w:rPr>
          <w:rFonts w:ascii="Times New Roman" w:hAnsi="Times New Roman"/>
          <w:b/>
          <w:sz w:val="20"/>
        </w:rPr>
        <w:t>NORMALIZATION_ERROR</w:t>
      </w:r>
      <w:r>
        <w:rPr>
          <w:rFonts w:ascii="Times New Roman" w:hAnsi="Times New Roman"/>
          <w:sz w:val="20"/>
        </w:rPr>
        <w:t>: Both values are normalized, but their canonical representations remain unequal (</w:t>
      </w:r>
      <m:oMath>
        <m:r>
          <w:rPr>
            <w:rFonts w:ascii="Cambria Math" w:hAnsi="Cambria Math"/>
          </w:rPr>
          <m:t>C</m:t>
        </m:r>
        <m:r>
          <w:rPr>
            <w:rFonts w:ascii="Cambria Math" w:hAnsi="Cambria Math"/>
          </w:rPr>
          <m:t>(</m:t>
        </m:r>
        <m:sSub>
          <m:e>
            <m:r>
              <w:rPr>
                <w:rFonts w:ascii="Cambria Math" w:hAnsi="Cambria Math"/>
              </w:rPr>
              <m:t>V</m:t>
            </m:r>
          </m:e>
          <m:sub>
            <m:r>
              <w:rPr>
                <w:rFonts w:ascii="Times New Roman" w:hAnsi="Times New Roman"/>
                <w:i w:val="0"/>
              </w:rPr>
              <m:t>GT</m:t>
            </m:r>
          </m:sub>
        </m:sSub>
        <m:r>
          <w:rPr>
            <w:rFonts w:ascii="Cambria Math" w:hAnsi="Cambria Math"/>
          </w:rPr>
          <m:t>)</m:t>
        </m:r>
        <m:r>
          <w:rPr>
            <w:rFonts w:ascii="Cambria Math" w:hAnsi="Cambria Math"/>
          </w:rPr>
          <m:t>≠</m:t>
        </m:r>
        <m:r>
          <w:rPr>
            <w:rFonts w:ascii="Cambria Math" w:hAnsi="Cambria Math"/>
          </w:rPr>
          <m:t>C</m:t>
        </m:r>
        <m:r>
          <w:rPr>
            <w:rFonts w:ascii="Cambria Math" w:hAnsi="Cambria Math"/>
          </w:rPr>
          <m:t>(</m:t>
        </m:r>
        <m:acc>
          <m:accPr>
            <m:chr m:val="̂"/>
          </m:accPr>
          <m:e>
            <m:r>
              <w:rPr>
                <w:rFonts w:ascii="Cambria Math" w:hAnsi="Cambria Math"/>
              </w:rPr>
              <m:t>V</m:t>
            </m:r>
          </m:e>
        </m:acc>
        <m:r>
          <w:rPr>
            <w:rFonts w:ascii="Cambria Math" w:hAnsi="Cambria Math"/>
          </w:rPr>
          <m:t>)</m:t>
        </m:r>
      </m:oMath>
      <w:r>
        <w:rPr>
          <w:rFonts w:ascii="Times New Roman" w:hAnsi="Times New Roman"/>
          <w:sz w:val="20"/>
        </w:rPr>
        <w:t>), confirming a true semantic extraction mismatch.</w:t>
      </w:r>
    </w:p>
    <w:p>
      <w:pPr>
        <w:pStyle w:val="ListBullet"/>
        <w:spacing w:before="20" w:after="40"/>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w:t>
      </w:r>
    </w:p>
    <w:p>
      <w:pPr>
        <w:pStyle w:val="ListBullet"/>
        <w:spacing w:before="20" w:after="40"/>
      </w:pPr>
      <w:r>
        <w:rPr>
          <w:rFonts w:ascii="Times New Roman" w:hAnsi="Times New Roman"/>
          <w:b/>
          <w:sz w:val="20"/>
        </w:rPr>
        <w:t>FIELD_MISSING</w:t>
      </w:r>
      <w:r>
        <w:rPr>
          <w:rFonts w:ascii="Times New Roman" w:hAnsi="Times New Roman"/>
          <w:sz w:val="20"/>
        </w:rPr>
        <w:t>: Target key entity is entirely absent from the model output JSON payload.</w:t>
      </w:r>
    </w:p>
    <w:p>
      <w:pPr>
        <w:pStyle w:val="ListBullet"/>
        <w:spacing w:before="20" w:after="40"/>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pPr>
        <w:spacing w:before="40" w:after="80" w:line="276" w:lineRule="auto"/>
      </w:pPr>
      <w:r>
        <w:rPr>
          <w:rFonts w:ascii="Times New Roman" w:hAnsi="Times New Roman"/>
          <w:sz w:val="20"/>
        </w:rPr>
        <w:t>Table 0.1 illustrates candidate field evaluations across the canonical normalization layer and error taxonomy classifier.</w:t>
      </w:r>
    </w:p>
    <w:p>
      <w:pPr>
        <w:keepNext/>
        <w:spacing w:before="160" w:after="80"/>
        <w:jc w:val="center"/>
      </w:pPr>
      <w:r>
        <w:rPr>
          <w:rFonts w:ascii="Times New Roman" w:hAnsi="Times New Roman"/>
          <w:b/>
          <w:color w:val="003366"/>
          <w:sz w:val="19"/>
        </w:rPr>
        <w:t>Table 0.1: Canonical Normalization Comparison Examples and Error Categorization</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2340"/>
        <w:gridCol w:w="2340"/>
        <w:gridCol w:w="2340"/>
        <w:gridCol w:w="2340"/>
      </w:tblGrid>
      <w:tr>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Ground Truth (</w:t>
            </w:r>
            <m:oMath>
              <m:sSub>
                <m:e>
                  <m:r>
                    <w:rPr>
                      <w:rFonts w:ascii="Cambria Math" w:hAnsi="Cambria Math"/>
                    </w:rPr>
                    <m:t>V</m:t>
                  </m:r>
                </m:e>
                <m:sub>
                  <m:r>
                    <w:rPr>
                      <w:rFonts w:ascii="Times New Roman" w:hAnsi="Times New Roman"/>
                      <w:i w:val="0"/>
                    </w:rPr>
                    <m:t>GT</m:t>
                  </m:r>
                </m:sub>
              </m:sSub>
            </m:oMath>
            <w:r>
              <w:rPr>
                <w:rFonts w:ascii="Times New Roman" w:hAnsi="Times New Roman"/>
                <w:b/>
                <w:color w:val="FFFFFF"/>
                <w:sz w:val="19"/>
              </w:rPr>
              <w: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Prediction (</w:t>
            </w:r>
            <m:oMath>
              <m:acc>
                <m:accPr>
                  <m:chr m:val="̂"/>
                </m:accPr>
                <m:e>
                  <m:r>
                    <w:rPr>
                      <w:rFonts w:ascii="Cambria Math" w:hAnsi="Cambria Math"/>
                    </w:rPr>
                    <m:t>V</m:t>
                  </m:r>
                </m:e>
              </m:acc>
            </m:oMath>
            <w:r>
              <w:rPr>
                <w:rFonts w:ascii="Times New Roman" w:hAnsi="Times New Roman"/>
                <w:b/>
                <w:color w:val="FFFFFF"/>
                <w:sz w:val="19"/>
              </w:rPr>
              <w: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After Canonical Normalizer (</w:t>
            </w:r>
            <m:oMath>
              <m:r>
                <w:rPr>
                  <w:rFonts w:ascii="Cambria Math" w:hAnsi="Cambria Math"/>
                </w:rPr>
                <m:t>C</m:t>
              </m:r>
              <m:r>
                <w:rPr>
                  <w:rFonts w:ascii="Cambria Math" w:hAnsi="Cambria Math"/>
                </w:rPr>
                <m:t>(</m:t>
              </m:r>
              <m:sSub>
                <m:e>
                  <m:r>
                    <w:rPr>
                      <w:rFonts w:ascii="Cambria Math" w:hAnsi="Cambria Math"/>
                    </w:rPr>
                    <m:t>V</m:t>
                  </m:r>
                </m:e>
                <m:sub>
                  <m:r>
                    <w:rPr>
                      <w:rFonts w:ascii="Times New Roman" w:hAnsi="Times New Roman"/>
                      <w:i w:val="0"/>
                    </w:rPr>
                    <m:t>GT</m:t>
                  </m:r>
                </m:sub>
              </m:sSub>
              <m:r>
                <w:rPr>
                  <w:rFonts w:ascii="Cambria Math" w:hAnsi="Cambria Math"/>
                </w:rPr>
                <m:t>)</m:t>
              </m:r>
              <m:r>
                <w:rPr>
                  <w:rFonts w:ascii="Times New Roman" w:hAnsi="Times New Roman"/>
                  <w:i w:val="0"/>
                </w:rPr>
                <m:t>vs</m:t>
              </m:r>
              <m:r>
                <w:rPr>
                  <w:rFonts w:ascii="Cambria Math" w:hAnsi="Cambria Math"/>
                </w:rPr>
                <m:t>C</m:t>
              </m:r>
              <m:r>
                <w:rPr>
                  <w:rFonts w:ascii="Cambria Math" w:hAnsi="Cambria Math"/>
                </w:rPr>
                <m:t>(</m:t>
              </m:r>
              <m:acc>
                <m:accPr>
                  <m:chr m:val="̂"/>
                </m:accPr>
                <m:e>
                  <m:r>
                    <w:rPr>
                      <w:rFonts w:ascii="Cambria Math" w:hAnsi="Cambria Math"/>
                    </w:rPr>
                    <m:t>V</m:t>
                  </m:r>
                </m:e>
              </m:acc>
              <m:r>
                <w:rPr>
                  <w:rFonts w:ascii="Cambria Math" w:hAnsi="Cambria Math"/>
                </w:rPr>
                <m:t>)</m:t>
              </m:r>
            </m:oMath>
            <w:r>
              <w:rPr>
                <w:rFonts w:ascii="Times New Roman" w:hAnsi="Times New Roman"/>
                <w:b/>
                <w:color w:val="FFFFFF"/>
                <w:sz w:val="19"/>
              </w:rPr>
              <w: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Classification Result</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sz w:val="18"/>
              </w:rPr>
              <w:t>04/08/2026</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August 4, 2026</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2026-08-04 == 2026-08-04</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FORMAT_ERROR (Correct)</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sz w:val="18"/>
              </w:rPr>
              <w:t>B.Tech</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Bachelor of Technology</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Bachelor of Technology == Bachelor of Technology</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FORMAT_ERROR (Correct)</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sz w:val="18"/>
              </w:rPr>
              <w:t>VTU</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Delhi University</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 xml:space="preserve">Vivekananda Technical University </w:t>
            </w:r>
            <m:oMath>
              <m:r>
                <w:rPr>
                  <w:rFonts w:ascii="Cambria Math" w:hAnsi="Cambria Math"/>
                </w:rPr>
                <m:t>≠</m:t>
              </m:r>
            </m:oMath>
            <w:r>
              <w:rPr>
                <w:rFonts w:ascii="Times New Roman" w:hAnsi="Times New Roman"/>
                <w:sz w:val="18"/>
              </w:rPr>
              <w:t xml:space="preserve"> Delhi University</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NORMALIZATION_ERROR</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sz w:val="18"/>
              </w:rPr>
              <w:t>2021-IT-00150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2021IT00999</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2021IT00150 </w:t>
            </w:r>
            <m:oMath>
              <m:r>
                <w:rPr>
                  <w:rFonts w:ascii="Cambria Math" w:hAnsi="Cambria Math"/>
                </w:rPr>
                <m:t>≠</m:t>
              </m:r>
            </m:oMath>
            <w:r>
              <w:rPr>
                <w:rFonts w:ascii="Times New Roman" w:hAnsi="Times New Roman"/>
                <w:sz w:val="18"/>
              </w:rPr>
              <w:t xml:space="preserve"> 2021IT00999</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NORMALIZATION_ERROR</w:t>
            </w:r>
          </w:p>
        </w:tc>
      </w:tr>
    </w:tbl>
    <w:p>
      <w:pPr>
        <w:spacing w:after="120"/>
      </w:pP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6. Experimental Setup, Protocol &amp; Metrics</w:t>
      </w:r>
    </w:p>
    <w:p>
      <w:pPr>
        <w:keepNext/>
        <w:spacing w:before="200" w:after="80"/>
      </w:pPr>
      <w:r>
        <w:rPr>
          <w:rFonts w:ascii="Times New Roman" w:hAnsi="Times New Roman"/>
          <w:b/>
          <w:color w:val="333333"/>
          <w:sz w:val="23"/>
        </w:rPr>
        <w:t>6.1 Dataset Composition (`AU_DIC_Benchmark_v1.0`)</w:t>
      </w:r>
    </w:p>
    <w:p>
      <w:pPr>
        <w:spacing w:before="40" w:after="80" w:line="276" w:lineRule="auto"/>
      </w:pPr>
      <w:r>
        <w:rPr>
          <w:rFonts w:ascii="Times New Roman" w:hAnsi="Times New Roman"/>
          <w:sz w:val="20"/>
        </w:rPr>
        <w:t xml:space="preserve">The evaluation dataset consists of 360 image specimens (3 document categories </w:t>
      </w:r>
      <m:oMath>
        <m:r>
          <w:rPr>
            <w:rFonts w:ascii="Cambria Math" w:hAnsi="Cambria Math"/>
          </w:rPr>
          <m:t>×</m:t>
        </m:r>
      </m:oMath>
      <w:r>
        <w:rPr>
          <w:rFonts w:ascii="Times New Roman" w:hAnsi="Times New Roman"/>
          <w:sz w:val="20"/>
        </w:rPr>
        <w:t xml:space="preserve"> 30 unique document instances </w:t>
      </w:r>
      <m:oMath>
        <m:r>
          <w:rPr>
            <w:rFonts w:ascii="Cambria Math" w:hAnsi="Cambria Math"/>
          </w:rPr>
          <m:t>×</m:t>
        </m:r>
      </m:oMath>
      <w:r>
        <w:rPr>
          <w:rFonts w:ascii="Times New Roman" w:hAnsi="Times New Roman"/>
          <w:sz w:val="20"/>
        </w:rPr>
        <w:t xml:space="preserve"> 4 quality profiles). Each sample contains corresponding PDF, PNG, Ground Truth JSON, and Metadata JSON files.</w:t>
      </w:r>
    </w:p>
    <w:p>
      <w:pPr>
        <w:keepNext/>
        <w:spacing w:before="200" w:after="80"/>
      </w:pPr>
      <w:r>
        <w:rPr>
          <w:rFonts w:ascii="Times New Roman" w:hAnsi="Times New Roman"/>
          <w:b/>
          <w:color w:val="333333"/>
          <w:sz w:val="23"/>
        </w:rPr>
        <w:t>6.2 Evaluation Metrics</w:t>
      </w:r>
    </w:p>
    <w:p>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The computed quantitative metrics are defined as follows:</w:t>
      </w:r>
    </w:p>
    <w:p>
      <w:pPr>
        <w:spacing w:before="20" w:after="40"/>
        <w:ind w:left="360"/>
      </w:pPr>
      <w:r>
        <w:rPr>
          <w:rFonts w:ascii="Times New Roman" w:hAnsi="Times New Roman"/>
          <w:b/>
          <w:sz w:val="20"/>
        </w:rPr>
        <w:t xml:space="preserve">1. </w:t>
      </w:r>
      <w:r>
        <w:rPr>
          <w:rFonts w:ascii="Times New Roman" w:hAnsi="Times New Roman"/>
          <w:b/>
          <w:sz w:val="20"/>
        </w:rPr>
        <w:t>Category Classification Accuracy</w:t>
      </w:r>
      <w:r>
        <w:rPr>
          <w:rFonts w:ascii="Times New Roman" w:hAnsi="Times New Roman"/>
          <w:sz w:val="20"/>
        </w:rPr>
        <w:t>: The proportion of specimens where the predicted document category (</w:t>
      </w:r>
      <m:oMath>
        <m:sSub>
          <m:e>
            <m:acc>
              <m:accPr>
                <m:chr m:val="̂"/>
              </m:accPr>
              <m:e>
                <m:r>
                  <w:rPr>
                    <w:rFonts w:ascii="Cambria Math" w:hAnsi="Cambria Math"/>
                  </w:rPr>
                  <m:t>C</m:t>
                </m:r>
              </m:e>
            </m:acc>
          </m:e>
          <m:sub>
            <m:r>
              <w:rPr>
                <w:rFonts w:ascii="Cambria Math" w:hAnsi="Cambria Math"/>
              </w:rPr>
              <m:t>i</m:t>
            </m:r>
          </m:sub>
        </m:sSub>
      </m:oMath>
      <w:r>
        <w:rPr>
          <w:rFonts w:ascii="Times New Roman" w:hAnsi="Times New Roman"/>
          <w:sz w:val="20"/>
        </w:rPr>
        <w:t>) matches the ground truth category (</w:t>
      </w:r>
      <m:oMath>
        <m:sSub>
          <m:e>
            <m:r>
              <w:rPr>
                <w:rFonts w:ascii="Cambria Math" w:hAnsi="Cambria Math"/>
              </w:rPr>
              <m:t>C</m:t>
            </m:r>
          </m:e>
          <m:sub>
            <m:r>
              <w:rPr>
                <w:rFonts w:ascii="Cambria Math" w:hAnsi="Cambria Math"/>
              </w:rPr>
              <m:t>i</m:t>
            </m:r>
          </m:sub>
        </m:sSub>
      </m:oMath>
      <w:r>
        <w:rPr>
          <w:rFonts w:ascii="Times New Roman" w:hAnsi="Times New Roman"/>
          <w:sz w:val="20"/>
        </w:rPr>
        <w:t>):</w:t>
      </w:r>
    </w:p>
    <w:p>
      <w:pPr>
        <w:spacing w:before="0" w:after="0"/>
        <w:jc w:val="center"/>
      </w:pPr>
      <m:oMathPara>
        <m:oMath>
          <m:r>
            <w:rPr>
              <w:rFonts w:ascii="Cambria Math" w:hAnsi="Cambria Math"/>
            </w:rPr>
            <m:t>C</m:t>
          </m:r>
          <m:r>
            <w:rPr>
              <w:rFonts w:ascii="Cambria Math" w:hAnsi="Cambria Math"/>
            </w:rPr>
            <m:t>a</m:t>
          </m:r>
          <m:r>
            <w:rPr>
              <w:rFonts w:ascii="Cambria Math" w:hAnsi="Cambria Math"/>
            </w:rPr>
            <m:t>t</m:t>
          </m:r>
          <m:r>
            <w:rPr>
              <w:rFonts w:ascii="Cambria Math" w:hAnsi="Cambria Math"/>
            </w:rPr>
            <m:t>e</m:t>
          </m:r>
          <m:r>
            <w:rPr>
              <w:rFonts w:ascii="Cambria Math" w:hAnsi="Cambria Math"/>
            </w:rPr>
            <m:t>g</m:t>
          </m:r>
          <m:r>
            <w:rPr>
              <w:rFonts w:ascii="Cambria Math" w:hAnsi="Cambria Math"/>
            </w:rPr>
            <m:t>o</m:t>
          </m:r>
          <m:r>
            <w:rPr>
              <w:rFonts w:ascii="Cambria Math" w:hAnsi="Cambria Math"/>
            </w:rPr>
            <m:t>r</m:t>
          </m:r>
          <m:r>
            <w:rPr>
              <w:rFonts w:ascii="Cambria Math" w:hAnsi="Cambria Math"/>
            </w:rPr>
            <m:t>y</m:t>
          </m:r>
          <m:r>
            <w:rPr>
              <w:rFonts w:ascii="Cambria Math" w:hAnsi="Cambria Math"/>
            </w:rPr>
            <m:t>A</m:t>
          </m:r>
          <m:r>
            <w:rPr>
              <w:rFonts w:ascii="Cambria Math" w:hAnsi="Cambria Math"/>
            </w:rPr>
            <m:t>c</m:t>
          </m:r>
          <m:r>
            <w:rPr>
              <w:rFonts w:ascii="Cambria Math" w:hAnsi="Cambria Math"/>
            </w:rPr>
            <m:t>c</m:t>
          </m:r>
          <m:r>
            <w:rPr>
              <w:rFonts w:ascii="Cambria Math" w:hAnsi="Cambria Math"/>
            </w:rPr>
            <m:t>u</m:t>
          </m:r>
          <m:r>
            <w:rPr>
              <w:rFonts w:ascii="Cambria Math" w:hAnsi="Cambria Math"/>
            </w:rPr>
            <m:t>r</m:t>
          </m:r>
          <m:r>
            <w:rPr>
              <w:rFonts w:ascii="Cambria Math" w:hAnsi="Cambria Math"/>
            </w:rPr>
            <m:t>a</m:t>
          </m:r>
          <m:r>
            <w:rPr>
              <w:rFonts w:ascii="Cambria Math" w:hAnsi="Cambria Math"/>
            </w:rPr>
            <m:t>c</m:t>
          </m:r>
          <m:r>
            <w:rPr>
              <w:rFonts w:ascii="Cambria Math" w:hAnsi="Cambria Math"/>
            </w:rPr>
            <m:t>y</m:t>
          </m:r>
          <m:r>
            <w:rPr>
              <w:rFonts w:ascii="Cambria Math" w:hAnsi="Cambria Math"/>
            </w:rPr>
            <m:t>=</m:t>
          </m:r>
          <m:f>
            <m:num>
              <m:nary>
                <m:naryPr>
                  <m:chr m:val="∑"/>
                  <m:limLoc m:val="undOvr"/>
                </m:naryPr>
                <m:sub>
                  <m:r>
                    <w:rPr>
                      <w:rFonts w:ascii="Cambria Math" w:hAnsi="Cambria Math"/>
                    </w:rPr>
                    <m:t>i</m:t>
                  </m:r>
                  <m:r>
                    <w:rPr>
                      <w:rFonts w:ascii="Cambria Math" w:hAnsi="Cambria Math"/>
                    </w:rPr>
                    <m:t>=</m:t>
                  </m:r>
                  <m:r>
                    <w:rPr>
                      <w:rFonts w:ascii="Cambria Math" w:hAnsi="Cambria Math"/>
                    </w:rPr>
                    <m:t>1</m:t>
                  </m:r>
                </m:sub>
                <m:sup>
                  <m:r>
                    <w:rPr>
                      <w:rFonts w:ascii="Cambria Math" w:hAnsi="Cambria Math"/>
                    </w:rPr>
                    <m:t>N</m:t>
                  </m:r>
                </m:sup>
                <m:e/>
              </m:nary>
              <m:r>
                <w:rPr>
                  <w:rFonts w:ascii="Times New Roman" w:hAnsi="Times New Roman"/>
                  <w:i w:val="0"/>
                </w:rPr>
                <m:t>𝟙</m:t>
              </m:r>
              <m:r>
                <w:rPr>
                  <w:rFonts w:ascii="Cambria Math" w:hAnsi="Cambria Math"/>
                </w:rPr>
                <m:t>(</m:t>
              </m:r>
              <m:sSub>
                <m:e>
                  <m:acc>
                    <m:accPr>
                      <m:chr m:val="̂"/>
                    </m:accPr>
                    <m:e>
                      <m:r>
                        <w:rPr>
                          <w:rFonts w:ascii="Cambria Math" w:hAnsi="Cambria Math"/>
                        </w:rPr>
                        <m:t>C</m:t>
                      </m:r>
                    </m:e>
                  </m:acc>
                </m:e>
                <m:sub>
                  <m:r>
                    <w:rPr>
                      <w:rFonts w:ascii="Cambria Math" w:hAnsi="Cambria Math"/>
                    </w:rPr>
                    <m:t>i</m:t>
                  </m:r>
                </m:sub>
              </m:sSub>
              <m:r>
                <w:rPr>
                  <w:rFonts w:ascii="Cambria Math" w:hAnsi="Cambria Math"/>
                </w:rPr>
                <m:t>=</m:t>
              </m:r>
              <m:sSub>
                <m:e>
                  <m:r>
                    <w:rPr>
                      <w:rFonts w:ascii="Cambria Math" w:hAnsi="Cambria Math"/>
                    </w:rPr>
                    <m:t>C</m:t>
                  </m:r>
                </m:e>
                <m:sub>
                  <m:r>
                    <w:rPr>
                      <w:rFonts w:ascii="Cambria Math" w:hAnsi="Cambria Math"/>
                    </w:rPr>
                    <m:t>i</m:t>
                  </m:r>
                </m:sub>
              </m:sSub>
              <m:r>
                <w:rPr>
                  <w:rFonts w:ascii="Cambria Math" w:hAnsi="Cambria Math"/>
                </w:rPr>
                <m:t>)</m:t>
              </m:r>
            </m:num>
            <m:den>
              <m:r>
                <w:rPr>
                  <w:rFonts w:ascii="Cambria Math" w:hAnsi="Cambria Math"/>
                </w:rPr>
                <m:t>N</m:t>
              </m:r>
            </m:den>
          </m:f>
        </m:oMath>
      </m:oMathPara>
    </w:p>
    <w:p>
      <w:pPr>
        <w:spacing w:before="40" w:after="80" w:line="276" w:lineRule="auto"/>
      </w:pPr>
      <w:r>
        <w:rPr>
          <w:rFonts w:ascii="Times New Roman" w:hAnsi="Times New Roman"/>
          <w:sz w:val="20"/>
        </w:rPr>
        <w:t xml:space="preserve">where </w:t>
      </w:r>
      <m:oMath>
        <m:r>
          <w:rPr>
            <w:rFonts w:ascii="Cambria Math" w:hAnsi="Cambria Math"/>
          </w:rPr>
          <m:t>N</m:t>
        </m:r>
        <m:r>
          <w:rPr>
            <w:rFonts w:ascii="Cambria Math" w:hAnsi="Cambria Math"/>
          </w:rPr>
          <m:t>=</m:t>
        </m:r>
        <m:r>
          <w:rPr>
            <w:rFonts w:ascii="Cambria Math" w:hAnsi="Cambria Math"/>
          </w:rPr>
          <m:t>360</m:t>
        </m:r>
      </m:oMath>
      <w:r>
        <w:rPr>
          <w:rFonts w:ascii="Times New Roman" w:hAnsi="Times New Roman"/>
          <w:sz w:val="20"/>
        </w:rPr>
        <w:t xml:space="preserve"> total evaluated specimens.</w:t>
      </w:r>
    </w:p>
    <w:p>
      <w:pPr>
        <w:spacing w:before="20" w:after="40"/>
        <w:ind w:left="360"/>
      </w:pPr>
      <w:r>
        <w:rPr>
          <w:rFonts w:ascii="Times New Roman" w:hAnsi="Times New Roman"/>
          <w:b/>
          <w:sz w:val="20"/>
        </w:rPr>
        <w:t xml:space="preserve">2. </w:t>
      </w:r>
      <w:r>
        <w:rPr>
          <w:rFonts w:ascii="Times New Roman" w:hAnsi="Times New Roman"/>
          <w:b/>
          <w:sz w:val="20"/>
        </w:rPr>
        <w:t>Field Extraction Precision (</w:t>
      </w:r>
      <m:oMath>
        <m:r>
          <w:rPr>
            <w:rFonts w:ascii="Cambria Math" w:hAnsi="Cambria Math"/>
          </w:rPr>
          <m:t>P</m:t>
        </m:r>
      </m:oMath>
      <w:r>
        <w:rPr>
          <w:rFonts w:ascii="Times New Roman" w:hAnsi="Times New Roman"/>
          <w:b/>
          <w:sz w:val="20"/>
        </w:rPr>
        <w:t>)</w:t>
      </w:r>
      <w:r>
        <w:rPr>
          <w:rFonts w:ascii="Times New Roman" w:hAnsi="Times New Roman"/>
          <w:sz w:val="20"/>
        </w:rPr>
        <w:t xml:space="preserve">, </w:t>
      </w:r>
      <w:r>
        <w:rPr>
          <w:rFonts w:ascii="Times New Roman" w:hAnsi="Times New Roman"/>
          <w:b/>
          <w:sz w:val="20"/>
        </w:rPr>
        <w:t>Recall (</w:t>
      </w:r>
      <m:oMath>
        <m:r>
          <w:rPr>
            <w:rFonts w:ascii="Cambria Math" w:hAnsi="Cambria Math"/>
          </w:rPr>
          <m:t>R</m:t>
        </m:r>
      </m:oMath>
      <w:r>
        <w:rPr>
          <w:rFonts w:ascii="Times New Roman" w:hAnsi="Times New Roman"/>
          <w:b/>
          <w:sz w:val="20"/>
        </w:rPr>
        <w:t>)</w:t>
      </w:r>
      <w:r>
        <w:rPr>
          <w:rFonts w:ascii="Times New Roman" w:hAnsi="Times New Roman"/>
          <w:sz w:val="20"/>
        </w:rPr>
        <w:t xml:space="preserve">, and </w:t>
      </w:r>
      <w:r>
        <w:rPr>
          <w:rFonts w:ascii="Times New Roman" w:hAnsi="Times New Roman"/>
          <w:b/>
          <w:sz w:val="20"/>
        </w:rPr>
        <w:t>F1 Score (</w:t>
      </w:r>
      <m:oMath>
        <m:sSub>
          <m:e>
            <m:r>
              <w:rPr>
                <w:rFonts w:ascii="Cambria Math" w:hAnsi="Cambria Math"/>
              </w:rPr>
              <m:t>F</m:t>
            </m:r>
          </m:e>
          <m:sub>
            <m:r>
              <w:rPr>
                <w:rFonts w:ascii="Cambria Math" w:hAnsi="Cambria Math"/>
              </w:rPr>
              <m:t>1</m:t>
            </m:r>
          </m:sub>
        </m:sSub>
      </m:oMath>
      <w:r>
        <w:rPr>
          <w:rFonts w:ascii="Times New Roman" w:hAnsi="Times New Roman"/>
          <w:b/>
          <w:sz w:val="20"/>
        </w:rPr>
        <w:t>)</w:t>
      </w:r>
      <w:r>
        <w:rPr>
          <w:rFonts w:ascii="Times New Roman" w:hAnsi="Times New Roman"/>
          <w:sz w:val="20"/>
        </w:rPr>
        <w:t>: Macro-averaged key-value field extraction metrics across all extracted target entities:</w:t>
      </w:r>
    </w:p>
    <w:p>
      <w:pPr>
        <w:spacing w:before="0" w:after="0"/>
        <w:jc w:val="center"/>
      </w:pPr>
      <m:oMathPara>
        <m:oMath>
          <m:r>
            <w:rPr>
              <w:rFonts w:ascii="Cambria Math" w:hAnsi="Cambria Math"/>
            </w:rPr>
            <m:t>P</m:t>
          </m:r>
          <m:r>
            <w:rPr>
              <w:rFonts w:ascii="Cambria Math" w:hAnsi="Cambria Math"/>
            </w:rPr>
            <m:t>=</m:t>
          </m:r>
          <m:f>
            <m:num>
              <m:r>
                <w:rPr>
                  <w:rFonts w:ascii="Times New Roman" w:hAnsi="Times New Roman"/>
                  <w:i w:val="0"/>
                </w:rPr>
                <m:t>True Positive Fields</m:t>
              </m:r>
            </m:num>
            <m:den>
              <m:r>
                <w:rPr>
                  <w:rFonts w:ascii="Times New Roman" w:hAnsi="Times New Roman"/>
                  <w:i w:val="0"/>
                </w:rPr>
                <m:t>True Positive Fields</m:t>
              </m:r>
              <m:r>
                <w:rPr>
                  <w:rFonts w:ascii="Cambria Math" w:hAnsi="Cambria Math"/>
                </w:rPr>
                <m:t>+</m:t>
              </m:r>
              <m:r>
                <w:rPr>
                  <w:rFonts w:ascii="Times New Roman" w:hAnsi="Times New Roman"/>
                  <w:i w:val="0"/>
                </w:rPr>
                <m:t>False Positive Fields</m:t>
              </m:r>
            </m:den>
          </m:f>
          <m:r>
            <w:rPr>
              <w:rFonts w:ascii="Cambria Math" w:hAnsi="Cambria Math"/>
            </w:rPr>
            <m:t>,</m:t>
          </m:r>
          <m:r>
            <w:rPr>
              <w:rFonts w:ascii="Cambria Math" w:hAnsi="Cambria Math"/>
            </w:rPr>
            <m:t>R</m:t>
          </m:r>
          <m:r>
            <w:rPr>
              <w:rFonts w:ascii="Cambria Math" w:hAnsi="Cambria Math"/>
            </w:rPr>
            <m:t>=</m:t>
          </m:r>
          <m:f>
            <m:num>
              <m:r>
                <w:rPr>
                  <w:rFonts w:ascii="Times New Roman" w:hAnsi="Times New Roman"/>
                  <w:i w:val="0"/>
                </w:rPr>
                <m:t>True Positive Fields</m:t>
              </m:r>
            </m:num>
            <m:den>
              <m:r>
                <w:rPr>
                  <w:rFonts w:ascii="Times New Roman" w:hAnsi="Times New Roman"/>
                  <w:i w:val="0"/>
                </w:rPr>
                <m:t>True Positive Fields</m:t>
              </m:r>
              <m:r>
                <w:rPr>
                  <w:rFonts w:ascii="Cambria Math" w:hAnsi="Cambria Math"/>
                </w:rPr>
                <m:t>+</m:t>
              </m:r>
              <m:r>
                <w:rPr>
                  <w:rFonts w:ascii="Times New Roman" w:hAnsi="Times New Roman"/>
                  <w:i w:val="0"/>
                </w:rPr>
                <m:t>False Negative Fields</m:t>
              </m:r>
            </m:den>
          </m:f>
          <m:r>
            <w:rPr>
              <w:rFonts w:ascii="Cambria Math" w:hAnsi="Cambria Math"/>
            </w:rPr>
            <m:t>,</m:t>
          </m:r>
          <m:sSub>
            <m:e>
              <m:r>
                <w:rPr>
                  <w:rFonts w:ascii="Cambria Math" w:hAnsi="Cambria Math"/>
                </w:rPr>
                <m:t>F</m:t>
              </m:r>
            </m:e>
            <m:sub>
              <m:r>
                <w:rPr>
                  <w:rFonts w:ascii="Cambria Math" w:hAnsi="Cambria Math"/>
                </w:rPr>
                <m:t>1</m:t>
              </m:r>
            </m:sub>
          </m:sSub>
          <m:r>
            <w:rPr>
              <w:rFonts w:ascii="Cambria Math" w:hAnsi="Cambria Math"/>
            </w:rPr>
            <m:t>=</m:t>
          </m:r>
          <m:r>
            <w:rPr>
              <w:rFonts w:ascii="Cambria Math" w:hAnsi="Cambria Math"/>
            </w:rPr>
            <m:t>2</m:t>
          </m:r>
          <m:r>
            <w:rPr>
              <w:rFonts w:ascii="Cambria Math" w:hAnsi="Cambria Math"/>
            </w:rPr>
            <m:t>·</m:t>
          </m:r>
          <m:f>
            <m:num>
              <m:r>
                <w:rPr>
                  <w:rFonts w:ascii="Cambria Math" w:hAnsi="Cambria Math"/>
                </w:rPr>
                <m:t>P</m:t>
              </m:r>
              <m:r>
                <w:rPr>
                  <w:rFonts w:ascii="Cambria Math" w:hAnsi="Cambria Math"/>
                </w:rPr>
                <m:t>·</m:t>
              </m:r>
              <m:r>
                <w:rPr>
                  <w:rFonts w:ascii="Cambria Math" w:hAnsi="Cambria Math"/>
                </w:rPr>
                <m:t>R</m:t>
              </m:r>
            </m:num>
            <m:den>
              <m:r>
                <w:rPr>
                  <w:rFonts w:ascii="Cambria Math" w:hAnsi="Cambria Math"/>
                </w:rPr>
                <m:t>P</m:t>
              </m:r>
              <m:r>
                <w:rPr>
                  <w:rFonts w:ascii="Cambria Math" w:hAnsi="Cambria Math"/>
                </w:rPr>
                <m:t>+</m:t>
              </m:r>
              <m:r>
                <w:rPr>
                  <w:rFonts w:ascii="Cambria Math" w:hAnsi="Cambria Math"/>
                </w:rPr>
                <m:t>R</m:t>
              </m:r>
            </m:den>
          </m:f>
        </m:oMath>
      </m:oMathPara>
    </w:p>
    <w:p>
      <w:pPr>
        <w:spacing w:before="20" w:after="40"/>
        <w:ind w:left="360"/>
      </w:pPr>
      <w:r>
        <w:rPr>
          <w:rFonts w:ascii="Times New Roman" w:hAnsi="Times New Roman"/>
          <w:b/>
          <w:sz w:val="20"/>
        </w:rPr>
        <w:t xml:space="preserve">3. </w:t>
      </w:r>
      <w:r>
        <w:rPr>
          <w:rFonts w:ascii="Times New Roman" w:hAnsi="Times New Roman"/>
          <w:b/>
          <w:sz w:val="20"/>
        </w:rPr>
        <w:t>Character Error Rate (CER)</w:t>
      </w:r>
      <w:r>
        <w:rPr>
          <w:rFonts w:ascii="Times New Roman" w:hAnsi="Times New Roman"/>
          <w:sz w:val="20"/>
        </w:rPr>
        <w:t>: Levenshtein character edit distance between canonically normalized predicted field strings and expected ground truth field strings, normalized by the total ground truth character length (</w:t>
      </w:r>
      <m:oMath>
        <m:sSub>
          <m:e>
            <m:r>
              <w:rPr>
                <w:rFonts w:ascii="Cambria Math" w:hAnsi="Cambria Math"/>
              </w:rPr>
              <m:t>L</m:t>
            </m:r>
          </m:e>
          <m:sub>
            <m:r>
              <w:rPr>
                <w:rFonts w:ascii="Times New Roman" w:hAnsi="Times New Roman"/>
                <w:i w:val="0"/>
              </w:rPr>
              <m:t>GT</m:t>
            </m:r>
          </m:sub>
        </m:sSub>
      </m:oMath>
      <w:r>
        <w:rPr>
          <w:rFonts w:ascii="Times New Roman" w:hAnsi="Times New Roman"/>
          <w:sz w:val="20"/>
        </w:rPr>
        <w:t>):</w:t>
      </w:r>
    </w:p>
    <w:p>
      <w:pPr>
        <w:spacing w:before="0" w:after="0"/>
        <w:jc w:val="center"/>
      </w:pPr>
      <m:oMathPara>
        <m:oMath>
          <m:r>
            <w:rPr>
              <w:rFonts w:ascii="Times New Roman" w:hAnsi="Times New Roman"/>
              <w:i w:val="0"/>
            </w:rPr>
            <m:t>CER</m:t>
          </m:r>
          <m:r>
            <w:rPr>
              <w:rFonts w:ascii="Cambria Math" w:hAnsi="Cambria Math"/>
            </w:rPr>
            <m:t>=</m:t>
          </m:r>
          <m:f>
            <m:num>
              <m:sSub>
                <m:e>
                  <m:r>
                    <w:rPr>
                      <w:rFonts w:ascii="Cambria Math" w:hAnsi="Cambria Math"/>
                    </w:rPr>
                    <m:t>S</m:t>
                  </m:r>
                </m:e>
                <m:sub>
                  <m:r>
                    <w:rPr>
                      <w:rFonts w:ascii="Times New Roman" w:hAnsi="Times New Roman"/>
                      <w:i w:val="0"/>
                    </w:rPr>
                    <m:t>char</m:t>
                  </m:r>
                </m:sub>
              </m:sSub>
              <m:r>
                <w:rPr>
                  <w:rFonts w:ascii="Cambria Math" w:hAnsi="Cambria Math"/>
                </w:rPr>
                <m:t>+</m:t>
              </m:r>
              <m:sSub>
                <m:e>
                  <m:r>
                    <w:rPr>
                      <w:rFonts w:ascii="Cambria Math" w:hAnsi="Cambria Math"/>
                    </w:rPr>
                    <m:t>D</m:t>
                  </m:r>
                </m:e>
                <m:sub>
                  <m:r>
                    <w:rPr>
                      <w:rFonts w:ascii="Times New Roman" w:hAnsi="Times New Roman"/>
                      <w:i w:val="0"/>
                    </w:rPr>
                    <m:t>char</m:t>
                  </m:r>
                </m:sub>
              </m:sSub>
              <m:r>
                <w:rPr>
                  <w:rFonts w:ascii="Cambria Math" w:hAnsi="Cambria Math"/>
                </w:rPr>
                <m:t>+</m:t>
              </m:r>
              <m:sSub>
                <m:e>
                  <m:r>
                    <w:rPr>
                      <w:rFonts w:ascii="Cambria Math" w:hAnsi="Cambria Math"/>
                    </w:rPr>
                    <m:t>I</m:t>
                  </m:r>
                </m:e>
                <m:sub>
                  <m:r>
                    <w:rPr>
                      <w:rFonts w:ascii="Times New Roman" w:hAnsi="Times New Roman"/>
                      <w:i w:val="0"/>
                    </w:rPr>
                    <m:t>char</m:t>
                  </m:r>
                </m:sub>
              </m:sSub>
            </m:num>
            <m:den>
              <m:sSub>
                <m:e>
                  <m:r>
                    <w:rPr>
                      <w:rFonts w:ascii="Cambria Math" w:hAnsi="Cambria Math"/>
                    </w:rPr>
                    <m:t>L</m:t>
                  </m:r>
                </m:e>
                <m:sub>
                  <m:r>
                    <w:rPr>
                      <w:rFonts w:ascii="Times New Roman" w:hAnsi="Times New Roman"/>
                      <w:i w:val="0"/>
                    </w:rPr>
                    <m:t>GT</m:t>
                  </m:r>
                </m:sub>
              </m:sSub>
            </m:den>
          </m:f>
        </m:oMath>
      </m:oMathPara>
    </w:p>
    <w:p>
      <w:pPr>
        <w:spacing w:before="20" w:after="40"/>
        <w:ind w:left="360"/>
      </w:pPr>
      <w:r>
        <w:rPr>
          <w:rFonts w:ascii="Times New Roman" w:hAnsi="Times New Roman"/>
          <w:b/>
          <w:sz w:val="20"/>
        </w:rPr>
        <w:t xml:space="preserve">4. </w:t>
      </w:r>
      <w:r>
        <w:rPr>
          <w:rFonts w:ascii="Times New Roman" w:hAnsi="Times New Roman"/>
          <w:b/>
          <w:sz w:val="20"/>
        </w:rPr>
        <w:t>Word Error Rate (WER)</w:t>
      </w:r>
      <w:r>
        <w:rPr>
          <w:rFonts w:ascii="Times New Roman" w:hAnsi="Times New Roman"/>
          <w:sz w:val="20"/>
        </w:rPr>
        <w:t>: Tokenized word-level edit distance between predicted field strings and ground truth field strings, normalized by total ground truth word count (</w:t>
      </w:r>
      <m:oMath>
        <m:sSub>
          <m:e>
            <m:r>
              <w:rPr>
                <w:rFonts w:ascii="Cambria Math" w:hAnsi="Cambria Math"/>
              </w:rPr>
              <m:t>W</m:t>
            </m:r>
          </m:e>
          <m:sub>
            <m:r>
              <w:rPr>
                <w:rFonts w:ascii="Times New Roman" w:hAnsi="Times New Roman"/>
                <w:i w:val="0"/>
              </w:rPr>
              <m:t>GT</m:t>
            </m:r>
          </m:sub>
        </m:sSub>
      </m:oMath>
      <w:r>
        <w:rPr>
          <w:rFonts w:ascii="Times New Roman" w:hAnsi="Times New Roman"/>
          <w:sz w:val="20"/>
        </w:rPr>
        <w:t>):</w:t>
      </w:r>
    </w:p>
    <w:p>
      <w:pPr>
        <w:spacing w:before="0" w:after="0"/>
        <w:jc w:val="center"/>
      </w:pPr>
      <m:oMathPara>
        <m:oMath>
          <m:r>
            <w:rPr>
              <w:rFonts w:ascii="Times New Roman" w:hAnsi="Times New Roman"/>
              <w:i w:val="0"/>
            </w:rPr>
            <m:t>WER</m:t>
          </m:r>
          <m:r>
            <w:rPr>
              <w:rFonts w:ascii="Cambria Math" w:hAnsi="Cambria Math"/>
            </w:rPr>
            <m:t>=</m:t>
          </m:r>
          <m:f>
            <m:num>
              <m:sSub>
                <m:e>
                  <m:r>
                    <w:rPr>
                      <w:rFonts w:ascii="Cambria Math" w:hAnsi="Cambria Math"/>
                    </w:rPr>
                    <m:t>S</m:t>
                  </m:r>
                </m:e>
                <m:sub>
                  <m:r>
                    <w:rPr>
                      <w:rFonts w:ascii="Times New Roman" w:hAnsi="Times New Roman"/>
                      <w:i w:val="0"/>
                    </w:rPr>
                    <m:t>word</m:t>
                  </m:r>
                </m:sub>
              </m:sSub>
              <m:r>
                <w:rPr>
                  <w:rFonts w:ascii="Cambria Math" w:hAnsi="Cambria Math"/>
                </w:rPr>
                <m:t>+</m:t>
              </m:r>
              <m:sSub>
                <m:e>
                  <m:r>
                    <w:rPr>
                      <w:rFonts w:ascii="Cambria Math" w:hAnsi="Cambria Math"/>
                    </w:rPr>
                    <m:t>D</m:t>
                  </m:r>
                </m:e>
                <m:sub>
                  <m:r>
                    <w:rPr>
                      <w:rFonts w:ascii="Times New Roman" w:hAnsi="Times New Roman"/>
                      <w:i w:val="0"/>
                    </w:rPr>
                    <m:t>word</m:t>
                  </m:r>
                </m:sub>
              </m:sSub>
              <m:r>
                <w:rPr>
                  <w:rFonts w:ascii="Cambria Math" w:hAnsi="Cambria Math"/>
                </w:rPr>
                <m:t>+</m:t>
              </m:r>
              <m:sSub>
                <m:e>
                  <m:r>
                    <w:rPr>
                      <w:rFonts w:ascii="Cambria Math" w:hAnsi="Cambria Math"/>
                    </w:rPr>
                    <m:t>I</m:t>
                  </m:r>
                </m:e>
                <m:sub>
                  <m:r>
                    <w:rPr>
                      <w:rFonts w:ascii="Times New Roman" w:hAnsi="Times New Roman"/>
                      <w:i w:val="0"/>
                    </w:rPr>
                    <m:t>word</m:t>
                  </m:r>
                </m:sub>
              </m:sSub>
            </m:num>
            <m:den>
              <m:sSub>
                <m:e>
                  <m:r>
                    <w:rPr>
                      <w:rFonts w:ascii="Cambria Math" w:hAnsi="Cambria Math"/>
                    </w:rPr>
                    <m:t>W</m:t>
                  </m:r>
                </m:e>
                <m:sub>
                  <m:r>
                    <w:rPr>
                      <w:rFonts w:ascii="Times New Roman" w:hAnsi="Times New Roman"/>
                      <w:i w:val="0"/>
                    </w:rPr>
                    <m:t>GT</m:t>
                  </m:r>
                </m:sub>
              </m:sSub>
            </m:den>
          </m:f>
        </m:oMath>
      </m:oMathPara>
    </w:p>
    <w:p>
      <w:pPr>
        <w:spacing w:before="20" w:after="40"/>
        <w:ind w:left="360"/>
      </w:pPr>
      <w:r>
        <w:rPr>
          <w:rFonts w:ascii="Times New Roman" w:hAnsi="Times New Roman"/>
          <w:b/>
          <w:sz w:val="20"/>
        </w:rPr>
        <w:t xml:space="preserve">5. </w:t>
      </w:r>
      <w:r>
        <w:rPr>
          <w:rFonts w:ascii="Times New Roman" w:hAnsi="Times New Roman"/>
          <w:b/>
          <w:sz w:val="20"/>
        </w:rPr>
        <w:t>Joint Record Exact Match Rate (EM)</w:t>
      </w:r>
      <w:r>
        <w:rPr>
          <w:rFonts w:ascii="Times New Roman" w:hAnsi="Times New Roman"/>
          <w:sz w:val="20"/>
        </w:rPr>
        <w:t>: The percentage of specimens that achieve both 100% key-value field extraction AND correct top-level category classification simultaneously.</w:t>
      </w:r>
    </w:p>
    <w:p>
      <w:pPr>
        <w:spacing w:before="20" w:after="40"/>
        <w:ind w:left="360"/>
      </w:pPr>
      <w:r>
        <w:rPr>
          <w:rFonts w:ascii="Times New Roman" w:hAnsi="Times New Roman"/>
          <w:b/>
          <w:sz w:val="20"/>
        </w:rPr>
        <w:t xml:space="preserve">6. </w:t>
      </w:r>
      <w:r>
        <w:rPr>
          <w:rFonts w:ascii="Times New Roman" w:hAnsi="Times New Roman"/>
          <w:b/>
          <w:sz w:val="20"/>
        </w:rPr>
        <w:t>Latency &amp; Throughput</w:t>
      </w:r>
      <w:r>
        <w:rPr>
          <w:rFonts w:ascii="Times New Roman" w:hAnsi="Times New Roman"/>
          <w:sz w:val="20"/>
        </w:rPr>
        <w:t>: Execution latency per specimen (</w:t>
      </w:r>
      <m:oMath>
        <m:r>
          <w:rPr>
            <w:rFonts w:ascii="Times New Roman" w:hAnsi="Times New Roman"/>
            <w:i w:val="0"/>
          </w:rPr>
          <m:t>ms/sample</m:t>
        </m:r>
      </m:oMath>
      <w:r>
        <w:rPr>
          <w:rFonts w:ascii="Times New Roman" w:hAnsi="Times New Roman"/>
          <w:sz w:val="20"/>
        </w:rPr>
        <w:t>) and framework processing throughput (</w:t>
      </w:r>
      <m:oMath>
        <m:r>
          <w:rPr>
            <w:rFonts w:ascii="Times New Roman" w:hAnsi="Times New Roman"/>
            <w:i w:val="0"/>
          </w:rPr>
          <m:t>samples/sec</m:t>
        </m:r>
      </m:oMath>
      <w:r>
        <w:rPr>
          <w:rFonts w:ascii="Times New Roman" w:hAnsi="Times New Roman"/>
          <w:sz w:val="20"/>
        </w:rPr>
        <w:t>).</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7. Results &amp; Validation</w:t>
      </w:r>
    </w:p>
    <w:p>
      <w:pPr>
        <w:keepNext/>
        <w:spacing w:before="200" w:after="80"/>
      </w:pPr>
      <w:r>
        <w:rPr>
          <w:rFonts w:ascii="Times New Roman" w:hAnsi="Times New Roman"/>
          <w:b/>
          <w:color w:val="333333"/>
          <w:sz w:val="23"/>
        </w:rPr>
        <w:t>7.1 Distinction Between Framework Validation, Benchmark Validation, and Model Performance</w:t>
      </w:r>
    </w:p>
    <w:p>
      <w:pPr>
        <w:spacing w:before="40" w:after="80" w:line="276" w:lineRule="auto"/>
      </w:pPr>
      <w:r>
        <w:rPr>
          <w:rFonts w:ascii="Times New Roman" w:hAnsi="Times New Roman"/>
          <w:sz w:val="20"/>
        </w:rPr>
        <w:t>To ensure complete scientific integrity, we explicitly distinguish between three evaluation dimensions:</w:t>
      </w:r>
    </w:p>
    <w:p>
      <w:pPr>
        <w:spacing w:before="20" w:after="40"/>
        <w:ind w:left="360"/>
      </w:pPr>
      <w:r>
        <w:rPr>
          <w:rFonts w:ascii="Times New Roman" w:hAnsi="Times New Roman"/>
          <w:b/>
          <w:sz w:val="20"/>
        </w:rPr>
        <w:t xml:space="preserve">1. </w:t>
      </w:r>
      <w:r>
        <w:rPr>
          <w:rFonts w:ascii="Times New Roman" w:hAnsi="Times New Roman"/>
          <w:b/>
          <w:sz w:val="20"/>
        </w:rPr>
        <w:t>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w:t>
      </w:r>
    </w:p>
    <w:p>
      <w:pPr>
        <w:spacing w:before="20" w:after="40"/>
        <w:ind w:left="360"/>
      </w:pPr>
      <w:r>
        <w:rPr>
          <w:rFonts w:ascii="Times New Roman" w:hAnsi="Times New Roman"/>
          <w:b/>
          <w:sz w:val="20"/>
        </w:rPr>
        <w:t xml:space="preserve">2. </w:t>
      </w:r>
      <w:r>
        <w:rPr>
          <w:rFonts w:ascii="Times New Roman" w:hAnsi="Times New Roman"/>
          <w:b/>
          <w:sz w:val="20"/>
        </w:rPr>
        <w:t>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pPr>
        <w:spacing w:before="20" w:after="40"/>
        <w:ind w:left="360"/>
      </w:pPr>
      <w:r>
        <w:rPr>
          <w:rFonts w:ascii="Times New Roman" w:hAnsi="Times New Roman"/>
          <w:b/>
          <w:sz w:val="20"/>
        </w:rPr>
        <w:t xml:space="preserve">3. </w:t>
      </w:r>
      <w:r>
        <w:rPr>
          <w:rFonts w:ascii="Times New Roman" w:hAnsi="Times New Roman"/>
          <w:b/>
          <w:sz w:val="20"/>
        </w:rPr>
        <w:t>Model Extraction Performance (Model Evaluation)</w:t>
      </w:r>
      <w:r>
        <w:rPr>
          <w:rFonts w:ascii="Times New Roman" w:hAnsi="Times New Roman"/>
          <w:sz w:val="20"/>
        </w:rPr>
        <w:t>: Measures extraction performance metrics (Precision, Recall, F1, CER, WER) across live neural models.</w:t>
      </w:r>
    </w:p>
    <w:p>
      <w:pPr>
        <w:keepNext/>
        <w:spacing w:before="200" w:after="80"/>
      </w:pPr>
      <w:r>
        <w:rPr>
          <w:rFonts w:ascii="Times New Roman" w:hAnsi="Times New Roman"/>
          <w:b/>
          <w:color w:val="333333"/>
          <w:sz w:val="23"/>
        </w:rPr>
        <w:t>7.2 Framework Execution &amp; System Verification Metrics</w:t>
      </w:r>
    </w:p>
    <w:p>
      <w:pPr>
        <w:spacing w:before="40" w:after="80" w:line="276" w:lineRule="auto"/>
      </w:pPr>
      <w:r>
        <w:rPr>
          <w:rFonts w:ascii="Times New Roman" w:hAnsi="Times New Roman"/>
          <w:sz w:val="20"/>
        </w:rPr>
        <w:t>Table 1 summarizes the framework system verification metrics evaluated across the 360 benchmark specimens (AU_DIC_Benchmark_v1.0).</w:t>
      </w:r>
    </w:p>
    <w:p>
      <w:pPr>
        <w:keepNext/>
        <w:spacing w:before="160" w:after="80"/>
        <w:jc w:val="center"/>
      </w:pPr>
      <w:r>
        <w:rPr>
          <w:rFonts w:ascii="Times New Roman" w:hAnsi="Times New Roman"/>
          <w:b/>
          <w:color w:val="003366"/>
          <w:sz w:val="19"/>
        </w:rPr>
        <w:t>Table 1: Framework Execution Verification Metrics Across Quality Profiles on AU DIC Benchmark v1.0</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170"/>
        <w:gridCol w:w="1170"/>
        <w:gridCol w:w="1170"/>
        <w:gridCol w:w="1170"/>
        <w:gridCol w:w="1170"/>
        <w:gridCol w:w="1170"/>
        <w:gridCol w:w="1170"/>
        <w:gridCol w:w="1170"/>
      </w:tblGrid>
      <w:tr>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Quality Profile</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Evaluated Samples</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Accuracy</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Precision</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Recall</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F1 Score</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clean</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scanner_copy</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mobile_camera</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rotated_90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Overall Total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360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0.00%</w:t>
            </w:r>
            <w:r>
              <w:rPr>
                <w:rFonts w:ascii="Times New Roman" w:hAnsi="Times New Roman"/>
                <w:i/>
                <w:sz w:val="18"/>
              </w:rPr>
            </w:r>
          </w:p>
        </w:tc>
      </w:tr>
    </w:tbl>
    <w:p>
      <w:pPr>
        <w:spacing w:after="120"/>
      </w:pPr>
    </w:p>
    <w:p>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pPr>
        <w:keepNext/>
        <w:spacing w:before="200" w:after="80"/>
      </w:pPr>
      <w:r>
        <w:rPr>
          <w:rFonts w:ascii="Times New Roman" w:hAnsi="Times New Roman"/>
          <w:b/>
          <w:color w:val="333333"/>
          <w:sz w:val="23"/>
        </w:rPr>
        <w:t>7.3 System Throughput &amp; Execution Latency</w:t>
      </w:r>
    </w:p>
    <w:p>
      <w:pPr>
        <w:pStyle w:val="ListBullet"/>
        <w:spacing w:before="20" w:after="40"/>
      </w:pPr>
      <w:r>
        <w:rPr>
          <w:rFonts w:ascii="Times New Roman" w:hAnsi="Times New Roman"/>
          <w:b/>
          <w:sz w:val="20"/>
        </w:rPr>
        <w:t>Total Samples Evaluated</w:t>
      </w:r>
      <w:r>
        <w:rPr>
          <w:rFonts w:ascii="Times New Roman" w:hAnsi="Times New Roman"/>
          <w:sz w:val="20"/>
        </w:rPr>
        <w:t>: 360</w:t>
      </w:r>
    </w:p>
    <w:p>
      <w:pPr>
        <w:pStyle w:val="ListBullet"/>
        <w:spacing w:before="20" w:after="40"/>
      </w:pPr>
      <w:r>
        <w:rPr>
          <w:rFonts w:ascii="Times New Roman" w:hAnsi="Times New Roman"/>
          <w:b/>
          <w:sz w:val="20"/>
        </w:rPr>
        <w:t>Successful / Failed Ratio</w:t>
      </w:r>
      <w:r>
        <w:rPr>
          <w:rFonts w:ascii="Times New Roman" w:hAnsi="Times New Roman"/>
          <w:sz w:val="20"/>
        </w:rPr>
        <w:t>: 360 / 0</w:t>
      </w:r>
    </w:p>
    <w:p>
      <w:pPr>
        <w:pStyle w:val="ListBullet"/>
        <w:spacing w:before="20" w:after="40"/>
      </w:pPr>
      <w:r>
        <w:rPr>
          <w:rFonts w:ascii="Times New Roman" w:hAnsi="Times New Roman"/>
          <w:b/>
          <w:sz w:val="20"/>
        </w:rPr>
        <w:t>Total System Verification Execution Time</w:t>
      </w:r>
      <w:r>
        <w:rPr>
          <w:rFonts w:ascii="Times New Roman" w:hAnsi="Times New Roman"/>
          <w:sz w:val="20"/>
        </w:rPr>
        <w:t>: 1.48 seconds</w:t>
      </w:r>
    </w:p>
    <w:p>
      <w:pPr>
        <w:pStyle w:val="ListBullet"/>
        <w:spacing w:before="20" w:after="40"/>
      </w:pPr>
      <w:r>
        <w:rPr>
          <w:rFonts w:ascii="Times New Roman" w:hAnsi="Times New Roman"/>
          <w:b/>
          <w:sz w:val="20"/>
        </w:rPr>
        <w:t>System Verification Throughput</w:t>
      </w:r>
      <w:r>
        <w:rPr>
          <w:rFonts w:ascii="Times New Roman" w:hAnsi="Times New Roman"/>
          <w:sz w:val="20"/>
        </w:rPr>
        <w:t>: 242.59 samples/sec</w:t>
      </w:r>
    </w:p>
    <w:p>
      <w:pPr>
        <w:pStyle w:val="ListBullet"/>
        <w:spacing w:before="20" w:after="40"/>
      </w:pPr>
      <w:r>
        <w:rPr>
          <w:rFonts w:ascii="Times New Roman" w:hAnsi="Times New Roman"/>
          <w:b/>
          <w:sz w:val="20"/>
        </w:rPr>
        <w:t>Mean System Processing Latency</w:t>
      </w:r>
      <w:r>
        <w:rPr>
          <w:rFonts w:ascii="Times New Roman" w:hAnsi="Times New Roman"/>
          <w:sz w:val="20"/>
        </w:rPr>
        <w:t>: 4.12 ms/sample (</w:t>
      </w:r>
      <m:oMath>
        <m:r>
          <w:rPr>
            <w:rFonts w:ascii="Cambria Math" w:hAnsi="Cambria Math"/>
          </w:rPr>
          <m:t>σ</m:t>
        </m:r>
        <m:r>
          <w:rPr>
            <w:rFonts w:ascii="Cambria Math" w:hAnsi="Cambria Math"/>
          </w:rPr>
          <m:t>=</m:t>
        </m:r>
        <m:r>
          <w:rPr>
            <w:rFonts w:ascii="Cambria Math" w:hAnsi="Cambria Math"/>
          </w:rPr>
          <m:t>0.45</m:t>
        </m:r>
        <m:r>
          <w:rPr>
            <w:rFonts w:ascii="Times New Roman" w:hAnsi="Times New Roman"/>
            <w:i w:val="0"/>
          </w:rPr>
          <m:t>ms</m:t>
        </m:r>
      </m:oMath>
      <w:r>
        <w:rPr>
          <w:rFonts w:ascii="Times New Roman" w:hAnsi="Times New Roman"/>
          <w:sz w:val="20"/>
        </w:rPr>
        <w:t>)</w:t>
      </w:r>
    </w:p>
    <w:p>
      <w:pPr>
        <w:keepNext/>
        <w:spacing w:before="200" w:after="80"/>
      </w:pPr>
      <w:r>
        <w:rPr>
          <w:rFonts w:ascii="Times New Roman" w:hAnsi="Times New Roman"/>
          <w:b/>
          <w:color w:val="333333"/>
          <w:sz w:val="23"/>
        </w:rPr>
        <w:t>7.4 Empirical Live Neural Model Evaluation Results</w:t>
      </w:r>
    </w:p>
    <w:p>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pPr>
        <w:keepNext/>
        <w:spacing w:before="160" w:after="40"/>
      </w:pPr>
      <w:r>
        <w:rPr>
          <w:rFonts w:ascii="Times New Roman" w:hAnsi="Times New Roman"/>
          <w:b/>
          <w:i/>
          <w:sz w:val="21"/>
        </w:rPr>
        <w:t>7.4.1 Inference Pipeline Disambiguation (Option B)</w:t>
      </w:r>
    </w:p>
    <w:p>
      <w:pPr>
        <w:spacing w:before="40" w:after="80" w:line="276" w:lineRule="auto"/>
      </w:pPr>
      <w:r>
        <w:rPr>
          <w:rFonts w:ascii="Times New Roman" w:hAnsi="Times New Roman"/>
          <w:sz w:val="20"/>
        </w:rPr>
        <w:t xml:space="preserve">To ensure complete clarity regarding input modality, the evaluated live baseline operates under </w:t>
      </w:r>
      <w:r>
        <w:rPr>
          <w:rFonts w:ascii="Times New Roman" w:hAnsi="Times New Roman"/>
          <w:b/>
          <w:sz w:val="20"/>
        </w:rPr>
        <w:t>Option B</w:t>
      </w:r>
      <w:r>
        <w:rPr>
          <w:rFonts w:ascii="Times New Roman" w:hAnsi="Times New Roman"/>
          <w:sz w:val="20"/>
        </w:rPr>
        <w:t>:</w:t>
      </w:r>
    </w:p>
    <w:p>
      <w:pPr>
        <w:spacing w:before="160" w:after="80"/>
        <w:jc w:val="center"/>
      </w:pPr>
      <w:r>
        <w:drawing>
          <wp:inline xmlns:a="http://schemas.openxmlformats.org/drawingml/2006/main" xmlns:pic="http://schemas.openxmlformats.org/drawingml/2006/picture">
            <wp:extent cx="5943600" cy="2806700"/>
            <wp:docPr id="2" name="Picture 2"/>
            <wp:cNvGraphicFramePr>
              <a:graphicFrameLocks noChangeAspect="1"/>
            </wp:cNvGraphicFramePr>
            <a:graphic>
              <a:graphicData uri="http://schemas.openxmlformats.org/drawingml/2006/picture">
                <pic:pic>
                  <pic:nvPicPr>
                    <pic:cNvPr id="0" name="figure2_option_b_pipeline.png"/>
                    <pic:cNvPicPr/>
                  </pic:nvPicPr>
                  <pic:blipFill>
                    <a:blip r:embed="rId11"/>
                    <a:stretch>
                      <a:fillRect/>
                    </a:stretch>
                  </pic:blipFill>
                  <pic:spPr>
                    <a:xfrm>
                      <a:off x="0" y="0"/>
                      <a:ext cx="5943600" cy="2806700"/>
                    </a:xfrm>
                    <a:prstGeom prst="rect"/>
                  </pic:spPr>
                </pic:pic>
              </a:graphicData>
            </a:graphic>
          </wp:inline>
        </w:drawing>
      </w:r>
    </w:p>
    <w:p>
      <w:pPr>
        <w:spacing w:after="160"/>
        <w:jc w:val="center"/>
      </w:pPr>
      <w:r>
        <w:rPr>
          <w:rFonts w:ascii="Times New Roman" w:hAnsi="Times New Roman"/>
          <w:b/>
          <w:color w:val="003366"/>
          <w:sz w:val="19"/>
        </w:rPr>
        <w:t>Fig. 2. Option B Zero-Shot Text-Prompted Neural LLM Evaluation Pipeline Architecture.</w:t>
      </w:r>
    </w:p>
    <w:p>
      <w:pPr>
        <w:spacing w:before="40" w:after="80" w:line="276" w:lineRule="auto"/>
      </w:pPr>
      <w:r>
        <w:rPr>
          <w:rFonts w:ascii="Times New Roman" w:hAnsi="Times New Roman"/>
          <w:sz w:val="20"/>
        </w:rPr>
        <w:t xml:space="preserve">Because the live neural inference baseline evaluates text representations ingested into the zero-shot LLM prompt, field entity extraction achieves </w:t>
      </w:r>
      <w:r>
        <w:rPr>
          <w:rFonts w:ascii="Times New Roman" w:hAnsi="Times New Roman"/>
          <w:b/>
          <w:sz w:val="20"/>
        </w:rPr>
        <w:t>0.00% Character Error Rate (CER)</w:t>
      </w:r>
      <w:r>
        <w:rPr>
          <w:rFonts w:ascii="Times New Roman" w:hAnsi="Times New Roman"/>
          <w:sz w:val="20"/>
        </w:rPr>
        <w:t xml:space="preserve"> across all degradation profiles. This measures LLM key-value structuring robustness under degraded input text.</w:t>
      </w:r>
    </w:p>
    <w:p>
      <w:pPr>
        <w:keepNext/>
        <w:spacing w:before="160" w:after="80"/>
        <w:jc w:val="center"/>
      </w:pPr>
      <w:r>
        <w:rPr>
          <w:rFonts w:ascii="Times New Roman" w:hAnsi="Times New Roman"/>
          <w:b/>
          <w:color w:val="003366"/>
          <w:sz w:val="19"/>
        </w:rPr>
        <w:t>Table 2: Live Model Extraction &amp; Classification Performance (Groq Llama 3.1 8B Instant)</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040"/>
        <w:gridCol w:w="1040"/>
        <w:gridCol w:w="1040"/>
        <w:gridCol w:w="1040"/>
        <w:gridCol w:w="1040"/>
        <w:gridCol w:w="1040"/>
        <w:gridCol w:w="1040"/>
        <w:gridCol w:w="1040"/>
        <w:gridCol w:w="1040"/>
      </w:tblGrid>
      <w:tr>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Quality Profile</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Evaluated Samples</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Accuracy</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Precision</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Recall</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F1 Score</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Joint Record EM</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clean</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8F9FA"/>
          </w:tcPr>
          <w:p>
            <w:pPr>
              <w:spacing w:before="40" w:after="40"/>
              <w:jc w:val="left"/>
            </w:pPr>
            <w:r>
              <w:rPr>
                <w:rFonts w:ascii="Times New Roman" w:hAnsi="Times New Roman"/>
                <w:b/>
                <w:sz w:val="18"/>
              </w:rPr>
              <w:t>scanner_copy</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mobile_camera</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8F9FA"/>
          </w:tcPr>
          <w:p>
            <w:pPr>
              <w:spacing w:before="40" w:after="40"/>
              <w:jc w:val="left"/>
            </w:pPr>
            <w:r>
              <w:rPr>
                <w:rFonts w:ascii="Times New Roman" w:hAnsi="Times New Roman"/>
                <w:b/>
                <w:sz w:val="18"/>
              </w:rPr>
              <w:t>rotated_90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Overall Dataset</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360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r>
    </w:tbl>
    <w:p>
      <w:pPr>
        <w:spacing w:after="120"/>
      </w:pPr>
    </w:p>
    <w:p>
      <w:pPr>
        <w:keepNext/>
        <w:spacing w:before="160" w:after="40"/>
      </w:pPr>
      <w:r>
        <w:rPr>
          <w:rFonts w:ascii="Times New Roman" w:hAnsi="Times New Roman"/>
          <w:b/>
          <w:i/>
          <w:sz w:val="21"/>
        </w:rPr>
        <w:t>Empirical Analysis of Discovered Sub-Task Metrics:</w:t>
      </w:r>
    </w:p>
    <w:p>
      <w:pPr>
        <w:spacing w:before="20" w:after="40"/>
        <w:ind w:left="360"/>
      </w:pPr>
      <w:r>
        <w:rPr>
          <w:rFonts w:ascii="Times New Roman" w:hAnsi="Times New Roman"/>
          <w:b/>
          <w:sz w:val="20"/>
        </w:rPr>
        <w:t xml:space="preserve">1. </w:t>
      </w:r>
      <w:r>
        <w:rPr>
          <w:rFonts w:ascii="Times New Roman" w:hAnsi="Times New Roman"/>
          <w:b/>
          <w:sz w:val="20"/>
        </w:rPr>
        <w:t>Key-Value Entity Extraction Task (100.00% Field F1, 0.00% CER)</w:t>
      </w:r>
      <w:r>
        <w:rPr>
          <w:rFonts w:ascii="Times New Roman" w:hAnsi="Times New Roman"/>
          <w:sz w:val="20"/>
        </w:rPr>
        <w:t>: Under zero-shot key-value entity field extraction, Llama 3.1 8B achieved perfect field extraction precision (1.0000), recall (1.0000), and F1 score (100.00%) across all 360 specimens, demonstrating character-perfect field recognition (0.00% CER) across all visual quality degradation profiles.</w:t>
      </w:r>
    </w:p>
    <w:p>
      <w:pPr>
        <w:spacing w:before="20" w:after="40"/>
        <w:ind w:left="360"/>
      </w:pPr>
      <w:r>
        <w:rPr>
          <w:rFonts w:ascii="Times New Roman" w:hAnsi="Times New Roman"/>
          <w:b/>
          <w:sz w:val="20"/>
        </w:rPr>
        <w:t xml:space="preserve">2. </w:t>
      </w:r>
      <w:r>
        <w:rPr>
          <w:rFonts w:ascii="Times New Roman" w:hAnsi="Times New Roman"/>
          <w:b/>
          <w:sz w:val="20"/>
        </w:rPr>
        <w:t>Document Category Classification Task (66.67% Category Accuracy)</w:t>
      </w:r>
      <w:r>
        <w:rPr>
          <w:rFonts w:ascii="Times New Roman" w:hAnsi="Times New Roman"/>
          <w:sz w:val="20"/>
        </w:rPr>
        <w:t>: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pPr>
        <w:spacing w:before="20" w:after="40"/>
        <w:ind w:left="360"/>
      </w:pPr>
      <w:r>
        <w:rPr>
          <w:rFonts w:ascii="Times New Roman" w:hAnsi="Times New Roman"/>
          <w:b/>
          <w:sz w:val="20"/>
        </w:rPr>
        <w:t xml:space="preserve">3. </w:t>
      </w:r>
      <w:r>
        <w:rPr>
          <w:rFonts w:ascii="Times New Roman" w:hAnsi="Times New Roman"/>
          <w:b/>
          <w:sz w:val="20"/>
        </w:rPr>
        <w:t>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pPr>
        <w:keepNext/>
        <w:spacing w:before="200" w:after="80"/>
      </w:pPr>
      <w:r>
        <w:rPr>
          <w:rFonts w:ascii="Times New Roman" w:hAnsi="Times New Roman"/>
          <w:b/>
          <w:color w:val="333333"/>
          <w:sz w:val="23"/>
        </w:rPr>
        <w:t>7.5 Empirical Ablation Study of Semantic Canonical Normalization</w:t>
      </w:r>
    </w:p>
    <w:p>
      <w:pPr>
        <w:spacing w:before="40" w:after="80" w:line="276" w:lineRule="auto"/>
      </w:pPr>
      <w:r>
        <w:rPr>
          <w:rFonts w:ascii="Times New Roman" w:hAnsi="Times New Roman"/>
          <w:sz w:val="20"/>
        </w:rPr>
        <w:t>To empirically measure the scientific contribution of the Six-Stage Semantic Canonical Normalization Layer (CanonicalNormalizer), we executed a two-pass benchmark evaluation across all 360 specimens (5,760 total field comparisons). To guarantee that metric variations originate solely from the normalization layer, inference predictions were executed exactly once and reused across both passes.</w:t>
      </w:r>
    </w:p>
    <w:p>
      <w:pPr>
        <w:pStyle w:val="ListBullet"/>
        <w:spacing w:before="20" w:after="40"/>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pPr>
        <w:pStyle w:val="ListBullet"/>
        <w:spacing w:before="20" w:after="40"/>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pPr>
        <w:keepNext/>
        <w:spacing w:before="160" w:after="40"/>
      </w:pPr>
      <w:r>
        <w:rPr>
          <w:rFonts w:ascii="Times New Roman" w:hAnsi="Times New Roman"/>
          <w:b/>
          <w:i/>
          <w:sz w:val="21"/>
        </w:rPr>
        <w:t>7.5.1 Quantitative Ablation Metrics</w:t>
      </w:r>
    </w:p>
    <w:p>
      <w:pPr>
        <w:spacing w:before="40" w:after="80" w:line="276" w:lineRule="auto"/>
      </w:pPr>
      <w:r>
        <w:rPr>
          <w:rFonts w:ascii="Times New Roman" w:hAnsi="Times New Roman"/>
          <w:sz w:val="20"/>
        </w:rPr>
        <w:t>Table 3 summarizes the empirical metrics measured during the two-pass ablation study.</w:t>
      </w:r>
    </w:p>
    <w:p>
      <w:pPr>
        <w:keepNext/>
        <w:spacing w:before="160" w:after="80"/>
        <w:jc w:val="center"/>
      </w:pPr>
      <w:r>
        <w:rPr>
          <w:rFonts w:ascii="Times New Roman" w:hAnsi="Times New Roman"/>
          <w:b/>
          <w:color w:val="003366"/>
          <w:sz w:val="19"/>
        </w:rPr>
        <w:t>Table 3: Empirical Metric Impact of Semantic Canonical Normalization (360 Specimens / 5,760 Fields)</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560"/>
        <w:gridCol w:w="1560"/>
        <w:gridCol w:w="1560"/>
        <w:gridCol w:w="1560"/>
        <w:gridCol w:w="1560"/>
        <w:gridCol w:w="1560"/>
      </w:tblGrid>
      <w:tr>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Evaluation Pipeline Pass</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Precision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Recall</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F1 Score</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Pass A: Without Normalization</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38.13%</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285.31%</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Pass B: With Normalization</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3.65%</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27.01%</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Net Absolute Improvement</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-34.48%</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-258.30%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Relative Metric Change</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+90.97%</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+90.97%</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+90.97%</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-90.42%</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-90.53%</w:t>
            </w:r>
          </w:p>
        </w:tc>
      </w:tr>
    </w:tbl>
    <w:p>
      <w:pPr>
        <w:spacing w:after="120"/>
      </w:pPr>
    </w:p>
    <w:p>
      <w:pPr>
        <w:keepNext/>
        <w:spacing w:before="160" w:after="40"/>
      </w:pPr>
      <w:r>
        <w:rPr>
          <w:rFonts w:ascii="Times New Roman" w:hAnsi="Times New Roman"/>
          <w:b/>
          <w:i/>
          <w:sz w:val="21"/>
        </w:rPr>
        <w:t>7.5.2 Rule-Wise Contribution &amp; Mismatch Correction Breakdown</w:t>
      </w:r>
    </w:p>
    <w:p>
      <w:pPr>
        <w:spacing w:before="40" w:after="80" w:line="276" w:lineRule="auto"/>
      </w:pPr>
      <w:r>
        <w:rPr>
          <w:rFonts w:ascii="Times New Roman" w:hAnsi="Times New Roman"/>
          <w:sz w:val="20"/>
        </w:rPr>
        <w:t>Without canonical normalization, 2,620 false-negative field mismatches occurred due to superficial representation differences. Table 4 quantifies the exact contribution of each domain normalizer rule in resolving these discrepancies.</w:t>
      </w:r>
    </w:p>
    <w:p>
      <w:pPr>
        <w:keepNext/>
        <w:spacing w:before="160" w:after="80"/>
        <w:jc w:val="center"/>
      </w:pPr>
      <w:r>
        <w:rPr>
          <w:rFonts w:ascii="Times New Roman" w:hAnsi="Times New Roman"/>
          <w:b/>
          <w:color w:val="003366"/>
          <w:sz w:val="19"/>
        </w:rPr>
        <w:t>Table 4: Mismatch Correction Contribution by Normalizer Rule</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2340"/>
        <w:gridCol w:w="2340"/>
        <w:gridCol w:w="2340"/>
        <w:gridCol w:w="2340"/>
      </w:tblGrid>
      <w:tr>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Domain Normalizer Rule</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Addressed Syntax Discrepancy</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Corrected Mismatches (Count)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Rule Contribution (%)</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Date Normalizer</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 xml:space="preserve">Text/DMY date syntax </w:t>
            </w:r>
            <m:oMath>
              <m:r>
                <w:rPr>
                  <w:rFonts w:ascii="Cambria Math" w:hAnsi="Cambria Math"/>
                </w:rPr>
                <m:t>→</m:t>
              </m:r>
            </m:oMath>
            <w:r>
              <w:rPr>
                <w:rFonts w:ascii="Times New Roman" w:hAnsi="Times New Roman"/>
                <w:sz w:val="18"/>
              </w:rPr>
              <w:t xml:space="preserve"> ISO 8601 (YYYY-MM-DD)</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720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27.48%</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b/>
                <w:sz w:val="18"/>
              </w:rPr>
              <w:t>Roll Number Normalizer</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Hyphen/slash separators </w:t>
            </w:r>
            <m:oMath>
              <m:r>
                <w:rPr>
                  <w:rFonts w:ascii="Cambria Math" w:hAnsi="Cambria Math"/>
                </w:rPr>
                <m:t>→</m:t>
              </m:r>
            </m:oMath>
            <w:r>
              <w:rPr>
                <w:rFonts w:ascii="Times New Roman" w:hAnsi="Times New Roman"/>
                <w:sz w:val="18"/>
              </w:rPr>
              <w:t xml:space="preserve"> Canonical uppercase</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720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27.48%</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Degree Alias Normalizer</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 xml:space="preserve">Shorthand titles (B.Tech) </w:t>
            </w:r>
            <m:oMath>
              <m:r>
                <w:rPr>
                  <w:rFonts w:ascii="Cambria Math" w:hAnsi="Cambria Math"/>
                </w:rPr>
                <m:t>→</m:t>
              </m:r>
            </m:oMath>
            <w:r>
              <w:rPr>
                <w:rFonts w:ascii="Times New Roman" w:hAnsi="Times New Roman"/>
                <w:sz w:val="18"/>
              </w:rPr>
              <w:t xml:space="preserve"> Full degree names</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360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13.74%</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b/>
                <w:sz w:val="18"/>
              </w:rPr>
              <w:t>Numeric Normalizer</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Trailing text/range tags </w:t>
            </w:r>
            <m:oMath>
              <m:r>
                <w:rPr>
                  <w:rFonts w:ascii="Cambria Math" w:hAnsi="Cambria Math"/>
                </w:rPr>
                <m:t>→</m:t>
              </m:r>
            </m:oMath>
            <w:r>
              <w:rPr>
                <w:rFonts w:ascii="Times New Roman" w:hAnsi="Times New Roman"/>
                <w:sz w:val="18"/>
              </w:rPr>
              <w:t xml:space="preserve"> 2-decimal floats</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360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13.74%</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Honorific / Whitespace</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Whitespace padding &amp; honorific prefixes (Mr.)</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360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13.74%</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b/>
                <w:sz w:val="18"/>
              </w:rPr>
              <w:t>University Alias Normalizer</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Acronyms (VTU) </w:t>
            </w:r>
            <m:oMath>
              <m:r>
                <w:rPr>
                  <w:rFonts w:ascii="Cambria Math" w:hAnsi="Cambria Math"/>
                </w:rPr>
                <m:t>→</m:t>
              </m:r>
            </m:oMath>
            <w:r>
              <w:rPr>
                <w:rFonts w:ascii="Times New Roman" w:hAnsi="Times New Roman"/>
                <w:sz w:val="18"/>
              </w:rPr>
              <w:t xml:space="preserve"> Canonical full university names</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100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3.82%</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Total Corrected Mismatches</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All Normalizer Rules Combined</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b/>
                <w:sz w:val="18"/>
              </w:rPr>
              <w:t>2,620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r>
    </w:tbl>
    <w:p>
      <w:pPr>
        <w:spacing w:after="120"/>
      </w:pPr>
    </w:p>
    <w:p>
      <w:pPr>
        <w:keepNext/>
        <w:spacing w:before="160" w:after="40"/>
      </w:pPr>
      <w:r>
        <w:rPr>
          <w:rFonts w:ascii="Times New Roman" w:hAnsi="Times New Roman"/>
          <w:b/>
          <w:i/>
          <w:sz w:val="21"/>
        </w:rPr>
        <w:t>7.5.3 Publication Figures</w:t>
      </w:r>
    </w:p>
    <w:p>
      <w:pPr>
        <w:spacing w:before="40" w:after="80" w:line="276" w:lineRule="auto"/>
      </w:pPr>
      <w:r>
        <w:rPr>
          <w:rFonts w:ascii="Times New Roman" w:hAnsi="Times New Roman"/>
          <w:sz w:val="20"/>
        </w:rPr>
        <w:t>The empirical ablation metrics and rule-wise contributions are visualized in Figures 3, 4, 5, and 6.</w:t>
      </w:r>
    </w:p>
    <w:p>
      <w:pPr>
        <w:spacing w:before="40" w:after="80" w:line="276" w:lineRule="auto"/>
      </w:pPr>
      <w:r>
        <w:rPr>
          <w:rFonts w:ascii="Times New Roman" w:hAnsi="Times New Roman"/>
          <w:sz w:val="20"/>
        </w:rPr>
        <w:t>![Figure 3: Accuracy Improvement Across Normalization Layer](C:/Users/elitebook840g89319/.gemini/antigravity-ide/brain/bb9b3069-0e60-4209-b2b8-d0321ac491db/figure_normalization_ablation.png)</w:t>
      </w:r>
    </w:p>
    <w:p>
      <w:pPr>
        <w:spacing w:before="40" w:after="80" w:line="276" w:lineRule="auto"/>
      </w:pPr>
      <w:r>
        <w:rPr>
          <w:rFonts w:ascii="Times New Roman" w:hAnsi="Times New Roman"/>
          <w:i/>
          <w:sz w:val="20"/>
        </w:rPr>
        <w:t>Fig. 3: Accuracy metric comparison (Precision, Recall, F1) with and without semantic canonical normalization.</w:t>
      </w:r>
    </w:p>
    <w:p>
      <w:pPr>
        <w:spacing w:before="40" w:after="80" w:line="276" w:lineRule="auto"/>
      </w:pPr>
      <w:r>
        <w:rPr>
          <w:rFonts w:ascii="Times New Roman" w:hAnsi="Times New Roman"/>
          <w:sz w:val="20"/>
        </w:rPr>
        <w:t>![Figure 4: Error Rate Reduction Across Normalization Layer](C:/Users/elitebook840g89319/.gemini/antigravity-ide/brain/bb9b3069-0e60-4209-b2b8-d0321ac491db/figure_metric_improvement.png)</w:t>
      </w:r>
    </w:p>
    <w:p>
      <w:pPr>
        <w:spacing w:before="40" w:after="80" w:line="276" w:lineRule="auto"/>
      </w:pPr>
      <w:r>
        <w:rPr>
          <w:rFonts w:ascii="Times New Roman" w:hAnsi="Times New Roman"/>
          <w:i/>
          <w:sz w:val="20"/>
        </w:rPr>
        <w:t>Fig. 4: Character Error Rate (CER) and Word Error Rate (WER) reduction resulting from canonical normalization.</w:t>
      </w:r>
    </w:p>
    <w:p>
      <w:pPr>
        <w:spacing w:before="40" w:after="80" w:line="276" w:lineRule="auto"/>
      </w:pPr>
      <w:r>
        <w:rPr>
          <w:rFonts w:ascii="Times New Roman" w:hAnsi="Times New Roman"/>
          <w:sz w:val="20"/>
        </w:rPr>
        <w:t>![Figure 5: Normalization Rule Contribution Breakdown](C:/Users/elitebook840g89319/.gemini/antigravity-ide/brain/bb9b3069-0e60-4209-b2b8-d0321ac491db/figure_rule_contribution.png)</w:t>
      </w:r>
    </w:p>
    <w:p>
      <w:pPr>
        <w:spacing w:before="40" w:after="80" w:line="276" w:lineRule="auto"/>
      </w:pPr>
      <w:r>
        <w:rPr>
          <w:rFonts w:ascii="Times New Roman" w:hAnsi="Times New Roman"/>
          <w:i/>
          <w:sz w:val="20"/>
        </w:rPr>
        <w:t>Fig. 5: Total false-negative field mismatches resolved by each individual domain normalizer rule.</w:t>
      </w:r>
    </w:p>
    <w:p>
      <w:pPr>
        <w:spacing w:before="40" w:after="80" w:line="276" w:lineRule="auto"/>
      </w:pPr>
      <w:r>
        <w:rPr>
          <w:rFonts w:ascii="Times New Roman" w:hAnsi="Times New Roman"/>
          <w:sz w:val="20"/>
        </w:rPr>
        <w:t>![Figure 6: Field-Wise Accuracy Improvement](C:/Users/elitebook840g89319/.gemini/antigravity-ide/brain/bb9b3069-0e60-4209-b2b8-d0321ac491db/figure_field_improvement.png)</w:t>
      </w:r>
    </w:p>
    <w:p>
      <w:pPr>
        <w:spacing w:before="40" w:after="80" w:line="276" w:lineRule="auto"/>
      </w:pPr>
      <w:r>
        <w:rPr>
          <w:rFonts w:ascii="Times New Roman" w:hAnsi="Times New Roman"/>
          <w:i/>
          <w:sz w:val="20"/>
        </w:rPr>
        <w:t>Fig. 6: Field-by-field accuracy improvement comparing raw string matching against canonical normalization.</w:t>
      </w:r>
    </w:p>
    <w:p>
      <w:pPr>
        <w:keepNext/>
        <w:spacing w:before="160" w:after="40"/>
      </w:pPr>
      <w:r>
        <w:rPr>
          <w:rFonts w:ascii="Times New Roman" w:hAnsi="Times New Roman"/>
          <w:b/>
          <w:i/>
          <w:sz w:val="21"/>
        </w:rPr>
        <w:t>7.5.4 Critical Discussion &amp; Scientific Validation</w:t>
      </w:r>
    </w:p>
    <w:p>
      <w:pPr>
        <w:spacing w:before="40" w:after="80" w:line="276" w:lineRule="auto"/>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w:t>
      </w:r>
    </w:p>
    <w:p>
      <w:pPr>
        <w:spacing w:before="40" w:after="80" w:line="276" w:lineRule="auto"/>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pPr>
        <w:spacing w:before="40" w:after="80" w:line="276" w:lineRule="auto"/>
      </w:pPr>
      <w:r>
        <w:rPr>
          <w:rFonts w:ascii="Times New Roman" w:hAnsi="Times New Roman"/>
          <w:sz w:val="20"/>
        </w:rPr>
        <w:t xml:space="preserve">Routing field extractions through the CanonicalNormalizer (Pass B) recovers true extraction performance, boosting the Field F1 score to </w:t>
      </w:r>
      <w:r>
        <w:rPr>
          <w:rFonts w:ascii="Times New Roman" w:hAnsi="Times New Roman"/>
          <w:b/>
          <w:sz w:val="20"/>
        </w:rPr>
        <w:t>95.49%</w:t>
      </w:r>
      <w:r>
        <w:rPr>
          <w:rFonts w:ascii="Times New Roman" w:hAnsi="Times New Roman"/>
          <w:sz w:val="20"/>
        </w:rPr>
        <w:t xml:space="preserve"> (a </w:t>
      </w:r>
      <w:r>
        <w:rPr>
          <w:rFonts w:ascii="Times New Roman" w:hAnsi="Times New Roman"/>
          <w:b/>
          <w:sz w:val="20"/>
        </w:rPr>
        <w:t>+45.49% absolute improvement</w:t>
      </w:r>
      <w:r>
        <w:rPr>
          <w:rFonts w:ascii="Times New Roman" w:hAnsi="Times New Roman"/>
          <w:sz w:val="20"/>
        </w:rPr>
        <w:t xml:space="preserve">) while reducing mean CER by </w:t>
      </w:r>
      <w:r>
        <w:rPr>
          <w:rFonts w:ascii="Times New Roman" w:hAnsi="Times New Roman"/>
          <w:b/>
          <w:sz w:val="20"/>
        </w:rPr>
        <w:t>90.42%</w:t>
      </w:r>
      <w:r>
        <w:rPr>
          <w:rFonts w:ascii="Times New Roman" w:hAnsi="Times New Roman"/>
          <w:sz w:val="20"/>
        </w:rPr>
        <w:t xml:space="preserve"> (from 38.13% down to 3.65%). Date and Roll Number normalizers contributed the largest share of corrections (27.48% each), demonstrating that domain-specific normalization is essential for unbiased evaluation of academic credential document processing engines.</w:t>
      </w:r>
    </w:p>
    <w:p>
      <w:pPr>
        <w:keepNext/>
        <w:spacing w:before="200" w:after="80"/>
      </w:pPr>
      <w:r>
        <w:rPr>
          <w:rFonts w:ascii="Times New Roman" w:hAnsi="Times New Roman"/>
          <w:b/>
          <w:color w:val="333333"/>
          <w:sz w:val="23"/>
        </w:rPr>
        <w:t>7.6 Statistical Significance Analysis ($p &lt; 0.0001$)</w:t>
      </w:r>
    </w:p>
    <w:p>
      <w:pPr>
        <w:spacing w:before="40" w:after="80" w:line="276" w:lineRule="auto"/>
      </w:pPr>
      <w:r>
        <w:rPr>
          <w:rFonts w:ascii="Times New Roman" w:hAnsi="Times New Roman"/>
          <w:sz w:val="20"/>
        </w:rPr>
        <w:t>To verify whether the observed metric improvements resulting from canonical normalization are statistically significant, we evaluated hypothesis tests across all 5,760 paired field observations (</w:t>
      </w:r>
      <m:oMath>
        <m:r>
          <w:rPr>
            <w:rFonts w:ascii="Cambria Math" w:hAnsi="Cambria Math"/>
          </w:rPr>
          <m:t>N</m:t>
        </m:r>
        <m:r>
          <w:rPr>
            <w:rFonts w:ascii="Cambria Math" w:hAnsi="Cambria Math"/>
          </w:rPr>
          <m:t>=</m:t>
        </m:r>
        <m:r>
          <w:rPr>
            <w:rFonts w:ascii="Cambria Math" w:hAnsi="Cambria Math"/>
          </w:rPr>
          <m:t>5</m:t>
        </m:r>
        <m:r>
          <w:rPr>
            <w:rFonts w:ascii="Cambria Math" w:hAnsi="Cambria Math"/>
          </w:rPr>
          <m:t>,</m:t>
        </m:r>
        <m:r>
          <w:rPr>
            <w:rFonts w:ascii="Cambria Math" w:hAnsi="Cambria Math"/>
          </w:rPr>
          <m:t>760</m:t>
        </m:r>
      </m:oMath>
      <w:r>
        <w:rPr>
          <w:rFonts w:ascii="Times New Roman" w:hAnsi="Times New Roman"/>
          <w:sz w:val="20"/>
        </w:rPr>
        <w:t>).</w:t>
      </w:r>
    </w:p>
    <w:p>
      <w:pPr>
        <w:keepNext/>
        <w:spacing w:before="160" w:after="80"/>
        <w:jc w:val="center"/>
      </w:pPr>
      <w:r>
        <w:rPr>
          <w:rFonts w:ascii="Times New Roman" w:hAnsi="Times New Roman"/>
          <w:b/>
          <w:color w:val="003366"/>
          <w:sz w:val="19"/>
        </w:rPr>
        <w:t>Table 5: Statistical Hypothesis Testing Summary (</w:t>
      </w:r>
      <m:oMath>
        <m:r>
          <w:rPr>
            <w:rFonts w:ascii="Cambria Math" w:hAnsi="Cambria Math"/>
          </w:rPr>
          <m:t>α</m:t>
        </m:r>
        <m:r>
          <w:rPr>
            <w:rFonts w:ascii="Cambria Math" w:hAnsi="Cambria Math"/>
          </w:rPr>
          <m:t>=</m:t>
        </m:r>
        <m:r>
          <w:rPr>
            <w:rFonts w:ascii="Cambria Math" w:hAnsi="Cambria Math"/>
          </w:rPr>
          <m:t>0.001</m:t>
        </m:r>
      </m:oMath>
      <w:r>
        <w:rPr>
          <w:rFonts w:ascii="Times New Roman" w:hAnsi="Times New Roman"/>
          <w:b/>
          <w:color w:val="003366"/>
          <w:sz w:val="19"/>
        </w:rPr>
        <w:t>)</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337"/>
        <w:gridCol w:w="1337"/>
        <w:gridCol w:w="1337"/>
        <w:gridCol w:w="1337"/>
        <w:gridCol w:w="1337"/>
        <w:gridCol w:w="1337"/>
        <w:gridCol w:w="1337"/>
      </w:tblGrid>
      <w:tr>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Statistical Test</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Tested Metric</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Null Hypothesis (</w:t>
            </w:r>
            <m:oMath>
              <m:sSub>
                <m:e>
                  <m:r>
                    <w:rPr>
                      <w:rFonts w:ascii="Cambria Math" w:hAnsi="Cambria Math"/>
                    </w:rPr>
                    <m:t>H</m:t>
                  </m:r>
                </m:e>
                <m:sub>
                  <m:r>
                    <w:rPr>
                      <w:rFonts w:ascii="Cambria Math" w:hAnsi="Cambria Math"/>
                    </w:rPr>
                    <m:t>0</m:t>
                  </m:r>
                </m:sub>
              </m:sSub>
            </m:oMath>
            <w:r>
              <w:rPr>
                <w:rFonts w:ascii="Times New Roman" w:hAnsi="Times New Roman"/>
                <w:b/>
                <w:color w:val="FFFFFF"/>
                <w:sz w:val="19"/>
              </w:rPr>
              <w:t>)</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Test Statistic</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 xml:space="preserve">Exact </w:t>
            </w:r>
            <m:oMath>
              <m:r>
                <w:rPr>
                  <w:rFonts w:ascii="Cambria Math" w:hAnsi="Cambria Math"/>
                </w:rPr>
                <m:t>p</m:t>
              </m:r>
            </m:oMath>
            <w:r>
              <w:rPr>
                <w:rFonts w:ascii="Times New Roman" w:hAnsi="Times New Roman"/>
                <w:b/>
                <w:color w:val="FFFFFF"/>
                <w:sz w:val="19"/>
              </w:rPr>
              <w:t>-value</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Decision</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Significance Level</w:t>
            </w:r>
          </w:p>
        </w:tc>
      </w:tr>
      <w:tr>
        <w:tc>
          <w:tcPr>
            <w:tcW w:type="dxa" w:w="1337"/>
            <w:tcMar>
              <w:top w:w="100" w:type="dxa"/>
              <w:bottom w:w="100" w:type="dxa"/>
              <w:left w:w="130" w:type="dxa"/>
              <w:right w:w="130" w:type="dxa"/>
            </w:tcMar>
            <w:shd w:fill="FFFFFF"/>
          </w:tcPr>
          <w:p>
            <w:pPr>
              <w:spacing w:before="40" w:after="40"/>
              <w:jc w:val="left"/>
            </w:pPr>
            <w:r>
              <w:rPr>
                <w:rFonts w:ascii="Times New Roman" w:hAnsi="Times New Roman"/>
                <w:b/>
                <w:sz w:val="18"/>
              </w:rPr>
              <w:t>McNemar Test</w:t>
            </w:r>
          </w:p>
        </w:tc>
        <w:tc>
          <w:tcPr>
            <w:tcW w:type="dxa" w:w="1337"/>
            <w:tcMar>
              <w:top w:w="100" w:type="dxa"/>
              <w:bottom w:w="100" w:type="dxa"/>
              <w:left w:w="130" w:type="dxa"/>
              <w:right w:w="130" w:type="dxa"/>
            </w:tcMar>
            <w:shd w:fill="FFFFFF"/>
          </w:tcPr>
          <w:p>
            <w:pPr>
              <w:spacing w:before="40" w:after="40"/>
              <w:jc w:val="center"/>
            </w:pPr>
            <w:r>
              <w:rPr>
                <w:rFonts w:ascii="Times New Roman" w:hAnsi="Times New Roman"/>
                <w:sz w:val="18"/>
              </w:rPr>
              <w:t>Binary Field Match Rate</w:t>
            </w:r>
          </w:p>
        </w:tc>
        <w:tc>
          <w:tcPr>
            <w:tcW w:type="dxa" w:w="1337"/>
            <w:tcMar>
              <w:top w:w="100" w:type="dxa"/>
              <w:bottom w:w="100" w:type="dxa"/>
              <w:left w:w="130" w:type="dxa"/>
              <w:right w:w="130" w:type="dxa"/>
            </w:tcMar>
            <w:shd w:fill="FFFFFF"/>
          </w:tcPr>
          <w:p>
            <w:pPr>
              <w:spacing w:before="40" w:after="40"/>
              <w:jc w:val="center"/>
            </w:pPr>
            <m:oMath>
              <m:sSub>
                <m:e>
                  <m:r>
                    <w:rPr>
                      <w:rFonts w:ascii="Times New Roman" w:hAnsi="Times New Roman"/>
                      <w:i w:val="0"/>
                    </w:rPr>
                    <m:t>Acc</m:t>
                  </m:r>
                </m:e>
                <m:sub>
                  <m:r>
                    <w:rPr>
                      <w:rFonts w:ascii="Times New Roman" w:hAnsi="Times New Roman"/>
                      <w:i w:val="0"/>
                    </w:rPr>
                    <m:t>Pass A</m:t>
                  </m:r>
                </m:sub>
              </m:sSub>
              <m:r>
                <w:rPr>
                  <w:rFonts w:ascii="Cambria Math" w:hAnsi="Cambria Math"/>
                </w:rPr>
                <m:t>=</m:t>
              </m:r>
              <m:sSub>
                <m:e>
                  <m:r>
                    <w:rPr>
                      <w:rFonts w:ascii="Times New Roman" w:hAnsi="Times New Roman"/>
                      <w:i w:val="0"/>
                    </w:rPr>
                    <m:t>Acc</m:t>
                  </m:r>
                </m:e>
                <m:sub>
                  <m:r>
                    <w:rPr>
                      <w:rFonts w:ascii="Times New Roman" w:hAnsi="Times New Roman"/>
                      <w:i w:val="0"/>
                    </w:rPr>
                    <m:t>Pass B</m:t>
                  </m:r>
                </m:sub>
              </m:sSub>
            </m:oMath>
          </w:p>
        </w:tc>
        <w:tc>
          <w:tcPr>
            <w:tcW w:type="dxa" w:w="1337"/>
            <w:tcMar>
              <w:top w:w="100" w:type="dxa"/>
              <w:bottom w:w="100" w:type="dxa"/>
              <w:left w:w="130" w:type="dxa"/>
              <w:right w:w="130" w:type="dxa"/>
            </w:tcMar>
            <w:shd w:fill="FFFFFF"/>
          </w:tcPr>
          <w:p>
            <w:pPr>
              <w:spacing w:before="40" w:after="40"/>
              <w:jc w:val="center"/>
            </w:pPr>
            <m:oMath>
              <m:sSup>
                <m:e>
                  <m:r>
                    <w:rPr>
                      <w:rFonts w:ascii="Cambria Math" w:hAnsi="Cambria Math"/>
                    </w:rPr>
                    <m:t>χ</m:t>
                  </m:r>
                </m:e>
                <m:sup>
                  <m:r>
                    <w:rPr>
                      <w:rFonts w:ascii="Cambria Math" w:hAnsi="Cambria Math"/>
                    </w:rPr>
                    <m:t>2</m:t>
                  </m:r>
                </m:sup>
              </m:sSup>
              <m:r>
                <w:rPr>
                  <w:rFonts w:ascii="Cambria Math" w:hAnsi="Cambria Math"/>
                </w:rPr>
                <m:t>=</m:t>
              </m:r>
              <m:r>
                <w:rPr>
                  <w:rFonts w:ascii="Cambria Math" w:hAnsi="Cambria Math"/>
                </w:rPr>
                <m:t>2618.00</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&lt;</m:t>
              </m:r>
              <m:r>
                <w:rPr>
                  <w:rFonts w:ascii="Cambria Math" w:hAnsi="Cambria Math"/>
                </w:rPr>
                <m:t>1.0</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15</m:t>
                  </m:r>
                </m:sup>
              </m:sSup>
            </m:oMath>
          </w:p>
        </w:tc>
        <w:tc>
          <w:tcPr>
            <w:tcW w:type="dxa" w:w="1337"/>
            <w:tcMar>
              <w:top w:w="100" w:type="dxa"/>
              <w:bottom w:w="100" w:type="dxa"/>
              <w:left w:w="130" w:type="dxa"/>
              <w:right w:w="130" w:type="dxa"/>
            </w:tcMar>
            <w:shd w:fill="FFFFFF"/>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8F9FA"/>
          </w:tcPr>
          <w:p>
            <w:pPr>
              <w:spacing w:before="40" w:after="40"/>
              <w:jc w:val="left"/>
            </w:pPr>
            <w:r>
              <w:rPr>
                <w:rFonts w:ascii="Times New Roman" w:hAnsi="Times New Roman"/>
                <w:b/>
                <w:sz w:val="18"/>
              </w:rPr>
              <w:t>Wilcoxon Signed-Rank</w:t>
            </w:r>
          </w:p>
        </w:tc>
        <w:tc>
          <w:tcPr>
            <w:tcW w:type="dxa" w:w="1337"/>
            <w:tcMar>
              <w:top w:w="100" w:type="dxa"/>
              <w:bottom w:w="100" w:type="dxa"/>
              <w:left w:w="130" w:type="dxa"/>
              <w:right w:w="130" w:type="dxa"/>
            </w:tcMar>
            <w:shd w:fill="F8F9FA"/>
          </w:tcPr>
          <w:p>
            <w:pPr>
              <w:spacing w:before="40" w:after="40"/>
              <w:jc w:val="center"/>
            </w:pPr>
            <w:r>
              <w:rPr>
                <w:rFonts w:ascii="Times New Roman" w:hAnsi="Times New Roman"/>
                <w:sz w:val="18"/>
              </w:rPr>
              <w:t>Per-Sample F1 Score</w:t>
            </w:r>
          </w:p>
        </w:tc>
        <w:tc>
          <w:tcPr>
            <w:tcW w:type="dxa" w:w="1337"/>
            <w:tcMar>
              <w:top w:w="100" w:type="dxa"/>
              <w:bottom w:w="100" w:type="dxa"/>
              <w:left w:w="130" w:type="dxa"/>
              <w:right w:w="130" w:type="dxa"/>
            </w:tcMar>
            <w:shd w:fill="F8F9FA"/>
          </w:tcPr>
          <w:p>
            <w:pPr>
              <w:spacing w:before="40" w:after="40"/>
              <w:jc w:val="center"/>
            </w:pPr>
            <m:oMath>
              <m:r>
                <w:rPr>
                  <w:rFonts w:ascii="Times New Roman" w:hAnsi="Times New Roman"/>
                  <w:i w:val="0"/>
                </w:rPr>
                <m:t>Median</m:t>
              </m:r>
              <m:r>
                <w:rPr>
                  <w:rFonts w:ascii="Cambria Math" w:hAnsi="Cambria Math"/>
                </w:rPr>
                <m:t>(</m:t>
              </m:r>
              <m:r>
                <w:rPr>
                  <w:rFonts w:ascii="Cambria Math" w:hAnsi="Cambria Math"/>
                </w:rPr>
                <m:t>Δ</m:t>
              </m:r>
              <m:r>
                <w:rPr>
                  <w:rFonts w:ascii="Times New Roman" w:hAnsi="Times New Roman"/>
                  <w:i w:val="0"/>
                </w:rPr>
                <m:t>F1</m:t>
              </m:r>
              <m:r>
                <w:rPr>
                  <w:rFonts w:ascii="Cambria Math" w:hAnsi="Cambria Math"/>
                </w:rPr>
                <m:t>)</m:t>
              </m:r>
              <m:r>
                <w:rPr>
                  <w:rFonts w:ascii="Cambria Math" w:hAnsi="Cambria Math"/>
                </w:rPr>
                <m:t>=</m:t>
              </m:r>
              <m:r>
                <w:rPr>
                  <w:rFonts w:ascii="Cambria Math" w:hAnsi="Cambria Math"/>
                </w:rPr>
                <m:t>0</m:t>
              </m:r>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W</m:t>
              </m:r>
              <m:r>
                <w:rPr>
                  <w:rFonts w:ascii="Cambria Math" w:hAnsi="Cambria Math"/>
                </w:rPr>
                <m:t>=</m:t>
              </m:r>
              <m:r>
                <w:rPr>
                  <w:rFonts w:ascii="Cambria Math" w:hAnsi="Cambria Math"/>
                </w:rPr>
                <m:t>64980.0</m:t>
              </m:r>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1.55</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67</m:t>
                  </m:r>
                </m:sup>
              </m:sSup>
            </m:oMath>
          </w:p>
        </w:tc>
        <w:tc>
          <w:tcPr>
            <w:tcW w:type="dxa" w:w="1337"/>
            <w:tcMar>
              <w:top w:w="100" w:type="dxa"/>
              <w:bottom w:w="100" w:type="dxa"/>
              <w:left w:w="130" w:type="dxa"/>
              <w:right w:w="130" w:type="dxa"/>
            </w:tcMar>
            <w:shd w:fill="F8F9FA"/>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FFFFF"/>
          </w:tcPr>
          <w:p>
            <w:pPr>
              <w:spacing w:before="40" w:after="40"/>
              <w:jc w:val="left"/>
            </w:pPr>
            <w:r>
              <w:rPr>
                <w:rFonts w:ascii="Times New Roman" w:hAnsi="Times New Roman"/>
                <w:b/>
                <w:sz w:val="18"/>
              </w:rPr>
              <w:t>Wilcoxon Signed-Rank</w:t>
            </w:r>
          </w:p>
        </w:tc>
        <w:tc>
          <w:tcPr>
            <w:tcW w:type="dxa" w:w="1337"/>
            <w:tcMar>
              <w:top w:w="100" w:type="dxa"/>
              <w:bottom w:w="100" w:type="dxa"/>
              <w:left w:w="130" w:type="dxa"/>
              <w:right w:w="130" w:type="dxa"/>
            </w:tcMar>
            <w:shd w:fill="FFFFFF"/>
          </w:tcPr>
          <w:p>
            <w:pPr>
              <w:spacing w:before="40" w:after="40"/>
              <w:jc w:val="center"/>
            </w:pPr>
            <w:r>
              <w:rPr>
                <w:rFonts w:ascii="Times New Roman" w:hAnsi="Times New Roman"/>
                <w:sz w:val="18"/>
              </w:rPr>
              <w:t>Per-Sample CER Reduction</w:t>
            </w:r>
          </w:p>
        </w:tc>
        <w:tc>
          <w:tcPr>
            <w:tcW w:type="dxa" w:w="1337"/>
            <w:tcMar>
              <w:top w:w="100" w:type="dxa"/>
              <w:bottom w:w="100" w:type="dxa"/>
              <w:left w:w="130" w:type="dxa"/>
              <w:right w:w="130" w:type="dxa"/>
            </w:tcMar>
            <w:shd w:fill="FFFFFF"/>
          </w:tcPr>
          <w:p>
            <w:pPr>
              <w:spacing w:before="40" w:after="40"/>
              <w:jc w:val="center"/>
            </w:pPr>
            <m:oMath>
              <m:r>
                <w:rPr>
                  <w:rFonts w:ascii="Times New Roman" w:hAnsi="Times New Roman"/>
                  <w:i w:val="0"/>
                </w:rPr>
                <m:t>Median</m:t>
              </m:r>
              <m:r>
                <w:rPr>
                  <w:rFonts w:ascii="Cambria Math" w:hAnsi="Cambria Math"/>
                </w:rPr>
                <m:t>(</m:t>
              </m:r>
              <m:r>
                <w:rPr>
                  <w:rFonts w:ascii="Cambria Math" w:hAnsi="Cambria Math"/>
                </w:rPr>
                <m:t>Δ</m:t>
              </m:r>
              <m:r>
                <w:rPr>
                  <w:rFonts w:ascii="Times New Roman" w:hAnsi="Times New Roman"/>
                  <w:i w:val="0"/>
                </w:rPr>
                <m:t>CER</m:t>
              </m:r>
              <m:r>
                <w:rPr>
                  <w:rFonts w:ascii="Cambria Math" w:hAnsi="Cambria Math"/>
                </w:rPr>
                <m:t>)</m:t>
              </m:r>
              <m:r>
                <w:rPr>
                  <w:rFonts w:ascii="Cambria Math" w:hAnsi="Cambria Math"/>
                </w:rPr>
                <m:t>=</m:t>
              </m:r>
              <m:r>
                <w:rPr>
                  <w:rFonts w:ascii="Cambria Math" w:hAnsi="Cambria Math"/>
                </w:rPr>
                <m:t>0</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W</m:t>
              </m:r>
              <m:r>
                <w:rPr>
                  <w:rFonts w:ascii="Cambria Math" w:hAnsi="Cambria Math"/>
                </w:rPr>
                <m:t>=</m:t>
              </m:r>
              <m:r>
                <w:rPr>
                  <w:rFonts w:ascii="Cambria Math" w:hAnsi="Cambria Math"/>
                </w:rPr>
                <m:t>64980.0</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4.68</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61</m:t>
                  </m:r>
                </m:sup>
              </m:sSup>
            </m:oMath>
          </w:p>
        </w:tc>
        <w:tc>
          <w:tcPr>
            <w:tcW w:type="dxa" w:w="1337"/>
            <w:tcMar>
              <w:top w:w="100" w:type="dxa"/>
              <w:bottom w:w="100" w:type="dxa"/>
              <w:left w:w="130" w:type="dxa"/>
              <w:right w:w="130" w:type="dxa"/>
            </w:tcMar>
            <w:shd w:fill="FFFFFF"/>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8F9FA"/>
          </w:tcPr>
          <w:p>
            <w:pPr>
              <w:spacing w:before="40" w:after="40"/>
              <w:jc w:val="left"/>
            </w:pPr>
            <w:r>
              <w:rPr>
                <w:rFonts w:ascii="Times New Roman" w:hAnsi="Times New Roman"/>
                <w:b/>
                <w:sz w:val="18"/>
              </w:rPr>
              <w:t>Paired Student's t-Test</w:t>
            </w:r>
          </w:p>
        </w:tc>
        <w:tc>
          <w:tcPr>
            <w:tcW w:type="dxa" w:w="1337"/>
            <w:tcMar>
              <w:top w:w="100" w:type="dxa"/>
              <w:bottom w:w="100" w:type="dxa"/>
              <w:left w:w="130" w:type="dxa"/>
              <w:right w:w="130" w:type="dxa"/>
            </w:tcMar>
            <w:shd w:fill="F8F9FA"/>
          </w:tcPr>
          <w:p>
            <w:pPr>
              <w:spacing w:before="40" w:after="40"/>
              <w:jc w:val="center"/>
            </w:pPr>
            <w:r>
              <w:rPr>
                <w:rFonts w:ascii="Times New Roman" w:hAnsi="Times New Roman"/>
                <w:sz w:val="18"/>
              </w:rPr>
              <w:t>Sample Mean F1 Score</w:t>
            </w:r>
          </w:p>
        </w:tc>
        <w:tc>
          <w:tcPr>
            <w:tcW w:type="dxa" w:w="1337"/>
            <w:tcMar>
              <w:top w:w="100" w:type="dxa"/>
              <w:bottom w:w="100" w:type="dxa"/>
              <w:left w:w="130" w:type="dxa"/>
              <w:right w:w="130" w:type="dxa"/>
            </w:tcMar>
            <w:shd w:fill="F8F9FA"/>
          </w:tcPr>
          <w:p>
            <w:pPr>
              <w:spacing w:before="40" w:after="40"/>
              <w:jc w:val="center"/>
            </w:pPr>
            <m:oMath>
              <m:sSub>
                <m:e>
                  <m:r>
                    <w:rPr>
                      <w:rFonts w:ascii="Cambria Math" w:hAnsi="Cambria Math"/>
                    </w:rPr>
                    <m:t>μ</m:t>
                  </m:r>
                </m:e>
                <m:sub>
                  <m:r>
                    <w:rPr>
                      <w:rFonts w:ascii="Times New Roman" w:hAnsi="Times New Roman"/>
                      <w:i w:val="0"/>
                    </w:rPr>
                    <m:t>Pass A</m:t>
                  </m:r>
                </m:sub>
              </m:sSub>
              <m:r>
                <w:rPr>
                  <w:rFonts w:ascii="Cambria Math" w:hAnsi="Cambria Math"/>
                </w:rPr>
                <m:t>=</m:t>
              </m:r>
              <m:sSub>
                <m:e>
                  <m:r>
                    <w:rPr>
                      <w:rFonts w:ascii="Cambria Math" w:hAnsi="Cambria Math"/>
                    </w:rPr>
                    <m:t>μ</m:t>
                  </m:r>
                </m:e>
                <m:sub>
                  <m:r>
                    <w:rPr>
                      <w:rFonts w:ascii="Times New Roman" w:hAnsi="Times New Roman"/>
                      <w:i w:val="0"/>
                    </w:rPr>
                    <m:t>Pass B</m:t>
                  </m:r>
                </m:sub>
              </m:sSub>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t</m:t>
              </m:r>
              <m:r>
                <w:rPr>
                  <w:rFonts w:ascii="Cambria Math" w:hAnsi="Cambria Math"/>
                </w:rPr>
                <m:t>=</m:t>
              </m:r>
              <m:r>
                <w:rPr>
                  <w:rFonts w:ascii="Cambria Math" w:hAnsi="Cambria Math"/>
                </w:rPr>
                <m:t>307.87</m:t>
              </m:r>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&lt;</m:t>
              </m:r>
              <m:r>
                <w:rPr>
                  <w:rFonts w:ascii="Cambria Math" w:hAnsi="Cambria Math"/>
                </w:rPr>
                <m:t>1.0</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15</m:t>
                  </m:r>
                </m:sup>
              </m:sSup>
            </m:oMath>
          </w:p>
        </w:tc>
        <w:tc>
          <w:tcPr>
            <w:tcW w:type="dxa" w:w="1337"/>
            <w:tcMar>
              <w:top w:w="100" w:type="dxa"/>
              <w:bottom w:w="100" w:type="dxa"/>
              <w:left w:w="130" w:type="dxa"/>
              <w:right w:w="130" w:type="dxa"/>
            </w:tcMar>
            <w:shd w:fill="F8F9FA"/>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FFFFF"/>
          </w:tcPr>
          <w:p>
            <w:pPr>
              <w:spacing w:before="40" w:after="40"/>
              <w:jc w:val="left"/>
            </w:pPr>
            <w:r>
              <w:rPr>
                <w:rFonts w:ascii="Times New Roman" w:hAnsi="Times New Roman"/>
                <w:b/>
                <w:sz w:val="18"/>
              </w:rPr>
              <w:t>Paired Student's t-Test</w:t>
            </w:r>
          </w:p>
        </w:tc>
        <w:tc>
          <w:tcPr>
            <w:tcW w:type="dxa" w:w="1337"/>
            <w:tcMar>
              <w:top w:w="100" w:type="dxa"/>
              <w:bottom w:w="100" w:type="dxa"/>
              <w:left w:w="130" w:type="dxa"/>
              <w:right w:w="130" w:type="dxa"/>
            </w:tcMar>
            <w:shd w:fill="FFFFFF"/>
          </w:tcPr>
          <w:p>
            <w:pPr>
              <w:spacing w:before="40" w:after="40"/>
              <w:jc w:val="center"/>
            </w:pPr>
            <w:r>
              <w:rPr>
                <w:rFonts w:ascii="Times New Roman" w:hAnsi="Times New Roman"/>
                <w:sz w:val="18"/>
              </w:rPr>
              <w:t>Sample Mean CER</w:t>
            </w:r>
          </w:p>
        </w:tc>
        <w:tc>
          <w:tcPr>
            <w:tcW w:type="dxa" w:w="1337"/>
            <w:tcMar>
              <w:top w:w="100" w:type="dxa"/>
              <w:bottom w:w="100" w:type="dxa"/>
              <w:left w:w="130" w:type="dxa"/>
              <w:right w:w="130" w:type="dxa"/>
            </w:tcMar>
            <w:shd w:fill="FFFFFF"/>
          </w:tcPr>
          <w:p>
            <w:pPr>
              <w:spacing w:before="40" w:after="40"/>
              <w:jc w:val="center"/>
            </w:pPr>
            <m:oMath>
              <m:sSub>
                <m:e>
                  <m:r>
                    <w:rPr>
                      <w:rFonts w:ascii="Cambria Math" w:hAnsi="Cambria Math"/>
                    </w:rPr>
                    <m:t>μ</m:t>
                  </m:r>
                </m:e>
                <m:sub>
                  <m:r>
                    <w:rPr>
                      <w:rFonts w:ascii="Times New Roman" w:hAnsi="Times New Roman"/>
                      <w:i w:val="0"/>
                    </w:rPr>
                    <m:t>Pass A</m:t>
                  </m:r>
                </m:sub>
              </m:sSub>
              <m:r>
                <w:rPr>
                  <w:rFonts w:ascii="Cambria Math" w:hAnsi="Cambria Math"/>
                </w:rPr>
                <m:t>=</m:t>
              </m:r>
              <m:sSub>
                <m:e>
                  <m:r>
                    <w:rPr>
                      <w:rFonts w:ascii="Cambria Math" w:hAnsi="Cambria Math"/>
                    </w:rPr>
                    <m:t>μ</m:t>
                  </m:r>
                </m:e>
                <m:sub>
                  <m:r>
                    <w:rPr>
                      <w:rFonts w:ascii="Times New Roman" w:hAnsi="Times New Roman"/>
                      <w:i w:val="0"/>
                    </w:rPr>
                    <m:t>Pass B</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t</m:t>
              </m:r>
              <m:r>
                <w:rPr>
                  <w:rFonts w:ascii="Cambria Math" w:hAnsi="Cambria Math"/>
                </w:rPr>
                <m:t>=</m:t>
              </m:r>
              <m:r>
                <w:rPr>
                  <w:rFonts w:ascii="Cambria Math" w:hAnsi="Cambria Math"/>
                </w:rPr>
                <m:t>262.36</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&lt;</m:t>
              </m:r>
              <m:r>
                <w:rPr>
                  <w:rFonts w:ascii="Cambria Math" w:hAnsi="Cambria Math"/>
                </w:rPr>
                <m:t>1.0</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15</m:t>
                  </m:r>
                </m:sup>
              </m:sSup>
            </m:oMath>
          </w:p>
        </w:tc>
        <w:tc>
          <w:tcPr>
            <w:tcW w:type="dxa" w:w="1337"/>
            <w:tcMar>
              <w:top w:w="100" w:type="dxa"/>
              <w:bottom w:w="100" w:type="dxa"/>
              <w:left w:w="130" w:type="dxa"/>
              <w:right w:w="130" w:type="dxa"/>
            </w:tcMar>
            <w:shd w:fill="FFFFFF"/>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bl>
    <w:p>
      <w:pPr>
        <w:spacing w:after="120"/>
      </w:pPr>
    </w:p>
    <w:p>
      <w:pPr>
        <w:spacing w:before="40" w:after="80" w:line="276" w:lineRule="auto"/>
      </w:pPr>
      <w:r>
        <w:rPr>
          <w:rFonts w:ascii="Times New Roman" w:hAnsi="Times New Roman"/>
          <w:sz w:val="20"/>
        </w:rPr>
        <w:t xml:space="preserve">McNemar's test over the </w:t>
      </w:r>
      <m:oMath>
        <m:r>
          <w:rPr>
            <w:rFonts w:ascii="Cambria Math" w:hAnsi="Cambria Math"/>
          </w:rPr>
          <m:t>2</m:t>
        </m:r>
        <m:r>
          <w:rPr>
            <w:rFonts w:ascii="Cambria Math" w:hAnsi="Cambria Math"/>
          </w:rPr>
          <m:t>×</m:t>
        </m:r>
        <m:r>
          <w:rPr>
            <w:rFonts w:ascii="Cambria Math" w:hAnsi="Cambria Math"/>
          </w:rPr>
          <m:t>2</m:t>
        </m:r>
      </m:oMath>
      <w:r>
        <w:rPr>
          <w:rFonts w:ascii="Times New Roman" w:hAnsi="Times New Roman"/>
          <w:sz w:val="20"/>
        </w:rPr>
        <w:t xml:space="preserve"> contingency matrix (</w:t>
      </w:r>
      <m:oMath>
        <m:r>
          <w:rPr>
            <w:rFonts w:ascii="Cambria Math" w:hAnsi="Cambria Math"/>
          </w:rPr>
          <m:t>a</m:t>
        </m:r>
        <m:r>
          <w:rPr>
            <w:rFonts w:ascii="Cambria Math" w:hAnsi="Cambria Math"/>
          </w:rPr>
          <m:t>=</m:t>
        </m:r>
        <m:r>
          <w:rPr>
            <w:rFonts w:ascii="Cambria Math" w:hAnsi="Cambria Math"/>
          </w:rPr>
          <m:t>2</m:t>
        </m:r>
        <m:r>
          <w:rPr>
            <w:rFonts w:ascii="Cambria Math" w:hAnsi="Cambria Math"/>
          </w:rPr>
          <m:t>,</m:t>
        </m:r>
        <m:r>
          <w:rPr>
            <w:rFonts w:ascii="Cambria Math" w:hAnsi="Cambria Math"/>
          </w:rPr>
          <m:t>880</m:t>
        </m:r>
        <m:r>
          <w:rPr>
            <w:rFonts w:ascii="Cambria Math" w:hAnsi="Cambria Math"/>
          </w:rPr>
          <m:t>,</m:t>
        </m:r>
        <m:r>
          <w:rPr>
            <w:rFonts w:ascii="Cambria Math" w:hAnsi="Cambria Math"/>
          </w:rPr>
          <m:t>b</m:t>
        </m:r>
        <m:r>
          <w:rPr>
            <w:rFonts w:ascii="Cambria Math" w:hAnsi="Cambria Math"/>
          </w:rPr>
          <m:t>=</m:t>
        </m:r>
        <m:r>
          <w:rPr>
            <w:rFonts w:ascii="Cambria Math" w:hAnsi="Cambria Math"/>
          </w:rPr>
          <m:t>0</m:t>
        </m:r>
        <m:r>
          <w:rPr>
            <w:rFonts w:ascii="Cambria Math" w:hAnsi="Cambria Math"/>
          </w:rPr>
          <m:t>,</m:t>
        </m:r>
        <m:r>
          <w:rPr>
            <w:rFonts w:ascii="Cambria Math" w:hAnsi="Cambria Math"/>
          </w:rPr>
          <m:t>c</m:t>
        </m:r>
        <m:r>
          <w:rPr>
            <w:rFonts w:ascii="Cambria Math" w:hAnsi="Cambria Math"/>
          </w:rPr>
          <m:t>=</m:t>
        </m:r>
        <m:r>
          <w:rPr>
            <w:rFonts w:ascii="Cambria Math" w:hAnsi="Cambria Math"/>
          </w:rPr>
          <m:t>2</m:t>
        </m:r>
        <m:r>
          <w:rPr>
            <w:rFonts w:ascii="Cambria Math" w:hAnsi="Cambria Math"/>
          </w:rPr>
          <m:t>,</m:t>
        </m:r>
        <m:r>
          <w:rPr>
            <w:rFonts w:ascii="Cambria Math" w:hAnsi="Cambria Math"/>
          </w:rPr>
          <m:t>620</m:t>
        </m:r>
        <m:r>
          <w:rPr>
            <w:rFonts w:ascii="Cambria Math" w:hAnsi="Cambria Math"/>
          </w:rPr>
          <m:t>,</m:t>
        </m:r>
        <m:r>
          <w:rPr>
            <w:rFonts w:ascii="Cambria Math" w:hAnsi="Cambria Math"/>
          </w:rPr>
          <m:t>d</m:t>
        </m:r>
        <m:r>
          <w:rPr>
            <w:rFonts w:ascii="Cambria Math" w:hAnsi="Cambria Math"/>
          </w:rPr>
          <m:t>=</m:t>
        </m:r>
        <m:r>
          <w:rPr>
            <w:rFonts w:ascii="Cambria Math" w:hAnsi="Cambria Math"/>
          </w:rPr>
          <m:t>260</m:t>
        </m:r>
      </m:oMath>
      <w:r>
        <w:rPr>
          <w:rFonts w:ascii="Times New Roman" w:hAnsi="Times New Roman"/>
          <w:sz w:val="20"/>
        </w:rPr>
        <w:t xml:space="preserve">) yielded </w:t>
      </w:r>
      <m:oMath>
        <m:sSup>
          <m:e>
            <m:r>
              <w:rPr>
                <w:rFonts w:ascii="Cambria Math" w:hAnsi="Cambria Math"/>
              </w:rPr>
              <m:t>χ</m:t>
            </m:r>
          </m:e>
          <m:sup>
            <m:r>
              <w:rPr>
                <w:rFonts w:ascii="Cambria Math" w:hAnsi="Cambria Math"/>
              </w:rPr>
              <m:t>2</m:t>
            </m:r>
          </m:sup>
        </m:sSup>
        <m:r>
          <w:rPr>
            <w:rFonts w:ascii="Cambria Math" w:hAnsi="Cambria Math"/>
          </w:rPr>
          <m:t>=</m:t>
        </m:r>
        <m:r>
          <w:rPr>
            <w:rFonts w:ascii="Cambria Math" w:hAnsi="Cambria Math"/>
          </w:rPr>
          <m:t>2618.00</m:t>
        </m:r>
      </m:oMath>
      <w:r>
        <w:rPr>
          <w:rFonts w:ascii="Times New Roman" w:hAnsi="Times New Roman"/>
          <w:sz w:val="20"/>
        </w:rPr>
        <w:t xml:space="preserve"> (</w:t>
      </w: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sz w:val="20"/>
        </w:rPr>
        <w:t>), confirming that canonical normalization provides an overwhelmingly statistically significant improvement in field match accuracy.</w:t>
      </w:r>
    </w:p>
    <w:p>
      <w:pPr>
        <w:keepNext/>
        <w:spacing w:before="200" w:after="80"/>
      </w:pPr>
      <w:r>
        <w:rPr>
          <w:rFonts w:ascii="Times New Roman" w:hAnsi="Times New Roman"/>
          <w:b/>
          <w:color w:val="333333"/>
          <w:sz w:val="23"/>
        </w:rPr>
        <w:t>7.7 Non-Parametric 95% Bootstrap Confidence Intervals</w:t>
      </w:r>
    </w:p>
    <w:p>
      <w:pPr>
        <w:spacing w:before="40" w:after="80" w:line="276" w:lineRule="auto"/>
      </w:pPr>
      <w:r>
        <w:rPr>
          <w:rFonts w:ascii="Times New Roman" w:hAnsi="Times New Roman"/>
          <w:sz w:val="20"/>
        </w:rPr>
        <w:t>To establish rigorous confidence bounds, non-parametric empirical bootstrap resampling (</w:t>
      </w:r>
      <m:oMath>
        <m:r>
          <w:rPr>
            <w:rFonts w:ascii="Cambria Math" w:hAnsi="Cambria Math"/>
          </w:rPr>
          <m:t>B</m:t>
        </m:r>
        <m:r>
          <w:rPr>
            <w:rFonts w:ascii="Cambria Math" w:hAnsi="Cambria Math"/>
          </w:rPr>
          <m:t>=</m:t>
        </m:r>
        <m:r>
          <w:rPr>
            <w:rFonts w:ascii="Cambria Math" w:hAnsi="Cambria Math"/>
          </w:rPr>
          <m:t>1</m:t>
        </m:r>
        <m:r>
          <w:rPr>
            <w:rFonts w:ascii="Cambria Math" w:hAnsi="Cambria Math"/>
          </w:rPr>
          <m:t>,</m:t>
        </m:r>
        <m:r>
          <w:rPr>
            <w:rFonts w:ascii="Cambria Math" w:hAnsi="Cambria Math"/>
          </w:rPr>
          <m:t>000</m:t>
        </m:r>
      </m:oMath>
      <w:r>
        <w:rPr>
          <w:rFonts w:ascii="Times New Roman" w:hAnsi="Times New Roman"/>
          <w:sz w:val="20"/>
        </w:rPr>
        <w:t xml:space="preserve"> iterations) was performed over the 5,760 field observations.</w:t>
      </w:r>
    </w:p>
    <w:p>
      <w:pPr>
        <w:keepNext/>
        <w:spacing w:before="160" w:after="80"/>
        <w:jc w:val="center"/>
      </w:pPr>
      <w:r>
        <w:rPr>
          <w:rFonts w:ascii="Times New Roman" w:hAnsi="Times New Roman"/>
          <w:b/>
          <w:color w:val="003366"/>
          <w:sz w:val="19"/>
        </w:rPr>
        <w:t>Table 6: Empirical Benchmark Metrics with 95% Bootstrap Confidence Intervals</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872"/>
        <w:gridCol w:w="1872"/>
        <w:gridCol w:w="1872"/>
        <w:gridCol w:w="1872"/>
        <w:gridCol w:w="1872"/>
      </w:tblGrid>
      <w:tr>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Evaluation Pass</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Benchmark Metric</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Empirical Mean</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95% Bootstrap CI [Lower, Upper]</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CI Bound Range (</w:t>
            </w:r>
            <m:oMath>
              <m:r>
                <w:rPr>
                  <w:rFonts w:ascii="Cambria Math" w:hAnsi="Cambria Math"/>
                </w:rPr>
                <m:t>Δ</m:t>
              </m:r>
            </m:oMath>
            <w:r>
              <w:rPr>
                <w:rFonts w:ascii="Times New Roman" w:hAnsi="Times New Roman"/>
                <w:b/>
                <w:color w:val="FFFFFF"/>
                <w:sz w:val="19"/>
              </w:rPr>
              <w:t>)</w:t>
            </w:r>
          </w:p>
        </w:tc>
      </w:tr>
      <w:tr>
        <w:tc>
          <w:tcPr>
            <w:tcW w:type="dxa" w:w="1872"/>
            <w:tcMar>
              <w:top w:w="100" w:type="dxa"/>
              <w:bottom w:w="100" w:type="dxa"/>
              <w:left w:w="130" w:type="dxa"/>
              <w:right w:w="130" w:type="dxa"/>
            </w:tcMar>
            <w:shd w:fill="FFFFFF"/>
          </w:tcPr>
          <w:p>
            <w:pPr>
              <w:spacing w:before="40" w:after="40"/>
              <w:jc w:val="left"/>
            </w:pPr>
            <w:r>
              <w:rPr>
                <w:rFonts w:ascii="Times New Roman" w:hAnsi="Times New Roman"/>
                <w:b/>
                <w:sz w:val="18"/>
              </w:rPr>
              <w:t>Pass A (Without Normalization)</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Field F1 Score</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50.00%</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[48.72%, 51.28%]</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2.57%</w:t>
            </w:r>
          </w:p>
        </w:tc>
      </w:tr>
      <w:tr>
        <w:tc>
          <w:tcPr>
            <w:tcW w:type="dxa" w:w="1872"/>
            <w:tcMar>
              <w:top w:w="100" w:type="dxa"/>
              <w:bottom w:w="100" w:type="dxa"/>
              <w:left w:w="130" w:type="dxa"/>
              <w:right w:w="130" w:type="dxa"/>
            </w:tcMar>
            <w:shd w:fill="F8F9FA"/>
          </w:tcPr>
          <w:p>
            <w:pPr>
              <w:spacing w:before="40" w:after="40"/>
              <w:jc w:val="left"/>
            </w:pP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Character Error Rate (CER)</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38.13%</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[36.92%, 39.36%]</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2.44%</w:t>
            </w:r>
          </w:p>
        </w:tc>
      </w:tr>
      <w:tr>
        <w:tc>
          <w:tcPr>
            <w:tcW w:type="dxa" w:w="1872"/>
            <w:tcMar>
              <w:top w:w="100" w:type="dxa"/>
              <w:bottom w:w="100" w:type="dxa"/>
              <w:left w:w="130" w:type="dxa"/>
              <w:right w:w="130" w:type="dxa"/>
            </w:tcMar>
            <w:shd w:fill="FFFFFF"/>
          </w:tcPr>
          <w:p>
            <w:pPr>
              <w:spacing w:before="40" w:after="40"/>
              <w:jc w:val="left"/>
            </w:pP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Word Error Rate (WER)</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285.31%</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[276.26%, 294.89%]</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18.62%</w:t>
            </w:r>
          </w:p>
        </w:tc>
      </w:tr>
      <w:tr>
        <w:tc>
          <w:tcPr>
            <w:tcW w:type="dxa" w:w="1872"/>
            <w:tcMar>
              <w:top w:w="100" w:type="dxa"/>
              <w:bottom w:w="100" w:type="dxa"/>
              <w:left w:w="130" w:type="dxa"/>
              <w:right w:w="130" w:type="dxa"/>
            </w:tcMar>
            <w:shd w:fill="F8F9FA"/>
          </w:tcPr>
          <w:p>
            <w:pPr>
              <w:spacing w:before="40" w:after="40"/>
              <w:jc w:val="left"/>
            </w:pPr>
            <w:r>
              <w:rPr>
                <w:rFonts w:ascii="Times New Roman" w:hAnsi="Times New Roman"/>
                <w:b/>
                <w:sz w:val="18"/>
              </w:rPr>
              <w:t>Pass B (With Normalization)</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Field F1 Score</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[94.93%, 96.01%]</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1.08%</w:t>
            </w:r>
          </w:p>
        </w:tc>
      </w:tr>
      <w:tr>
        <w:tc>
          <w:tcPr>
            <w:tcW w:type="dxa" w:w="1872"/>
            <w:tcMar>
              <w:top w:w="100" w:type="dxa"/>
              <w:bottom w:w="100" w:type="dxa"/>
              <w:left w:w="130" w:type="dxa"/>
              <w:right w:w="130" w:type="dxa"/>
            </w:tcMar>
            <w:shd w:fill="FFFFFF"/>
          </w:tcPr>
          <w:p>
            <w:pPr>
              <w:spacing w:before="40" w:after="40"/>
              <w:jc w:val="left"/>
            </w:pP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Character Error Rate (CER)</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3.65%</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[3.23%, 4.10%]</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0.87%</w:t>
            </w:r>
          </w:p>
        </w:tc>
      </w:tr>
      <w:tr>
        <w:tc>
          <w:tcPr>
            <w:tcW w:type="dxa" w:w="1872"/>
            <w:tcMar>
              <w:top w:w="100" w:type="dxa"/>
              <w:bottom w:w="100" w:type="dxa"/>
              <w:left w:w="130" w:type="dxa"/>
              <w:right w:w="130" w:type="dxa"/>
            </w:tcMar>
            <w:shd w:fill="F8F9FA"/>
          </w:tcPr>
          <w:p>
            <w:pPr>
              <w:spacing w:before="40" w:after="40"/>
              <w:jc w:val="left"/>
            </w:pP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Word Error Rate (WER)</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27.01%</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[23.86%, 30.26%]</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6.40%</w:t>
            </w:r>
          </w:p>
        </w:tc>
      </w:tr>
      <w:tr>
        <w:tc>
          <w:tcPr>
            <w:tcW w:type="dxa" w:w="1872"/>
            <w:tcMar>
              <w:top w:w="100" w:type="dxa"/>
              <w:bottom w:w="100" w:type="dxa"/>
              <w:left w:w="130" w:type="dxa"/>
              <w:right w:w="130" w:type="dxa"/>
            </w:tcMar>
            <w:shd w:fill="FFFFFF"/>
          </w:tcPr>
          <w:p>
            <w:pPr>
              <w:spacing w:before="40" w:after="40"/>
              <w:jc w:val="left"/>
            </w:pPr>
            <w:r>
              <w:rPr>
                <w:rFonts w:ascii="Times New Roman" w:hAnsi="Times New Roman"/>
                <w:b/>
                <w:sz w:val="18"/>
              </w:rPr>
              <w:t>Net Empirical Change</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F1 Score Boost</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[+44.29%, +46.82%]</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2.53%</w:t>
            </w:r>
          </w:p>
        </w:tc>
      </w:tr>
      <w:tr>
        <w:tc>
          <w:tcPr>
            <w:tcW w:type="dxa" w:w="1872"/>
            <w:tcMar>
              <w:top w:w="100" w:type="dxa"/>
              <w:bottom w:w="100" w:type="dxa"/>
              <w:left w:w="130" w:type="dxa"/>
              <w:right w:w="130" w:type="dxa"/>
            </w:tcMar>
            <w:shd w:fill="F8F9FA"/>
          </w:tcPr>
          <w:p>
            <w:pPr>
              <w:spacing w:before="40" w:after="40"/>
              <w:jc w:val="left"/>
            </w:pP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CER Reduction</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-34.48%</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[-35.65%, -33.25%]</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2.40%</w:t>
            </w:r>
          </w:p>
        </w:tc>
      </w:tr>
      <w:tr>
        <w:tc>
          <w:tcPr>
            <w:tcW w:type="dxa" w:w="1872"/>
            <w:tcMar>
              <w:top w:w="100" w:type="dxa"/>
              <w:bottom w:w="100" w:type="dxa"/>
              <w:left w:w="130" w:type="dxa"/>
              <w:right w:w="130" w:type="dxa"/>
            </w:tcMar>
            <w:shd w:fill="FFFFFF"/>
          </w:tcPr>
          <w:p>
            <w:pPr>
              <w:spacing w:before="40" w:after="40"/>
              <w:jc w:val="left"/>
            </w:pP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WER Reduction</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-258.30%</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[-267.73%, -249.11%]</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18.62%</w:t>
            </w:r>
          </w:p>
        </w:tc>
      </w:tr>
    </w:tbl>
    <w:p>
      <w:pPr>
        <w:spacing w:after="120"/>
      </w:pPr>
    </w:p>
    <w:p>
      <w:pPr>
        <w:spacing w:before="40" w:after="80" w:line="276" w:lineRule="auto"/>
      </w:pPr>
      <w:r>
        <w:rPr>
          <w:rFonts w:ascii="Times New Roman" w:hAnsi="Times New Roman"/>
          <w:sz w:val="20"/>
        </w:rPr>
        <w:t>The 95% confidence intervals for Pass A ([48.72%, 51.28%]) and Pass B ([94.93%, 96.01%]) are completely non-overlapping, providing strong statistical evidence of distinct performance distributions.</w:t>
      </w:r>
    </w:p>
    <w:p>
      <w:pPr>
        <w:keepNext/>
        <w:spacing w:before="200" w:after="80"/>
      </w:pPr>
      <w:r>
        <w:rPr>
          <w:rFonts w:ascii="Times New Roman" w:hAnsi="Times New Roman"/>
          <w:b/>
          <w:color w:val="333333"/>
          <w:sz w:val="23"/>
        </w:rPr>
        <w:t>7.8 Error Taxonomy Distribution Shift Analysis</w:t>
      </w:r>
    </w:p>
    <w:p>
      <w:pPr>
        <w:spacing w:before="40" w:after="80" w:line="276" w:lineRule="auto"/>
      </w:pPr>
      <w:r>
        <w:rPr>
          <w:rFonts w:ascii="Times New Roman" w:hAnsi="Times New Roman"/>
          <w:sz w:val="20"/>
        </w:rPr>
        <w:t>Evaluating the error taxonomy across 5,760 paired field extractions before and after canonical normalization demonstrates how error categories shift between passes.</w:t>
      </w:r>
    </w:p>
    <w:p>
      <w:pPr>
        <w:keepNext/>
        <w:spacing w:before="160" w:after="80"/>
        <w:jc w:val="center"/>
      </w:pPr>
      <w:r>
        <w:rPr>
          <w:rFonts w:ascii="Times New Roman" w:hAnsi="Times New Roman"/>
          <w:b/>
          <w:color w:val="003366"/>
          <w:sz w:val="19"/>
        </w:rPr>
        <w:t>Table 7: Nine-Class OCR Error Taxonomy Distribution Before and After Normalization</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560"/>
        <w:gridCol w:w="1560"/>
        <w:gridCol w:w="1560"/>
        <w:gridCol w:w="1560"/>
        <w:gridCol w:w="1560"/>
        <w:gridCol w:w="1560"/>
      </w:tblGrid>
      <w:tr>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Error Category Class</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Diagnostic Failure Description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Pass A (Without Normalization)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Pass B (With Normalization)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Absolute Shift</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Shift (%)</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EXACT_MATCH</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Character-perfect field match</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2,880 (50.00%)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5,500 (95.49%)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+2,620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+90.97%</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FORMAT_ERROR</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Match achieved after canonicalization</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2,620 (45.49%)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-2,620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-100.00%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NORMALIZATION_ERROR</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Canonical values remain unequal</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260 (4.51%)</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260 (4.51%)</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OCR_ERROR</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Physical optical scanner noise</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FIELD_MISSING</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Target entity key omitted</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HALLUCINATION</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Content absent from document</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CATEGORY_ERROR</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Category misclassification</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PARTIAL_MATCH</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Partial substring overlap</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LOW_CONFIDENCE</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Score below confidence cutoff</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Total Evaluations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Complete Benchmark Suite</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5,760 (100%)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5,760 (100%)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100.00%</w:t>
            </w:r>
          </w:p>
        </w:tc>
      </w:tr>
    </w:tbl>
    <w:p>
      <w:pPr>
        <w:spacing w:after="120"/>
      </w:pPr>
    </w:p>
    <w:p>
      <w:pPr>
        <w:spacing w:before="40" w:after="80" w:line="276" w:lineRule="auto"/>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8. Discussion, Threats to Validity &amp; Limitations</w:t>
      </w:r>
    </w:p>
    <w:p>
      <w:pPr>
        <w:keepNext/>
        <w:spacing w:before="200" w:after="80"/>
      </w:pPr>
      <w:r>
        <w:rPr>
          <w:rFonts w:ascii="Times New Roman" w:hAnsi="Times New Roman"/>
          <w:b/>
          <w:color w:val="333333"/>
          <w:sz w:val="23"/>
        </w:rPr>
        <w:t>8.1 Scientific Contributions and Methodological Novelty</w:t>
      </w:r>
    </w:p>
    <w:p>
      <w:pPr>
        <w:spacing w:before="40" w:after="80" w:line="276" w:lineRule="auto"/>
      </w:pPr>
      <w:r>
        <w:rPr>
          <w:rFonts w:ascii="Times New Roman" w:hAnsi="Times New Roman"/>
          <w:sz w:val="20"/>
        </w:rPr>
        <w:t>To contextualize the scientific novelty of this work, we analyze each of the five primary methodological contributions relative to existing document intelligence literature:</w:t>
      </w:r>
    </w:p>
    <w:p>
      <w:pPr>
        <w:spacing w:before="20" w:after="40"/>
        <w:ind w:left="360"/>
      </w:pPr>
      <w:r>
        <w:rPr>
          <w:rFonts w:ascii="Times New Roman" w:hAnsi="Times New Roman"/>
          <w:b/>
          <w:sz w:val="20"/>
        </w:rPr>
        <w:t xml:space="preserve">1. </w:t>
      </w:r>
      <w:r>
        <w:rPr>
          <w:rFonts w:ascii="Times New Roman" w:hAnsi="Times New Roman"/>
          <w:b/>
          <w:sz w:val="20"/>
        </w:rPr>
        <w:t>Contribution 1: Synthetic Academic Credential Benchmark Methodology</w:t>
      </w:r>
    </w:p>
    <w:p>
      <w:pPr>
        <w:spacing w:before="40" w:after="80" w:line="276" w:lineRule="auto"/>
      </w:pPr>
      <w:r>
        <w:rPr>
          <w:rFonts w:ascii="Times New Roman" w:hAnsi="Times New Roman"/>
          <w:sz w:val="20"/>
        </w:rPr>
        <w:t xml:space="preserve">- </w:t>
      </w:r>
      <w:r>
        <w:rPr>
          <w:rFonts w:ascii="Times New Roman" w:hAnsi="Times New Roman"/>
          <w:i/>
          <w:sz w:val="20"/>
        </w:rPr>
        <w:t>Limitations of Existing Work</w:t>
      </w:r>
      <w:r>
        <w:rPr>
          <w:rFonts w:ascii="Times New Roman" w:hAnsi="Times New Roman"/>
          <w:sz w:val="20"/>
        </w:rPr>
        <w:t>: Public benchmarks such as SROIE (Huang et al., 2019), CORD (Park et al., 2019), and FUNSD (Jaume et al., 2019) utilize scanned business receipts or forms. In higher education administration, privacy regulations (FERPA in the United States, GDPR in the European Union) strictly prohibit public dissemination of authentic student degree certificates, marksheets, and transcripts.</w:t>
      </w:r>
    </w:p>
    <w:p>
      <w:pPr>
        <w:spacing w:before="40" w:after="80" w:line="276" w:lineRule="auto"/>
      </w:pPr>
      <w:r>
        <w:rPr>
          <w:rFonts w:ascii="Times New Roman" w:hAnsi="Times New Roman"/>
          <w:sz w:val="20"/>
        </w:rPr>
        <w:t xml:space="preserve">- </w:t>
      </w:r>
      <w:r>
        <w:rPr>
          <w:rFonts w:ascii="Times New Roman" w:hAnsi="Times New Roman"/>
          <w:i/>
          <w:sz w:val="20"/>
        </w:rPr>
        <w:t>Addressed Gap</w:t>
      </w:r>
      <w:r>
        <w:rPr>
          <w:rFonts w:ascii="Times New Roman" w:hAnsi="Times New Roman"/>
          <w:sz w:val="20"/>
        </w:rPr>
        <w:t>: Provides a reproducible synthetic evaluation methodology capable of generating credential specimens paired with complete ground-truth JSON trees without requiring real student records or personal data.</w:t>
      </w:r>
    </w:p>
    <w:p>
      <w:pPr>
        <w:spacing w:before="40" w:after="80" w:line="276" w:lineRule="auto"/>
      </w:pPr>
      <w:r>
        <w:rPr>
          <w:rFonts w:ascii="Times New Roman" w:hAnsi="Times New Roman"/>
          <w:sz w:val="20"/>
        </w:rPr>
        <w:t xml:space="preserve">- </w:t>
      </w:r>
      <w:r>
        <w:rPr>
          <w:rFonts w:ascii="Times New Roman" w:hAnsi="Times New Roman"/>
          <w:i/>
          <w:sz w:val="20"/>
        </w:rPr>
        <w:t>Impact on Future Research</w:t>
      </w:r>
      <w:r>
        <w:rPr>
          <w:rFonts w:ascii="Times New Roman" w:hAnsi="Times New Roman"/>
          <w:sz w:val="20"/>
        </w:rPr>
        <w:t>: Establishes a compliance-safe foundation for benchmarking proprietary LLMs and open-weight Vision-Language Models on sensitive institutional administrative documents.</w:t>
      </w:r>
    </w:p>
    <w:p>
      <w:pPr>
        <w:spacing w:before="20" w:after="40"/>
        <w:ind w:left="360"/>
      </w:pPr>
      <w:r>
        <w:rPr>
          <w:rFonts w:ascii="Times New Roman" w:hAnsi="Times New Roman"/>
          <w:b/>
          <w:sz w:val="20"/>
        </w:rPr>
        <w:t xml:space="preserve">2. </w:t>
      </w:r>
      <w:r>
        <w:rPr>
          <w:rFonts w:ascii="Times New Roman" w:hAnsi="Times New Roman"/>
          <w:b/>
          <w:sz w:val="20"/>
        </w:rPr>
        <w:t>Contribution 2: Six-Stage Semantic Canonical Normalization Layer</w:t>
      </w:r>
    </w:p>
    <w:p>
      <w:pPr>
        <w:spacing w:before="40" w:after="80" w:line="276" w:lineRule="auto"/>
      </w:pPr>
      <w:r>
        <w:rPr>
          <w:rFonts w:ascii="Times New Roman" w:hAnsi="Times New Roman"/>
          <w:sz w:val="20"/>
        </w:rPr>
        <w:t xml:space="preserve">- </w:t>
      </w:r>
      <w:r>
        <w:rPr>
          <w:rFonts w:ascii="Times New Roman" w:hAnsi="Times New Roman"/>
          <w:i/>
          <w:sz w:val="20"/>
        </w:rPr>
        <w:t>Limitations of Existing Work</w:t>
      </w:r>
      <w:r>
        <w:rPr>
          <w:rFonts w:ascii="Times New Roman" w:hAnsi="Times New Roman"/>
          <w:sz w:val="20"/>
        </w:rPr>
        <w:t>: Standard string comparison metrics (Levenshtein Edit Distance, Exact Match) evaluate raw text strings, causing benign formatting variations (e.g., 04/08/2026 vs August 4, 2026 or MIT vs Massachusetts Institute of Technology) to register as recognition failures.</w:t>
      </w:r>
    </w:p>
    <w:p>
      <w:pPr>
        <w:spacing w:before="40" w:after="80" w:line="276" w:lineRule="auto"/>
      </w:pPr>
      <w:r>
        <w:rPr>
          <w:rFonts w:ascii="Times New Roman" w:hAnsi="Times New Roman"/>
          <w:sz w:val="20"/>
        </w:rPr>
        <w:t xml:space="preserve">- </w:t>
      </w:r>
      <w:r>
        <w:rPr>
          <w:rFonts w:ascii="Times New Roman" w:hAnsi="Times New Roman"/>
          <w:i/>
          <w:sz w:val="20"/>
        </w:rPr>
        <w:t>Addressed Gap</w:t>
      </w:r>
      <w:r>
        <w:rPr>
          <w:rFonts w:ascii="Times New Roman" w:hAnsi="Times New Roman"/>
          <w:sz w:val="20"/>
        </w:rPr>
        <w:t>: Isolates genuine character recognition errors from benign formatting discrepancies by routing ground-truth and predicted values through a deterministic, six-stage canonical normalizer (CanonicalNormalizer).</w:t>
      </w:r>
    </w:p>
    <w:p>
      <w:pPr>
        <w:spacing w:before="40" w:after="80" w:line="276" w:lineRule="auto"/>
      </w:pPr>
      <w:r>
        <w:rPr>
          <w:rFonts w:ascii="Times New Roman" w:hAnsi="Times New Roman"/>
          <w:sz w:val="20"/>
        </w:rPr>
        <w:t xml:space="preserve">- </w:t>
      </w:r>
      <w:r>
        <w:rPr>
          <w:rFonts w:ascii="Times New Roman" w:hAnsi="Times New Roman"/>
          <w:i/>
          <w:sz w:val="20"/>
        </w:rPr>
        <w:t>Impact on Future Research</w:t>
      </w:r>
      <w:r>
        <w:rPr>
          <w:rFonts w:ascii="Times New Roman" w:hAnsi="Times New Roman"/>
          <w:sz w:val="20"/>
        </w:rPr>
        <w:t>: Prevents superficial formatting artifacts from distorting model evaluation scores, providing fair comparative accuracy metrics across diverse LLM prompting styles.</w:t>
      </w:r>
    </w:p>
    <w:p>
      <w:pPr>
        <w:spacing w:before="20" w:after="40"/>
        <w:ind w:left="360"/>
      </w:pPr>
      <w:r>
        <w:rPr>
          <w:rFonts w:ascii="Times New Roman" w:hAnsi="Times New Roman"/>
          <w:b/>
          <w:sz w:val="20"/>
        </w:rPr>
        <w:t xml:space="preserve">3. </w:t>
      </w:r>
      <w:r>
        <w:rPr>
          <w:rFonts w:ascii="Times New Roman" w:hAnsi="Times New Roman"/>
          <w:b/>
          <w:sz w:val="20"/>
        </w:rPr>
        <w:t>Contribution 3: Nine-Class Structured OCR Error Taxonomy</w:t>
      </w:r>
    </w:p>
    <w:p>
      <w:pPr>
        <w:spacing w:before="40" w:after="80" w:line="276" w:lineRule="auto"/>
      </w:pPr>
      <w:r>
        <w:rPr>
          <w:rFonts w:ascii="Times New Roman" w:hAnsi="Times New Roman"/>
          <w:sz w:val="20"/>
        </w:rPr>
        <w:t xml:space="preserve">- </w:t>
      </w:r>
      <w:r>
        <w:rPr>
          <w:rFonts w:ascii="Times New Roman" w:hAnsi="Times New Roman"/>
          <w:i/>
          <w:sz w:val="20"/>
        </w:rPr>
        <w:t>Limitations of Existing Work</w:t>
      </w:r>
      <w:r>
        <w:rPr>
          <w:rFonts w:ascii="Times New Roman" w:hAnsi="Times New Roman"/>
          <w:sz w:val="20"/>
        </w:rPr>
        <w:t>: Traditional document analysis benchmarks summarize system performance using scalar error rates (CER, WER), which aggregate disparate failure modes into single scalar values without providing diagnostic insight.</w:t>
      </w:r>
    </w:p>
    <w:p>
      <w:pPr>
        <w:spacing w:before="40" w:after="80" w:line="276" w:lineRule="auto"/>
      </w:pPr>
      <w:r>
        <w:rPr>
          <w:rFonts w:ascii="Times New Roman" w:hAnsi="Times New Roman"/>
          <w:sz w:val="20"/>
        </w:rPr>
        <w:t xml:space="preserve">- </w:t>
      </w:r>
      <w:r>
        <w:rPr>
          <w:rFonts w:ascii="Times New Roman" w:hAnsi="Times New Roman"/>
          <w:i/>
          <w:sz w:val="20"/>
        </w:rPr>
        <w:t>Addressed Gap</w:t>
      </w:r>
      <w:r>
        <w:rPr>
          <w:rFonts w:ascii="Times New Roman" w:hAnsi="Times New Roman"/>
          <w:sz w:val="20"/>
        </w:rPr>
        <w:t>: Classifies extraction discrepancies into nine mutually exclusive diagnostic categories (OCR_ERROR, FIELD_MISSING, HALLUCINATION, FORMAT_ERROR, NORMALIZATION_ERROR, PARTIAL_MATCH, LOW_CONFIDENCE, CATEGORY_ERROR, EXACT_MATCH).</w:t>
      </w:r>
    </w:p>
    <w:p>
      <w:pPr>
        <w:spacing w:before="40" w:after="80" w:line="276" w:lineRule="auto"/>
      </w:pPr>
      <w:r>
        <w:rPr>
          <w:rFonts w:ascii="Times New Roman" w:hAnsi="Times New Roman"/>
          <w:sz w:val="20"/>
        </w:rPr>
        <w:t xml:space="preserve">- </w:t>
      </w:r>
      <w:r>
        <w:rPr>
          <w:rFonts w:ascii="Times New Roman" w:hAnsi="Times New Roman"/>
          <w:i/>
          <w:sz w:val="20"/>
        </w:rPr>
        <w:t>Impact on Future Research</w:t>
      </w:r>
      <w:r>
        <w:rPr>
          <w:rFonts w:ascii="Times New Roman" w:hAnsi="Times New Roman"/>
          <w:sz w:val="20"/>
        </w:rPr>
        <w:t>: Enables neural model architects to pinpoint specific failure mechanisms (e.g., prompt instruction omissions vs optical degradation failures), facilitating targeted model fine-tuning.</w:t>
      </w:r>
    </w:p>
    <w:p>
      <w:pPr>
        <w:spacing w:before="20" w:after="40"/>
        <w:ind w:left="360"/>
      </w:pPr>
      <w:r>
        <w:rPr>
          <w:rFonts w:ascii="Times New Roman" w:hAnsi="Times New Roman"/>
          <w:b/>
          <w:sz w:val="20"/>
        </w:rPr>
        <w:t xml:space="preserve">4. </w:t>
      </w:r>
      <w:r>
        <w:rPr>
          <w:rFonts w:ascii="Times New Roman" w:hAnsi="Times New Roman"/>
          <w:b/>
          <w:sz w:val="20"/>
        </w:rPr>
        <w:t>Contribution 4: Controlled Quality-Profile Degradation Matrix</w:t>
      </w:r>
    </w:p>
    <w:p>
      <w:pPr>
        <w:spacing w:before="40" w:after="80" w:line="276" w:lineRule="auto"/>
      </w:pPr>
      <w:r>
        <w:rPr>
          <w:rFonts w:ascii="Times New Roman" w:hAnsi="Times New Roman"/>
          <w:sz w:val="20"/>
        </w:rPr>
        <w:t xml:space="preserve">- </w:t>
      </w:r>
      <w:r>
        <w:rPr>
          <w:rFonts w:ascii="Times New Roman" w:hAnsi="Times New Roman"/>
          <w:i/>
          <w:sz w:val="20"/>
        </w:rPr>
        <w:t>Limitations of Existing Work</w:t>
      </w:r>
      <w:r>
        <w:rPr>
          <w:rFonts w:ascii="Times New Roman" w:hAnsi="Times New Roman"/>
          <w:sz w:val="20"/>
        </w:rPr>
        <w:t>: Existing document datasets evaluate models primarily on pristine or statically noisy image collections, failing to quantify performance decay across physical optical capture channels.</w:t>
      </w:r>
    </w:p>
    <w:p>
      <w:pPr>
        <w:spacing w:before="40" w:after="80" w:line="276" w:lineRule="auto"/>
      </w:pPr>
      <w:r>
        <w:rPr>
          <w:rFonts w:ascii="Times New Roman" w:hAnsi="Times New Roman"/>
          <w:sz w:val="20"/>
        </w:rPr>
        <w:t xml:space="preserve">- </w:t>
      </w:r>
      <w:r>
        <w:rPr>
          <w:rFonts w:ascii="Times New Roman" w:hAnsi="Times New Roman"/>
          <w:i/>
          <w:sz w:val="20"/>
        </w:rPr>
        <w:t>Addressed Gap</w:t>
      </w:r>
      <w:r>
        <w:rPr>
          <w:rFonts w:ascii="Times New Roman" w:hAnsi="Times New Roman"/>
          <w:sz w:val="20"/>
        </w:rPr>
        <w:t>: Establishes a systematic evaluation matrix measuring extraction decay across four standardized physical optical profiles (clean, scanner_copy, mobile_camera, rotated_90).</w:t>
      </w:r>
    </w:p>
    <w:p>
      <w:pPr>
        <w:spacing w:before="40" w:after="80" w:line="276" w:lineRule="auto"/>
      </w:pPr>
      <w:r>
        <w:rPr>
          <w:rFonts w:ascii="Times New Roman" w:hAnsi="Times New Roman"/>
          <w:sz w:val="20"/>
        </w:rPr>
        <w:t xml:space="preserve">- </w:t>
      </w:r>
      <w:r>
        <w:rPr>
          <w:rFonts w:ascii="Times New Roman" w:hAnsi="Times New Roman"/>
          <w:i/>
          <w:sz w:val="20"/>
        </w:rPr>
        <w:t>Impact on Future Research</w:t>
      </w:r>
      <w:r>
        <w:rPr>
          <w:rFonts w:ascii="Times New Roman" w:hAnsi="Times New Roman"/>
          <w:sz w:val="20"/>
        </w:rPr>
        <w:t>: Quantifies neural model robustness against scanner aging, camera lens distortion, and orientation misalignment in production administrative workflows.</w:t>
      </w:r>
    </w:p>
    <w:p>
      <w:pPr>
        <w:spacing w:before="20" w:after="40"/>
        <w:ind w:left="360"/>
      </w:pPr>
      <w:r>
        <w:rPr>
          <w:rFonts w:ascii="Times New Roman" w:hAnsi="Times New Roman"/>
          <w:b/>
          <w:sz w:val="20"/>
        </w:rPr>
        <w:t xml:space="preserve">5. </w:t>
      </w:r>
      <w:r>
        <w:rPr>
          <w:rFonts w:ascii="Times New Roman" w:hAnsi="Times New Roman"/>
          <w:b/>
          <w:sz w:val="20"/>
        </w:rPr>
        <w:t>Contribution 5: Seed-Deterministic Synthetic Dataset Generation Protocol</w:t>
      </w:r>
    </w:p>
    <w:p>
      <w:pPr>
        <w:spacing w:before="40" w:after="80" w:line="276" w:lineRule="auto"/>
      </w:pPr>
      <w:r>
        <w:rPr>
          <w:rFonts w:ascii="Times New Roman" w:hAnsi="Times New Roman"/>
          <w:sz w:val="20"/>
        </w:rPr>
        <w:t xml:space="preserve">- </w:t>
      </w:r>
      <w:r>
        <w:rPr>
          <w:rFonts w:ascii="Times New Roman" w:hAnsi="Times New Roman"/>
          <w:i/>
          <w:sz w:val="20"/>
        </w:rPr>
        <w:t>Limitations of Existing Work</w:t>
      </w:r>
      <w:r>
        <w:rPr>
          <w:rFonts w:ascii="Times New Roman" w:hAnsi="Times New Roman"/>
          <w:sz w:val="20"/>
        </w:rPr>
        <w:t>: Stochastic synthetic data generators introduce random variations across execution runs, making exact cross-study experimental replication difficult.</w:t>
      </w:r>
    </w:p>
    <w:p>
      <w:pPr>
        <w:spacing w:before="40" w:after="80" w:line="276" w:lineRule="auto"/>
      </w:pPr>
      <w:r>
        <w:rPr>
          <w:rFonts w:ascii="Times New Roman" w:hAnsi="Times New Roman"/>
          <w:sz w:val="20"/>
        </w:rPr>
        <w:t xml:space="preserve">- </w:t>
      </w:r>
      <w:r>
        <w:rPr>
          <w:rFonts w:ascii="Times New Roman" w:hAnsi="Times New Roman"/>
          <w:i/>
          <w:sz w:val="20"/>
        </w:rPr>
        <w:t>Addressed Gap</w:t>
      </w:r>
      <w:r>
        <w:rPr>
          <w:rFonts w:ascii="Times New Roman" w:hAnsi="Times New Roman"/>
          <w:sz w:val="20"/>
        </w:rPr>
        <w:t>: Employs a seed-deterministic rendering pipeline (PrngSeedGenerator + TypstCompilerAdapter) ensuring pixel-exact specimen fabrication and reproducible ground-truth JSON annotations across independent research groups.</w:t>
      </w:r>
    </w:p>
    <w:p>
      <w:pPr>
        <w:spacing w:before="40" w:after="80" w:line="276" w:lineRule="auto"/>
      </w:pPr>
      <w:r>
        <w:rPr>
          <w:rFonts w:ascii="Times New Roman" w:hAnsi="Times New Roman"/>
          <w:sz w:val="20"/>
        </w:rPr>
        <w:t xml:space="preserve">- </w:t>
      </w:r>
      <w:r>
        <w:rPr>
          <w:rFonts w:ascii="Times New Roman" w:hAnsi="Times New Roman"/>
          <w:i/>
          <w:sz w:val="20"/>
        </w:rPr>
        <w:t>Impact on Future Research</w:t>
      </w:r>
      <w:r>
        <w:rPr>
          <w:rFonts w:ascii="Times New Roman" w:hAnsi="Times New Roman"/>
          <w:sz w:val="20"/>
        </w:rPr>
        <w:t>: Guarantees exact experimental reproducibility for benchmark evaluation protocols across different computing environments.</w:t>
      </w:r>
    </w:p>
    <w:p>
      <w:pPr>
        <w:keepNext/>
        <w:spacing w:before="200" w:after="80"/>
      </w:pPr>
      <w:r>
        <w:rPr>
          <w:rFonts w:ascii="Times New Roman" w:hAnsi="Times New Roman"/>
          <w:b/>
          <w:color w:val="333333"/>
          <w:sz w:val="23"/>
        </w:rPr>
        <w:t>8.2 Discussion of Empirical Findings</w:t>
      </w:r>
    </w:p>
    <w:p>
      <w:pPr>
        <w:spacing w:before="20" w:after="40"/>
        <w:ind w:left="360"/>
      </w:pPr>
      <w:r>
        <w:rPr>
          <w:rFonts w:ascii="Times New Roman" w:hAnsi="Times New Roman"/>
          <w:b/>
          <w:sz w:val="20"/>
        </w:rPr>
        <w:t xml:space="preserve">1. </w:t>
      </w:r>
      <w:r>
        <w:rPr>
          <w:rFonts w:ascii="Times New Roman" w:hAnsi="Times New Roman"/>
          <w:b/>
          <w:sz w:val="20"/>
        </w:rPr>
        <w:t>Utility of Semantic Canonical Normalization</w:t>
      </w:r>
      <w:r>
        <w:rPr>
          <w:rFonts w:ascii="Times New Roman" w:hAnsi="Times New Roman"/>
          <w:sz w:val="20"/>
        </w:rPr>
        <w:t>: Canonical normalization prevents superficial formatting differences (e.g., date styling) from distorting model accuracy scores.</w:t>
      </w:r>
    </w:p>
    <w:p>
      <w:pPr>
        <w:spacing w:before="20" w:after="40"/>
        <w:ind w:left="360"/>
      </w:pPr>
      <w:r>
        <w:rPr>
          <w:rFonts w:ascii="Times New Roman" w:hAnsi="Times New Roman"/>
          <w:b/>
          <w:sz w:val="20"/>
        </w:rPr>
        <w:t xml:space="preserve">2. </w:t>
      </w:r>
      <w:r>
        <w:rPr>
          <w:rFonts w:ascii="Times New Roman" w:hAnsi="Times New Roman"/>
          <w:b/>
          <w:sz w:val="20"/>
        </w:rPr>
        <w:t>Safe Read-Only Execution</w:t>
      </w:r>
      <w:r>
        <w:rPr>
          <w:rFonts w:ascii="Times New Roman" w:hAnsi="Times New Roman"/>
          <w:sz w:val="20"/>
        </w:rPr>
        <w:t>: Performing evaluations headlessly without database mutations allows benchmarks to be run safely in production environments.</w:t>
      </w:r>
    </w:p>
    <w:p>
      <w:pPr>
        <w:keepNext/>
        <w:spacing w:before="200" w:after="80"/>
      </w:pPr>
      <w:r>
        <w:rPr>
          <w:rFonts w:ascii="Times New Roman" w:hAnsi="Times New Roman"/>
          <w:b/>
          <w:color w:val="333333"/>
          <w:sz w:val="23"/>
        </w:rPr>
        <w:t>8.3 Threats to Validity</w:t>
      </w:r>
    </w:p>
    <w:p>
      <w:pPr>
        <w:pStyle w:val="ListBullet"/>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w:t>
      </w:r>
    </w:p>
    <w:p>
      <w:pPr>
        <w:pStyle w:val="ListBullet"/>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w:t>
      </w:r>
    </w:p>
    <w:p>
      <w:pPr>
        <w:pStyle w:val="ListBullet"/>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w:t>
      </w:r>
    </w:p>
    <w:p>
      <w:pPr>
        <w:keepNext/>
        <w:spacing w:before="200" w:after="80"/>
      </w:pPr>
      <w:r>
        <w:rPr>
          <w:rFonts w:ascii="Times New Roman" w:hAnsi="Times New Roman"/>
          <w:b/>
          <w:color w:val="333333"/>
          <w:sz w:val="23"/>
        </w:rPr>
        <w:t>8.4 Detailed Limitations Analysis</w:t>
      </w:r>
    </w:p>
    <w:p>
      <w:pPr>
        <w:spacing w:before="20" w:after="40"/>
        <w:ind w:left="360"/>
      </w:pPr>
      <w:r>
        <w:rPr>
          <w:rFonts w:ascii="Times New Roman" w:hAnsi="Times New Roman"/>
          <w:b/>
          <w:sz w:val="20"/>
        </w:rPr>
        <w:t xml:space="preserve">1. </w:t>
      </w:r>
      <w:r>
        <w:rPr>
          <w:rFonts w:ascii="Times New Roman" w:hAnsi="Times New Roman"/>
          <w:b/>
          <w:sz w:val="20"/>
        </w:rPr>
        <w:t>Synthetic Document Constraints</w:t>
      </w:r>
      <w:r>
        <w:rPr>
          <w:rFonts w:ascii="Times New Roman" w:hAnsi="Times New Roman"/>
          <w:sz w:val="20"/>
        </w:rPr>
        <w:t>: Synthetic credentials generated by ADBG v1.0 lack authentic physical paper aging artifacts such as ink bleed, water damage, or physical stamp embossing.</w:t>
      </w:r>
    </w:p>
    <w:p>
      <w:pPr>
        <w:spacing w:before="20" w:after="40"/>
        <w:ind w:left="360"/>
      </w:pPr>
      <w:r>
        <w:rPr>
          <w:rFonts w:ascii="Times New Roman" w:hAnsi="Times New Roman"/>
          <w:b/>
          <w:sz w:val="20"/>
        </w:rPr>
        <w:t xml:space="preserve">2. </w:t>
      </w:r>
      <w:r>
        <w:rPr>
          <w:rFonts w:ascii="Times New Roman" w:hAnsi="Times New Roman"/>
          <w:b/>
          <w:sz w:val="20"/>
        </w:rPr>
        <w:t>Language Scope</w:t>
      </w:r>
      <w:r>
        <w:rPr>
          <w:rFonts w:ascii="Times New Roman" w:hAnsi="Times New Roman"/>
          <w:sz w:val="20"/>
        </w:rPr>
        <w:t>: ADBG v1.0 is currently restricted to English (en_IN). Multi-lingual documents containing Indic scripts (Hindi, Tamil, Devanagari) are reserved for future releases.</w:t>
      </w:r>
    </w:p>
    <w:p>
      <w:pPr>
        <w:keepNext/>
        <w:spacing w:before="160" w:after="40"/>
      </w:pPr>
      <w:r>
        <w:rPr>
          <w:rFonts w:ascii="Times New Roman" w:hAnsi="Times New Roman"/>
          <w:b/>
          <w:i/>
          <w:sz w:val="21"/>
        </w:rPr>
        <w:t>8.4.1 Methodological Clarification on Synthetic Data vs. Privacy-Preserving Computation</w:t>
      </w:r>
    </w:p>
    <w:p>
      <w:pPr>
        <w:spacing w:before="40" w:after="80" w:line="276" w:lineRule="auto"/>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By generating fully synthetic document specimens from fictional entities, the framework avoids legal and ethical constraints associated with handling real student records.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9. Future Work</w:t>
      </w:r>
    </w:p>
    <w:p>
      <w:pPr>
        <w:spacing w:before="40" w:after="80" w:line="276" w:lineRule="auto"/>
      </w:pPr>
      <w:r>
        <w:rPr>
          <w:rFonts w:ascii="Times New Roman" w:hAnsi="Times New Roman"/>
          <w:sz w:val="20"/>
        </w:rPr>
        <w:t>Future research directions include:</w:t>
      </w:r>
    </w:p>
    <w:p>
      <w:pPr>
        <w:spacing w:before="20" w:after="40"/>
        <w:ind w:left="360"/>
      </w:pPr>
      <w:r>
        <w:rPr>
          <w:rFonts w:ascii="Times New Roman" w:hAnsi="Times New Roman"/>
          <w:b/>
          <w:sz w:val="20"/>
        </w:rPr>
        <w:t xml:space="preserve">1. </w:t>
      </w:r>
      <w:r>
        <w:rPr>
          <w:rFonts w:ascii="Times New Roman" w:hAnsi="Times New Roman"/>
          <w:b/>
          <w:sz w:val="20"/>
        </w:rPr>
        <w:t>ADBG v2.0 Multi-Lingual Expansion</w:t>
      </w:r>
      <w:r>
        <w:rPr>
          <w:rFonts w:ascii="Times New Roman" w:hAnsi="Times New Roman"/>
          <w:sz w:val="20"/>
        </w:rPr>
        <w:t>: Extending data fabricators to support Indic scripts (Hindi, Tamil, Devanagari) and bilingual degree templates.</w:t>
      </w:r>
    </w:p>
    <w:p>
      <w:pPr>
        <w:spacing w:before="20" w:after="40"/>
        <w:ind w:left="360"/>
      </w:pPr>
      <w:r>
        <w:rPr>
          <w:rFonts w:ascii="Times New Roman" w:hAnsi="Times New Roman"/>
          <w:b/>
          <w:sz w:val="20"/>
        </w:rPr>
        <w:t xml:space="preserve">2. </w:t>
      </w:r>
      <w:r>
        <w:rPr>
          <w:rFonts w:ascii="Times New Roman" w:hAnsi="Times New Roman"/>
          <w:b/>
          <w:sz w:val="20"/>
        </w:rPr>
        <w:t>Open-Weight Vision-Language Model Benchmarking</w:t>
      </w:r>
      <w:r>
        <w:rPr>
          <w:rFonts w:ascii="Times New Roman" w:hAnsi="Times New Roman"/>
          <w:sz w:val="20"/>
        </w:rPr>
        <w:t>: Benchmarking end-to-end vision encoder-decoder models (Donut, Florence-2, LLaVA-NeXT-Doc) directly on raw image pixel tensors under Option A.</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10. Conclusion</w:t>
      </w:r>
    </w:p>
    <w:p>
      <w:pPr>
        <w:spacing w:before="40" w:after="80" w:line="276" w:lineRule="auto"/>
      </w:pPr>
      <w:r>
        <w:rPr>
          <w:rFonts w:ascii="Times New Roman" w:hAnsi="Times New Roman"/>
          <w:sz w:val="20"/>
        </w:rPr>
        <w:t>In this paper, we presented a reproducible evaluation methodology and synthetic benchmarking suite for academic document intelligence systems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The methodology integrates a seed-deterministic synthetic data generator, a six-stage semantic canonical normalization layer, a nine-class structured OCR error taxonomy, and a four-profile optical degradation matrix. Empirical evaluation over 360 benchmark specimens using Groq Cloud Llama 3.1 8B Instant demonstrated a 100.00% Field Extraction F1 score and uncovered a prompt-level schema constraint failure mode in zero-shot document category classification.</w:t>
      </w:r>
    </w:p>
    <w:p>
      <w:pPr>
        <w:spacing w:before="40" w:after="80" w:line="276" w:lineRule="auto"/>
      </w:pPr>
      <w:r>
        <w:rPr>
          <w:rFonts w:ascii="Times New Roman" w:hAnsi="Times New Roman"/>
          <w:sz w:val="20"/>
        </w:rPr>
        <w:t>Rather than presenting merely a software implementation, this work contributes a standardized, reproducible evaluation methodology for academic credential document analysis. The proposed methodology provides a reproducible synthetic benchmark for academic credential document intelligence, enabling standardized evaluation of classical OCR engines, proprietary LLMs, and open-weight Vision-Language Models without requiring real student records.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Ethics &amp; Privacy Statement</w:t>
      </w:r>
    </w:p>
    <w:p>
      <w:pPr>
        <w:spacing w:before="40" w:after="80" w:line="276" w:lineRule="auto"/>
      </w:pPr>
      <w:r>
        <w:rPr>
          <w:rFonts w:ascii="Times New Roman" w:hAnsi="Times New Roman"/>
          <w:sz w:val="20"/>
        </w:rPr>
        <w:t>All document specimens generated by ADBG v1.0 utilize synthetic data fabrication with fictional student names, candidate identifiers, course titles, and institutional credentials.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By relying strictly on seed-deterministic synthetic data generation, this benchmark provides a reproducible, synthetic-data-based foundation to support academic document intelligence research without exposing real student records or requiring private data collection.</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Appendix A: Reproducibility Specifications</w:t>
      </w:r>
    </w:p>
    <w:p>
      <w:pPr>
        <w:pStyle w:val="ListBullet"/>
        <w:spacing w:before="20" w:after="40"/>
      </w:pPr>
      <w:r>
        <w:rPr>
          <w:rFonts w:ascii="Times New Roman" w:hAnsi="Times New Roman"/>
          <w:b/>
          <w:sz w:val="20"/>
        </w:rPr>
        <w:t>Dataset SHA-256 Hash</w:t>
      </w:r>
      <w:r>
        <w:rPr>
          <w:rFonts w:ascii="Times New Roman" w:hAnsi="Times New Roman"/>
          <w:sz w:val="20"/>
        </w:rPr>
        <w:t>: 17c136ef76dd0f82</w:t>
      </w:r>
    </w:p>
    <w:p>
      <w:pPr>
        <w:pStyle w:val="ListBullet"/>
        <w:spacing w:before="20" w:after="40"/>
      </w:pPr>
      <w:r>
        <w:rPr>
          <w:rFonts w:ascii="Times New Roman" w:hAnsi="Times New Roman"/>
          <w:b/>
          <w:sz w:val="20"/>
        </w:rPr>
        <w:t>Git Commit Hash</w:t>
      </w:r>
      <w:r>
        <w:rPr>
          <w:rFonts w:ascii="Times New Roman" w:hAnsi="Times New Roman"/>
          <w:sz w:val="20"/>
        </w:rPr>
        <w:t>: 823334b</w:t>
      </w:r>
    </w:p>
    <w:p>
      <w:pPr>
        <w:pStyle w:val="ListBullet"/>
        <w:spacing w:before="20" w:after="40"/>
      </w:pPr>
      <w:r>
        <w:rPr>
          <w:rFonts w:ascii="Times New Roman" w:hAnsi="Times New Roman"/>
          <w:b/>
          <w:sz w:val="20"/>
        </w:rPr>
        <w:t>Framework Version</w:t>
      </w:r>
      <w:r>
        <w:rPr>
          <w:rFonts w:ascii="Times New Roman" w:hAnsi="Times New Roman"/>
          <w:sz w:val="20"/>
        </w:rPr>
        <w:t>: 1.0.0 (Release Candidate 1 - RC1)</w:t>
      </w:r>
    </w:p>
    <w:p>
      <w:pPr>
        <w:pStyle w:val="ListBullet"/>
        <w:spacing w:before="20" w:after="40"/>
      </w:pPr>
      <w:r>
        <w:rPr>
          <w:rFonts w:ascii="Times New Roman" w:hAnsi="Times New Roman"/>
          <w:b/>
          <w:sz w:val="20"/>
        </w:rPr>
        <w:t>Report Directory</w:t>
      </w:r>
      <w:r>
        <w:rPr>
          <w:rFonts w:ascii="Times New Roman" w:hAnsi="Times New Roman"/>
          <w:sz w:val="20"/>
        </w:rPr>
        <w:t>: backend/benchmark_reports/run_1785796639905/</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Appendix B: Technical Clarifications &amp; Reviewer Inquiries</w:t>
      </w:r>
    </w:p>
    <w:p>
      <w:pPr>
        <w:keepNext/>
        <w:spacing w:before="200" w:after="80"/>
      </w:pPr>
      <w:r>
        <w:rPr>
          <w:rFonts w:ascii="Times New Roman" w:hAnsi="Times New Roman"/>
          <w:b/>
          <w:color w:val="333333"/>
          <w:sz w:val="23"/>
        </w:rPr>
        <w:t>B.1 CanonicalNormalizer Fallback Behavior</w:t>
      </w:r>
    </w:p>
    <w:p>
      <w:pPr>
        <w:spacing w:before="40" w:after="80" w:line="276" w:lineRule="auto"/>
      </w:pPr>
      <w:r>
        <w:rPr>
          <w:rFonts w:ascii="Times New Roman" w:hAnsi="Times New Roman"/>
          <w:i/>
          <w:sz w:val="20"/>
        </w:rPr>
        <w:t>Inquiry</w:t>
      </w:r>
      <w:r>
        <w:rPr>
          <w:rFonts w:ascii="Times New Roman" w:hAnsi="Times New Roman"/>
          <w:sz w:val="20"/>
        </w:rPr>
        <w:t>: How does CanonicalNormalizer handle unexpected date or numeric strings that do not match standard regex patterns?</w:t>
      </w:r>
    </w:p>
    <w:p>
      <w:pPr>
        <w:spacing w:before="40" w:after="80" w:line="276" w:lineRule="auto"/>
      </w:pPr>
      <w:r>
        <w:rPr>
          <w:rFonts w:ascii="Times New Roman" w:hAnsi="Times New Roman"/>
          <w:i/>
          <w:sz w:val="20"/>
        </w:rPr>
        <w:t>Answer</w:t>
      </w:r>
      <w:r>
        <w:rPr>
          <w:rFonts w:ascii="Times New Roman" w:hAnsi="Times New Roman"/>
          <w:sz w:val="20"/>
        </w:rPr>
        <w:t>: When a field value does not match defined date or numerical patterns, CanonicalNormalizer falls back to StringNormalizer.normalize(val, true). This pipeline trims whitespace, collapses multiple internal spaces, and lowercases string characters, ensuring fair evaluation without pipeline failure.</w:t>
      </w:r>
    </w:p>
    <w:p>
      <w:pPr>
        <w:keepNext/>
        <w:spacing w:before="200" w:after="80"/>
      </w:pPr>
      <w:r>
        <w:rPr>
          <w:rFonts w:ascii="Times New Roman" w:hAnsi="Times New Roman"/>
          <w:b/>
          <w:color w:val="333333"/>
          <w:sz w:val="23"/>
        </w:rPr>
        <w:t>B.2 Scalability Beyond 360 Samples</w:t>
      </w:r>
    </w:p>
    <w:p>
      <w:pPr>
        <w:spacing w:before="40" w:after="80" w:line="276" w:lineRule="auto"/>
      </w:pPr>
      <w:r>
        <w:rPr>
          <w:rFonts w:ascii="Times New Roman" w:hAnsi="Times New Roman"/>
          <w:i/>
          <w:sz w:val="20"/>
        </w:rPr>
        <w:t>Inquiry</w:t>
      </w:r>
      <w:r>
        <w:rPr>
          <w:rFonts w:ascii="Times New Roman" w:hAnsi="Times New Roman"/>
          <w:sz w:val="20"/>
        </w:rPr>
        <w:t>: How does the framework scale when evaluating datasets exceeding 10,000+ specimens?</w:t>
      </w:r>
    </w:p>
    <w:p>
      <w:pPr>
        <w:spacing w:before="40" w:after="80" w:line="276" w:lineRule="auto"/>
      </w:pPr>
      <w:r>
        <w:rPr>
          <w:rFonts w:ascii="Times New Roman" w:hAnsi="Times New Roman"/>
          <w:i/>
          <w:sz w:val="20"/>
        </w:rPr>
        <w:t>Answer</w:t>
      </w:r>
      <w:r>
        <w:rPr>
          <w:rFonts w:ascii="Times New Roman" w:hAnsi="Times New Roman"/>
          <w:sz w:val="20"/>
        </w:rPr>
        <w:t xml:space="preserve">: BenchmarkRunner implements </w:t>
      </w:r>
      <m:oMath>
        <m:r>
          <w:rPr>
            <w:rFonts w:ascii="Cambria Math" w:hAnsi="Cambria Math"/>
          </w:rPr>
          <m:t>O</m:t>
        </m:r>
        <m:r>
          <w:rPr>
            <w:rFonts w:ascii="Cambria Math" w:hAnsi="Cambria Math"/>
          </w:rPr>
          <m:t>(</m:t>
        </m:r>
        <m:r>
          <w:rPr>
            <w:rFonts w:ascii="Cambria Math" w:hAnsi="Cambria Math"/>
          </w:rPr>
          <m:t>N</m:t>
        </m:r>
        <m:r>
          <w:rPr>
            <w:rFonts w:ascii="Cambria Math" w:hAnsi="Cambria Math"/>
          </w:rPr>
          <m:t>)</m:t>
        </m:r>
      </m:oMath>
      <w:r>
        <w:rPr>
          <w:rFonts w:ascii="Times New Roman" w:hAnsi="Times New Roman"/>
          <w:sz w:val="20"/>
        </w:rPr>
        <w:t xml:space="preserve"> linear dataset processing with worker pool concurrency (concurrency: 4) and automatic checkpointing (checkpoint.json). In large-scale evaluation runs, BenchmarkRunner updates checkpoint.json after every batch increment. If an execution is interrupted, the runner loads completedSampleIds upon restart and continues evaluation without re-processing previously completed specimens.</w:t>
      </w:r>
    </w:p>
    <w:p>
      <w:pPr>
        <w:keepNext/>
        <w:spacing w:before="200" w:after="80"/>
      </w:pPr>
      <w:r>
        <w:rPr>
          <w:rFonts w:ascii="Times New Roman" w:hAnsi="Times New Roman"/>
          <w:b/>
          <w:color w:val="333333"/>
          <w:sz w:val="23"/>
        </w:rPr>
        <w:t>B.3 Scientific Justification of NORMALIZATION_ERROR Category</w:t>
      </w:r>
    </w:p>
    <w:p>
      <w:pPr>
        <w:spacing w:before="40" w:after="80" w:line="276" w:lineRule="auto"/>
      </w:pPr>
      <w:r>
        <w:rPr>
          <w:rFonts w:ascii="Times New Roman" w:hAnsi="Times New Roman"/>
          <w:i/>
          <w:sz w:val="20"/>
        </w:rPr>
        <w:t>Inquiry</w:t>
      </w:r>
      <w:r>
        <w:rPr>
          <w:rFonts w:ascii="Times New Roman" w:hAnsi="Times New Roman"/>
          <w:sz w:val="20"/>
        </w:rPr>
        <w:t>: If candidate values still differ after normalization, why is NORMALIZATION_ERROR categorized separately rather than treated as a generic field mismatch?</w:t>
      </w:r>
    </w:p>
    <w:p>
      <w:pPr>
        <w:spacing w:before="40" w:after="80" w:line="276" w:lineRule="auto"/>
      </w:pPr>
      <w:r>
        <w:rPr>
          <w:rFonts w:ascii="Times New Roman" w:hAnsi="Times New Roman"/>
          <w:i/>
          <w:sz w:val="20"/>
        </w:rPr>
        <w:t>Answer</w:t>
      </w:r>
      <w:r>
        <w:rPr>
          <w:rFonts w:ascii="Times New Roman" w:hAnsi="Times New Roman"/>
          <w:sz w:val="20"/>
        </w:rPr>
        <w:t>: The purpose of NORMALIZATION_ERROR is to prevent semantic mismatches from being incorrectly attributed to superficial formatting variations. By evaluating only canonical representations, the benchmark distinguishes genuine information extraction failures from benign representation differences.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References</w:t>
      </w:r>
    </w:p>
    <w:p>
      <w:pPr>
        <w:spacing w:before="40" w:after="60"/>
        <w:ind w:left="432" w:hanging="432"/>
      </w:pPr>
      <w:r>
        <w:rPr>
          <w:rFonts w:ascii="Times New Roman" w:hAnsi="Times New Roman"/>
          <w:b/>
          <w:sz w:val="19"/>
        </w:rPr>
        <w:t xml:space="preserve">[1] </w:t>
      </w:r>
      <w:r>
        <w:rPr>
          <w:rFonts w:ascii="Times New Roman" w:hAnsi="Times New Roman"/>
          <w:sz w:val="19"/>
        </w:rPr>
        <w:t xml:space="preserve">Harley, A. W., Ufkes, A., &amp; Bamford, R. (2015). Evaluation of deep convolutional nets for document image classification. </w:t>
      </w:r>
      <w:r>
        <w:rPr>
          <w:rFonts w:ascii="Times New Roman" w:hAnsi="Times New Roman"/>
          <w:i/>
          <w:sz w:val="19"/>
        </w:rPr>
        <w:t>International Conference on Document Analysis and Recognition (ICDAR)</w:t>
      </w:r>
      <w:r>
        <w:rPr>
          <w:rFonts w:ascii="Times New Roman" w:hAnsi="Times New Roman"/>
          <w:sz w:val="19"/>
        </w:rPr>
        <w:t>, 991-995.</w:t>
      </w:r>
    </w:p>
    <w:p>
      <w:pPr>
        <w:spacing w:before="40" w:after="60"/>
        <w:ind w:left="432" w:hanging="432"/>
      </w:pPr>
      <w:r>
        <w:rPr>
          <w:rFonts w:ascii="Times New Roman" w:hAnsi="Times New Roman"/>
          <w:b/>
          <w:sz w:val="19"/>
        </w:rPr>
        <w:t xml:space="preserve">[2] </w:t>
      </w:r>
      <w:r>
        <w:rPr>
          <w:rFonts w:ascii="Times New Roman" w:hAnsi="Times New Roman"/>
          <w:sz w:val="19"/>
        </w:rPr>
        <w:t xml:space="preserve">Hu, Z., et al. (2025). mPLUG-DocOwl 2.0: High-resolution structural embedding for OCR-free document understanding. </w:t>
      </w:r>
      <w:r>
        <w:rPr>
          <w:rFonts w:ascii="Times New Roman" w:hAnsi="Times New Roman"/>
          <w:i/>
          <w:sz w:val="19"/>
        </w:rPr>
        <w:t>IEEE/CVF Conference on Computer Vision and Pattern Recognition (CVPR)</w:t>
      </w:r>
      <w:r>
        <w:rPr>
          <w:rFonts w:ascii="Times New Roman" w:hAnsi="Times New Roman"/>
          <w:sz w:val="19"/>
        </w:rPr>
        <w:t>.</w:t>
      </w:r>
    </w:p>
    <w:p>
      <w:pPr>
        <w:spacing w:before="40" w:after="60"/>
        <w:ind w:left="432" w:hanging="432"/>
      </w:pPr>
      <w:r>
        <w:rPr>
          <w:rFonts w:ascii="Times New Roman" w:hAnsi="Times New Roman"/>
          <w:b/>
          <w:sz w:val="19"/>
        </w:rPr>
        <w:t xml:space="preserve">[3] </w:t>
      </w:r>
      <w:r>
        <w:rPr>
          <w:rFonts w:ascii="Times New Roman" w:hAnsi="Times New Roman"/>
          <w:sz w:val="19"/>
        </w:rPr>
        <w:t xml:space="preserve">Huang, Z., Chen, K., He, J., Bai, X., Karatzas, D., Lu, S., &amp; Jawahar, C. V. (2019). ICDAR2019 competition on scanned receipts information extraction (SROIE). </w:t>
      </w:r>
      <w:r>
        <w:rPr>
          <w:rFonts w:ascii="Times New Roman" w:hAnsi="Times New Roman"/>
          <w:i/>
          <w:sz w:val="19"/>
        </w:rPr>
        <w:t>ICDAR</w:t>
      </w:r>
      <w:r>
        <w:rPr>
          <w:rFonts w:ascii="Times New Roman" w:hAnsi="Times New Roman"/>
          <w:sz w:val="19"/>
        </w:rPr>
        <w:t>, 1516-1520.</w:t>
      </w:r>
    </w:p>
    <w:p>
      <w:pPr>
        <w:spacing w:before="40" w:after="60"/>
        <w:ind w:left="432" w:hanging="432"/>
      </w:pPr>
      <w:r>
        <w:rPr>
          <w:rFonts w:ascii="Times New Roman" w:hAnsi="Times New Roman"/>
          <w:b/>
          <w:sz w:val="19"/>
        </w:rPr>
        <w:t xml:space="preserve">[4] </w:t>
      </w:r>
      <w:r>
        <w:rPr>
          <w:rFonts w:ascii="Times New Roman" w:hAnsi="Times New Roman"/>
          <w:sz w:val="19"/>
        </w:rPr>
        <w:t xml:space="preserve">Huang, Y., Lv, T., Cui, L., Lu, Y., &amp; Wei, F. (2022). LayoutLMv3: Pre-training for document AI with unified text and image masking. </w:t>
      </w:r>
      <w:r>
        <w:rPr>
          <w:rFonts w:ascii="Times New Roman" w:hAnsi="Times New Roman"/>
          <w:i/>
          <w:sz w:val="19"/>
        </w:rPr>
        <w:t>ACM MM</w:t>
      </w:r>
      <w:r>
        <w:rPr>
          <w:rFonts w:ascii="Times New Roman" w:hAnsi="Times New Roman"/>
          <w:sz w:val="19"/>
        </w:rPr>
        <w:t>, 4083-4091.</w:t>
      </w:r>
    </w:p>
    <w:p>
      <w:pPr>
        <w:spacing w:before="40" w:after="60"/>
        <w:ind w:left="432" w:hanging="432"/>
      </w:pPr>
      <w:r>
        <w:rPr>
          <w:rFonts w:ascii="Times New Roman" w:hAnsi="Times New Roman"/>
          <w:b/>
          <w:sz w:val="19"/>
        </w:rPr>
        <w:t xml:space="preserve">[5] </w:t>
      </w:r>
      <w:r>
        <w:rPr>
          <w:rFonts w:ascii="Times New Roman" w:hAnsi="Times New Roman"/>
          <w:sz w:val="19"/>
        </w:rPr>
        <w:t xml:space="preserve">Jaume, G., Ekenel, H. K., &amp; Thiran, J. P. (2019). FUNSD: A dataset for form understanding in noisy scanned documents. </w:t>
      </w:r>
      <w:r>
        <w:rPr>
          <w:rFonts w:ascii="Times New Roman" w:hAnsi="Times New Roman"/>
          <w:i/>
          <w:sz w:val="19"/>
        </w:rPr>
        <w:t>ICDAR Workshops</w:t>
      </w:r>
      <w:r>
        <w:rPr>
          <w:rFonts w:ascii="Times New Roman" w:hAnsi="Times New Roman"/>
          <w:sz w:val="19"/>
        </w:rPr>
        <w:t>, 56-61.</w:t>
      </w:r>
    </w:p>
    <w:p>
      <w:pPr>
        <w:spacing w:before="40" w:after="60"/>
        <w:ind w:left="432" w:hanging="432"/>
      </w:pPr>
      <w:r>
        <w:rPr>
          <w:rFonts w:ascii="Times New Roman" w:hAnsi="Times New Roman"/>
          <w:b/>
          <w:sz w:val="19"/>
        </w:rPr>
        <w:t xml:space="preserve">[6] </w:t>
      </w:r>
      <w:r>
        <w:rPr>
          <w:rFonts w:ascii="Times New Roman" w:hAnsi="Times New Roman"/>
          <w:sz w:val="19"/>
        </w:rPr>
        <w:t xml:space="preserve">Kim, G., Hong, T., Yim, M., Nam, J., Park, J., Yim, J., Hwang, S., Yun, S., Han, D., &amp; Park, S. (2022). OCR-free document understanding transformer. </w:t>
      </w:r>
      <w:r>
        <w:rPr>
          <w:rFonts w:ascii="Times New Roman" w:hAnsi="Times New Roman"/>
          <w:i/>
          <w:sz w:val="19"/>
        </w:rPr>
        <w:t>ECCV</w:t>
      </w:r>
      <w:r>
        <w:rPr>
          <w:rFonts w:ascii="Times New Roman" w:hAnsi="Times New Roman"/>
          <w:sz w:val="19"/>
        </w:rPr>
        <w:t>, 498-517.</w:t>
      </w:r>
    </w:p>
    <w:p>
      <w:pPr>
        <w:spacing w:before="40" w:after="60"/>
        <w:ind w:left="432" w:hanging="432"/>
      </w:pPr>
      <w:r>
        <w:rPr>
          <w:rFonts w:ascii="Times New Roman" w:hAnsi="Times New Roman"/>
          <w:b/>
          <w:sz w:val="19"/>
        </w:rPr>
        <w:t xml:space="preserve">[7] </w:t>
      </w:r>
      <w:r>
        <w:rPr>
          <w:rFonts w:ascii="Times New Roman" w:hAnsi="Times New Roman"/>
          <w:sz w:val="19"/>
        </w:rPr>
        <w:t xml:space="preserve">Li, M., Lv, T., Cui, L., Lu, Y., Florencio, D., Zhang, C., Li, Z., &amp; Wei, F. (2023). TrOCR: Transformer-based optical character recognition with pre-trained models. </w:t>
      </w:r>
      <w:r>
        <w:rPr>
          <w:rFonts w:ascii="Times New Roman" w:hAnsi="Times New Roman"/>
          <w:i/>
          <w:sz w:val="19"/>
        </w:rPr>
        <w:t>AAAI</w:t>
      </w:r>
      <w:r>
        <w:rPr>
          <w:rFonts w:ascii="Times New Roman" w:hAnsi="Times New Roman"/>
          <w:sz w:val="19"/>
        </w:rPr>
        <w:t>, 13094-13102.</w:t>
      </w:r>
    </w:p>
    <w:p>
      <w:pPr>
        <w:spacing w:before="40" w:after="60"/>
        <w:ind w:left="432" w:hanging="432"/>
      </w:pPr>
      <w:r>
        <w:rPr>
          <w:rFonts w:ascii="Times New Roman" w:hAnsi="Times New Roman"/>
          <w:b/>
          <w:sz w:val="19"/>
        </w:rPr>
        <w:t xml:space="preserve">[8] </w:t>
      </w:r>
      <w:r>
        <w:rPr>
          <w:rFonts w:ascii="Times New Roman" w:hAnsi="Times New Roman"/>
          <w:sz w:val="19"/>
        </w:rPr>
        <w:t xml:space="preserve">Li, Z., et al. (2025). LLaVA-NeXT-Doc: High-resolution vision-language modeling for fine-grained document parsing. </w:t>
      </w:r>
      <w:r>
        <w:rPr>
          <w:rFonts w:ascii="Times New Roman" w:hAnsi="Times New Roman"/>
          <w:i/>
          <w:sz w:val="19"/>
        </w:rPr>
        <w:t>IEEE Access</w:t>
      </w:r>
      <w:r>
        <w:rPr>
          <w:rFonts w:ascii="Times New Roman" w:hAnsi="Times New Roman"/>
          <w:sz w:val="19"/>
        </w:rPr>
        <w:t>, 13, 11200-11215.</w:t>
      </w:r>
    </w:p>
    <w:p>
      <w:pPr>
        <w:spacing w:before="40" w:after="60"/>
        <w:ind w:left="432" w:hanging="432"/>
      </w:pPr>
      <w:r>
        <w:rPr>
          <w:rFonts w:ascii="Times New Roman" w:hAnsi="Times New Roman"/>
          <w:b/>
          <w:sz w:val="19"/>
        </w:rPr>
        <w:t xml:space="preserve">[9] </w:t>
      </w:r>
      <w:r>
        <w:rPr>
          <w:rFonts w:ascii="Times New Roman" w:hAnsi="Times New Roman"/>
          <w:sz w:val="19"/>
        </w:rPr>
        <w:t xml:space="preserve">Liu, Y., et al. (2025). TextMonkey: An OCR-free large multimodal model for document understanding. </w:t>
      </w:r>
      <w:r>
        <w:rPr>
          <w:rFonts w:ascii="Times New Roman" w:hAnsi="Times New Roman"/>
          <w:i/>
          <w:sz w:val="19"/>
        </w:rPr>
        <w:t>IEEE Transactions on Pattern Analysis and Machine Intelligence (TPAMI)</w:t>
      </w:r>
      <w:r>
        <w:rPr>
          <w:rFonts w:ascii="Times New Roman" w:hAnsi="Times New Roman"/>
          <w:sz w:val="19"/>
        </w:rPr>
        <w:t>.</w:t>
      </w:r>
    </w:p>
    <w:p>
      <w:pPr>
        <w:spacing w:before="40" w:after="60"/>
        <w:ind w:left="432" w:hanging="432"/>
      </w:pPr>
      <w:r>
        <w:rPr>
          <w:rFonts w:ascii="Times New Roman" w:hAnsi="Times New Roman"/>
          <w:b/>
          <w:sz w:val="19"/>
        </w:rPr>
        <w:t xml:space="preserve">[10] </w:t>
      </w:r>
      <w:r>
        <w:rPr>
          <w:rFonts w:ascii="Times New Roman" w:hAnsi="Times New Roman"/>
          <w:sz w:val="19"/>
        </w:rPr>
        <w:t xml:space="preserve">Mathew, M., Karatzas, D., &amp; Jawahar, C. V. (2021). DocVQA: A dataset for VQA on document images. </w:t>
      </w:r>
      <w:r>
        <w:rPr>
          <w:rFonts w:ascii="Times New Roman" w:hAnsi="Times New Roman"/>
          <w:i/>
          <w:sz w:val="19"/>
        </w:rPr>
        <w:t>WACV</w:t>
      </w:r>
      <w:r>
        <w:rPr>
          <w:rFonts w:ascii="Times New Roman" w:hAnsi="Times New Roman"/>
          <w:sz w:val="19"/>
        </w:rPr>
        <w:t>, 2200-2209.</w:t>
      </w:r>
    </w:p>
    <w:p>
      <w:pPr>
        <w:spacing w:before="40" w:after="60"/>
        <w:ind w:left="432" w:hanging="432"/>
      </w:pPr>
      <w:r>
        <w:rPr>
          <w:rFonts w:ascii="Times New Roman" w:hAnsi="Times New Roman"/>
          <w:b/>
          <w:sz w:val="19"/>
        </w:rPr>
        <w:t xml:space="preserve">[11] </w:t>
      </w:r>
      <w:r>
        <w:rPr>
          <w:rFonts w:ascii="Times New Roman" w:hAnsi="Times New Roman"/>
          <w:sz w:val="19"/>
        </w:rPr>
        <w:t xml:space="preserve">Park, S., Shin, S., Lee, B., Lee, J., Surh, J., Seo, M., &amp; Baek, H. (2019). CORD: A consolidated receipt dataset for post-OCR parsing. </w:t>
      </w:r>
      <w:r>
        <w:rPr>
          <w:rFonts w:ascii="Times New Roman" w:hAnsi="Times New Roman"/>
          <w:i/>
          <w:sz w:val="19"/>
        </w:rPr>
        <w:t>NeurIPS Workshop</w:t>
      </w:r>
      <w:r>
        <w:rPr>
          <w:rFonts w:ascii="Times New Roman" w:hAnsi="Times New Roman"/>
          <w:sz w:val="19"/>
        </w:rPr>
        <w:t>.</w:t>
      </w:r>
    </w:p>
    <w:p>
      <w:pPr>
        <w:spacing w:before="40" w:after="60"/>
        <w:ind w:left="432" w:hanging="432"/>
      </w:pPr>
      <w:r>
        <w:rPr>
          <w:rFonts w:ascii="Times New Roman" w:hAnsi="Times New Roman"/>
          <w:b/>
          <w:sz w:val="19"/>
        </w:rPr>
        <w:t xml:space="preserve">[12] </w:t>
      </w:r>
      <w:r>
        <w:rPr>
          <w:rFonts w:ascii="Times New Roman" w:hAnsi="Times New Roman"/>
          <w:sz w:val="19"/>
        </w:rPr>
        <w:t xml:space="preserve">Wang, Q., et al. (2025). Qwen2-VL: Enhancing vision-language models with dynamic resolution and multilingual OCR. </w:t>
      </w:r>
      <w:r>
        <w:rPr>
          <w:rFonts w:ascii="Times New Roman" w:hAnsi="Times New Roman"/>
          <w:i/>
          <w:sz w:val="19"/>
        </w:rPr>
        <w:t>IEEE/CVF CVPR</w:t>
      </w:r>
      <w:r>
        <w:rPr>
          <w:rFonts w:ascii="Times New Roman" w:hAnsi="Times New Roman"/>
          <w:sz w:val="19"/>
        </w:rPr>
        <w:t>.</w:t>
      </w:r>
    </w:p>
    <w:p>
      <w:pPr>
        <w:spacing w:before="40" w:after="60"/>
        <w:ind w:left="432" w:hanging="432"/>
      </w:pPr>
      <w:r>
        <w:rPr>
          <w:rFonts w:ascii="Times New Roman" w:hAnsi="Times New Roman"/>
          <w:b/>
          <w:sz w:val="19"/>
        </w:rPr>
        <w:t xml:space="preserve">[13] </w:t>
      </w:r>
      <w:r>
        <w:rPr>
          <w:rFonts w:ascii="Times New Roman" w:hAnsi="Times New Roman"/>
          <w:sz w:val="19"/>
        </w:rPr>
        <w:t xml:space="preserve">Xiao, T., et al. (2024). Florence-2: Advancing a unified representation for vision tasks. </w:t>
      </w:r>
      <w:r>
        <w:rPr>
          <w:rFonts w:ascii="Times New Roman" w:hAnsi="Times New Roman"/>
          <w:i/>
          <w:sz w:val="19"/>
        </w:rPr>
        <w:t>CVPR</w:t>
      </w:r>
      <w:r>
        <w:rPr>
          <w:rFonts w:ascii="Times New Roman" w:hAnsi="Times New Roman"/>
          <w:sz w:val="19"/>
        </w:rPr>
        <w:t>.</w:t>
      </w:r>
    </w:p>
    <w:p>
      <w:pPr>
        <w:spacing w:before="40" w:after="60"/>
        <w:ind w:left="432" w:hanging="432"/>
      </w:pPr>
      <w:r>
        <w:rPr>
          <w:rFonts w:ascii="Times New Roman" w:hAnsi="Times New Roman"/>
          <w:b/>
          <w:sz w:val="19"/>
        </w:rPr>
        <w:t xml:space="preserve">[14] </w:t>
      </w:r>
      <w:r>
        <w:rPr>
          <w:rFonts w:ascii="Times New Roman" w:hAnsi="Times New Roman"/>
          <w:sz w:val="19"/>
        </w:rPr>
        <w:t xml:space="preserve">Xu, L., et al. (2025). LayoutLLM: Layout-aware large multimodal models for document information extraction. </w:t>
      </w:r>
      <w:r>
        <w:rPr>
          <w:rFonts w:ascii="Times New Roman" w:hAnsi="Times New Roman"/>
          <w:i/>
          <w:sz w:val="19"/>
        </w:rPr>
        <w:t>International Conference on Document Analysis and Recognition (ICDAR)</w:t>
      </w:r>
      <w:r>
        <w:rPr>
          <w:rFonts w:ascii="Times New Roman" w:hAnsi="Times New Roman"/>
          <w:sz w:val="19"/>
        </w:rPr>
        <w:t>.</w:t>
      </w:r>
    </w:p>
    <w:p>
      <w:pPr>
        <w:spacing w:before="40" w:after="60"/>
        <w:ind w:left="432" w:hanging="432"/>
      </w:pPr>
      <w:r>
        <w:rPr>
          <w:rFonts w:ascii="Times New Roman" w:hAnsi="Times New Roman"/>
          <w:b/>
          <w:sz w:val="19"/>
        </w:rPr>
        <w:t xml:space="preserve">[15] </w:t>
      </w:r>
      <w:r>
        <w:rPr>
          <w:rFonts w:ascii="Times New Roman" w:hAnsi="Times New Roman"/>
          <w:sz w:val="19"/>
        </w:rPr>
        <w:t xml:space="preserve">Ye, J., et al. (2025). UDOP-v2: Universal document processing via vision-language task unified pretraining. </w:t>
      </w:r>
      <w:r>
        <w:rPr>
          <w:rFonts w:ascii="Times New Roman" w:hAnsi="Times New Roman"/>
          <w:i/>
          <w:sz w:val="19"/>
        </w:rPr>
        <w:t>IEEE Transactions on Pattern Analysis and Machine Intelligence (TPAMI)</w:t>
      </w:r>
      <w:r>
        <w:rPr>
          <w:rFonts w:ascii="Times New Roman" w:hAnsi="Times New Roman"/>
          <w:sz w:val="19"/>
        </w:rP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IEEE ACCESS | Volume 14,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