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pPr>
        <w:spacing w:before="280" w:after="120"/>
        <w:jc w:val="center"/>
      </w:pPr>
      <w:r>
        <w:rPr>
          <w:rFonts w:ascii="Times New Roman" w:hAnsi="Times New Roman"/>
          <w:b/>
          <w:sz w:val="26"/>
        </w:rPr>
        <w:t>CONTENTS</w:t>
      </w:r>
    </w:p>
    <w:p>
      <w:pPr>
        <w:spacing w:after="120"/>
        <w:pStyle w:val="TOCHeading"/>
      </w:pPr>
      <w:r>
        <w:fldChar w:fldCharType="begin"/>
        <w:instrText xml:space="preserve">TOC \o "1-2" \h \z \u</w:instrText>
        <w:fldChar w:fldCharType="separate"/>
        <w:fldChar w:fldCharType="end"/>
      </w:r>
    </w:p>
    <w:p>
      <w:pPr>
        <w:tabs>
          <w:tab w:pos="9360" w:val="right" w:leader="dot"/>
        </w:tabs>
        <w:spacing w:line="276" w:lineRule="auto" w:after="40"/>
      </w:pPr>
      <w:r>
        <w:rPr>
          <w:rFonts w:ascii="Times New Roman" w:hAnsi="Times New Roman"/>
          <w:b/>
          <w:sz w:val="19"/>
        </w:rPr>
        <w:t>1. Introduction</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1.1 Background &amp; Motivation</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1.2 Research Objectives</w:t>
      </w:r>
      <w:r>
        <w:rPr>
          <w:rFonts w:ascii="Times New Roman" w:hAnsi="Times New Roman"/>
          <w:color w:val="404040"/>
          <w:sz w:val="19"/>
        </w:rPr>
        <w:tab/>
        <w:t>3</w:t>
      </w:r>
    </w:p>
    <w:p>
      <w:pPr>
        <w:tabs>
          <w:tab w:pos="9360" w:val="right" w:leader="dot"/>
        </w:tabs>
        <w:spacing w:line="276" w:lineRule="auto" w:after="40"/>
      </w:pPr>
      <w:r>
        <w:rPr>
          <w:rFonts w:ascii="Times New Roman" w:hAnsi="Times New Roman"/>
          <w:sz w:val="19"/>
        </w:rPr>
        <w:t xml:space="preserve">   1.3 Main Research Contributions</w:t>
      </w:r>
      <w:r>
        <w:rPr>
          <w:rFonts w:ascii="Times New Roman" w:hAnsi="Times New Roman"/>
          <w:color w:val="404040"/>
          <w:sz w:val="19"/>
        </w:rPr>
        <w:tab/>
        <w:t>3</w:t>
      </w:r>
    </w:p>
    <w:p>
      <w:pPr>
        <w:tabs>
          <w:tab w:pos="9360" w:val="right" w:leader="dot"/>
        </w:tabs>
        <w:spacing w:line="276" w:lineRule="auto" w:after="40"/>
      </w:pPr>
      <w:r>
        <w:rPr>
          <w:rFonts w:ascii="Times New Roman" w:hAnsi="Times New Roman"/>
          <w:b/>
          <w:sz w:val="19"/>
        </w:rPr>
        <w:t>2. Related Work</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2.1 Vision-Language Models &amp; Document Intelligence</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2.2 Document Image Classification &amp; Parsing Benchmarks</w:t>
      </w:r>
      <w:r>
        <w:rPr>
          <w:rFonts w:ascii="Times New Roman" w:hAnsi="Times New Roman"/>
          <w:color w:val="404040"/>
          <w:sz w:val="19"/>
        </w:rPr>
        <w:tab/>
        <w:t>5</w:t>
      </w:r>
    </w:p>
    <w:p>
      <w:pPr>
        <w:tabs>
          <w:tab w:pos="9360" w:val="right" w:leader="dot"/>
        </w:tabs>
        <w:spacing w:line="276" w:lineRule="auto" w:after="40"/>
      </w:pPr>
      <w:r>
        <w:rPr>
          <w:rFonts w:ascii="Times New Roman" w:hAnsi="Times New Roman"/>
          <w:sz w:val="19"/>
        </w:rPr>
        <w:t xml:space="preserve">   2.3 Information Extraction &amp; Optical Character Recognition</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2.4 Synthetic Data Generation &amp; Benchmark Suites</w:t>
      </w:r>
      <w:r>
        <w:rPr>
          <w:rFonts w:ascii="Times New Roman" w:hAnsi="Times New Roman"/>
          <w:color w:val="404040"/>
          <w:sz w:val="19"/>
        </w:rPr>
        <w:tab/>
        <w:t>6</w:t>
      </w:r>
    </w:p>
    <w:p>
      <w:pPr>
        <w:tabs>
          <w:tab w:pos="9360" w:val="right" w:leader="dot"/>
        </w:tabs>
        <w:spacing w:line="276" w:lineRule="auto" w:after="40"/>
      </w:pPr>
      <w:r>
        <w:rPr>
          <w:rFonts w:ascii="Times New Roman" w:hAnsi="Times New Roman"/>
          <w:sz w:val="19"/>
        </w:rPr>
        <w:t xml:space="preserve">   2.5 Semantic Normalization &amp; Post-Processing</w:t>
      </w:r>
      <w:r>
        <w:rPr>
          <w:rFonts w:ascii="Times New Roman" w:hAnsi="Times New Roman"/>
          <w:color w:val="404040"/>
          <w:sz w:val="19"/>
        </w:rPr>
        <w:tab/>
        <w:t>7</w:t>
      </w:r>
    </w:p>
    <w:p>
      <w:pPr>
        <w:tabs>
          <w:tab w:pos="9360" w:val="right" w:leader="dot"/>
        </w:tabs>
        <w:spacing w:line="276" w:lineRule="auto" w:after="40"/>
      </w:pPr>
      <w:r>
        <w:rPr>
          <w:rFonts w:ascii="Times New Roman" w:hAnsi="Times New Roman"/>
          <w:sz w:val="19"/>
        </w:rPr>
        <w:t xml:space="preserve">   2.6 Error Taxonomies &amp; Diagnostic Evaluation</w:t>
      </w:r>
      <w:r>
        <w:rPr>
          <w:rFonts w:ascii="Times New Roman" w:hAnsi="Times New Roman"/>
          <w:color w:val="404040"/>
          <w:sz w:val="19"/>
        </w:rPr>
        <w:tab/>
        <w:t>7</w:t>
      </w:r>
    </w:p>
    <w:p>
      <w:pPr>
        <w:tabs>
          <w:tab w:pos="9360" w:val="right" w:leader="dot"/>
        </w:tabs>
        <w:spacing w:line="276" w:lineRule="auto" w:after="40"/>
      </w:pPr>
      <w:r>
        <w:rPr>
          <w:rFonts w:ascii="Times New Roman" w:hAnsi="Times New Roman"/>
          <w:b/>
          <w:sz w:val="19"/>
        </w:rPr>
        <w:t>3. ADBG v1.0 &amp; AU DIC Benchmark System Architecture</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3.1 ADBG v1.0 Synthetic Generator Subsystem</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3.2 Optical Degradation Profile Processor</w:t>
      </w:r>
      <w:r>
        <w:rPr>
          <w:rFonts w:ascii="Times New Roman" w:hAnsi="Times New Roman"/>
          <w:color w:val="404040"/>
          <w:sz w:val="19"/>
        </w:rPr>
        <w:tab/>
        <w:t>8</w:t>
      </w:r>
    </w:p>
    <w:p>
      <w:pPr>
        <w:tabs>
          <w:tab w:pos="9360" w:val="right" w:leader="dot"/>
        </w:tabs>
        <w:spacing w:line="276" w:lineRule="auto" w:after="40"/>
      </w:pPr>
      <w:r>
        <w:rPr>
          <w:rFonts w:ascii="Times New Roman" w:hAnsi="Times New Roman"/>
          <w:sz w:val="19"/>
        </w:rPr>
        <w:t xml:space="preserve">   3.3 AU DIC Decoupled Benchmark Execution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b/>
          <w:sz w:val="19"/>
        </w:rPr>
        <w:t>4. Methodology</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4.1 Six-Stage Semantic Canonical Normalization Subsystem</w:t>
      </w:r>
      <w:r>
        <w:rPr>
          <w:rFonts w:ascii="Times New Roman" w:hAnsi="Times New Roman"/>
          <w:color w:val="404040"/>
          <w:sz w:val="19"/>
        </w:rPr>
        <w:tab/>
        <w:t>9</w:t>
      </w:r>
    </w:p>
    <w:p>
      <w:pPr>
        <w:tabs>
          <w:tab w:pos="9360" w:val="right" w:leader="dot"/>
        </w:tabs>
        <w:spacing w:line="276" w:lineRule="auto" w:after="40"/>
      </w:pPr>
      <w:r>
        <w:rPr>
          <w:rFonts w:ascii="Times New Roman" w:hAnsi="Times New Roman"/>
          <w:sz w:val="19"/>
        </w:rPr>
        <w:t xml:space="preserve">   4.2 Nine-Class Structured OCR Error Taxonomy</w:t>
      </w:r>
      <w:r>
        <w:rPr>
          <w:rFonts w:ascii="Times New Roman" w:hAnsi="Times New Roman"/>
          <w:color w:val="404040"/>
          <w:sz w:val="19"/>
        </w:rPr>
        <w:tab/>
        <w:t>12</w:t>
      </w:r>
    </w:p>
    <w:p>
      <w:pPr>
        <w:tabs>
          <w:tab w:pos="9360" w:val="right" w:leader="dot"/>
        </w:tabs>
        <w:spacing w:line="276" w:lineRule="auto" w:after="40"/>
      </w:pPr>
      <w:r>
        <w:rPr>
          <w:rFonts w:ascii="Times New Roman" w:hAnsi="Times New Roman"/>
          <w:sz w:val="19"/>
        </w:rPr>
        <w:t xml:space="preserve">   4.3 Mathematical Formulation of Evaluation Metrics</w:t>
      </w:r>
      <w:r>
        <w:rPr>
          <w:rFonts w:ascii="Times New Roman" w:hAnsi="Times New Roman"/>
          <w:color w:val="404040"/>
          <w:sz w:val="19"/>
        </w:rPr>
        <w:tab/>
        <w:t>13</w:t>
      </w:r>
    </w:p>
    <w:p>
      <w:pPr>
        <w:tabs>
          <w:tab w:pos="9360" w:val="right" w:leader="dot"/>
        </w:tabs>
        <w:spacing w:line="276" w:lineRule="auto" w:after="40"/>
      </w:pPr>
      <w:r>
        <w:rPr>
          <w:rFonts w:ascii="Times New Roman" w:hAnsi="Times New Roman"/>
          <w:b/>
          <w:sz w:val="19"/>
        </w:rPr>
        <w:t>5. Results &amp; Empirical Validation</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5.1 Distinction Between Framework Validation, Benchmark Validation, and Model Performance</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5.2 Framework Execution &amp; System Verification Metrics</w:t>
      </w:r>
      <w:r>
        <w:rPr>
          <w:rFonts w:ascii="Times New Roman" w:hAnsi="Times New Roman"/>
          <w:color w:val="404040"/>
          <w:sz w:val="19"/>
        </w:rPr>
        <w:tab/>
        <w:t>15</w:t>
      </w:r>
    </w:p>
    <w:p>
      <w:pPr>
        <w:tabs>
          <w:tab w:pos="9360" w:val="right" w:leader="dot"/>
        </w:tabs>
        <w:spacing w:line="276" w:lineRule="auto" w:after="40"/>
      </w:pPr>
      <w:r>
        <w:rPr>
          <w:rFonts w:ascii="Times New Roman" w:hAnsi="Times New Roman"/>
          <w:sz w:val="19"/>
        </w:rPr>
        <w:t xml:space="preserve">   5.3 System Throughput &amp; Execution Latency</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5.4 Empirical Live Neural Model Evaluation Results</w:t>
      </w:r>
      <w:r>
        <w:rPr>
          <w:rFonts w:ascii="Times New Roman" w:hAnsi="Times New Roman"/>
          <w:color w:val="404040"/>
          <w:sz w:val="19"/>
        </w:rPr>
        <w:tab/>
        <w:t>16</w:t>
      </w:r>
    </w:p>
    <w:p>
      <w:pPr>
        <w:tabs>
          <w:tab w:pos="9360" w:val="right" w:leader="dot"/>
        </w:tabs>
        <w:spacing w:line="276" w:lineRule="auto" w:after="40"/>
      </w:pPr>
      <w:r>
        <w:rPr>
          <w:rFonts w:ascii="Times New Roman" w:hAnsi="Times New Roman"/>
          <w:sz w:val="19"/>
        </w:rPr>
        <w:t xml:space="preserve">   5.5 Empirical Ablation Study of Semantic Canonical Normalization</w:t>
      </w:r>
      <w:r>
        <w:rPr>
          <w:rFonts w:ascii="Times New Roman" w:hAnsi="Times New Roman"/>
          <w:color w:val="404040"/>
          <w:sz w:val="19"/>
        </w:rPr>
        <w:tab/>
        <w:t>18</w:t>
      </w:r>
    </w:p>
    <w:p>
      <w:pPr>
        <w:tabs>
          <w:tab w:pos="9360" w:val="right" w:leader="dot"/>
        </w:tabs>
        <w:spacing w:line="276" w:lineRule="auto" w:after="40"/>
      </w:pPr>
      <w:r>
        <w:rPr>
          <w:rFonts w:ascii="Times New Roman" w:hAnsi="Times New Roman"/>
          <w:sz w:val="19"/>
        </w:rPr>
        <w:t xml:space="preserve">   5.6 Statistical Significance Analysis (p &lt; 0.0001)</w:t>
      </w:r>
      <w:r>
        <w:rPr>
          <w:rFonts w:ascii="Times New Roman" w:hAnsi="Times New Roman"/>
          <w:color w:val="404040"/>
          <w:sz w:val="19"/>
        </w:rPr>
        <w:tab/>
        <w:t>20</w:t>
      </w:r>
    </w:p>
    <w:p>
      <w:pPr>
        <w:tabs>
          <w:tab w:pos="9360" w:val="right" w:leader="dot"/>
        </w:tabs>
        <w:spacing w:line="276" w:lineRule="auto" w:after="40"/>
      </w:pPr>
      <w:r>
        <w:rPr>
          <w:rFonts w:ascii="Times New Roman" w:hAnsi="Times New Roman"/>
          <w:sz w:val="19"/>
        </w:rPr>
        <w:t xml:space="preserve">   5.7 Empirical Evaluation Scope &amp; Methodological Limitations</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sz w:val="19"/>
        </w:rPr>
        <w:t xml:space="preserve">   5.8 Error Taxonomy Distribution Shift Analysis</w:t>
      </w:r>
      <w:r>
        <w:rPr>
          <w:rFonts w:ascii="Times New Roman" w:hAnsi="Times New Roman"/>
          <w:color w:val="404040"/>
          <w:sz w:val="19"/>
        </w:rPr>
        <w:tab/>
        <w:t>21</w:t>
      </w:r>
    </w:p>
    <w:p>
      <w:pPr>
        <w:tabs>
          <w:tab w:pos="9360" w:val="right" w:leader="dot"/>
        </w:tabs>
        <w:spacing w:line="276" w:lineRule="auto" w:after="40"/>
      </w:pPr>
      <w:r>
        <w:rPr>
          <w:rFonts w:ascii="Times New Roman" w:hAnsi="Times New Roman"/>
          <w:b/>
          <w:sz w:val="19"/>
        </w:rPr>
        <w:t>6. Discussion &amp; Threats to Validity</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6.1 Scientific Contributions and Methodological Novelty</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6.2 Discussion of Empirical Findings</w:t>
      </w:r>
      <w:r>
        <w:rPr>
          <w:rFonts w:ascii="Times New Roman" w:hAnsi="Times New Roman"/>
          <w:color w:val="404040"/>
          <w:sz w:val="19"/>
        </w:rPr>
        <w:tab/>
        <w:t>22</w:t>
      </w:r>
    </w:p>
    <w:p>
      <w:pPr>
        <w:tabs>
          <w:tab w:pos="9360" w:val="right" w:leader="dot"/>
        </w:tabs>
        <w:spacing w:line="276" w:lineRule="auto" w:after="40"/>
      </w:pPr>
      <w:r>
        <w:rPr>
          <w:rFonts w:ascii="Times New Roman" w:hAnsi="Times New Roman"/>
          <w:sz w:val="19"/>
        </w:rPr>
        <w:t xml:space="preserve">   6.3 Threats to Validity</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7. Limitations Analysis</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sz w:val="19"/>
        </w:rPr>
        <w:t xml:space="preserve">   7.1 Methodological Limitations</w:t>
      </w:r>
      <w:r>
        <w:rPr>
          <w:rFonts w:ascii="Times New Roman" w:hAnsi="Times New Roman"/>
          <w:color w:val="404040"/>
          <w:sz w:val="19"/>
        </w:rPr>
        <w:tab/>
        <w:t>23</w:t>
      </w:r>
    </w:p>
    <w:p>
      <w:pPr>
        <w:tabs>
          <w:tab w:pos="9360" w:val="right" w:leader="dot"/>
        </w:tabs>
        <w:spacing w:line="276" w:lineRule="auto" w:after="40"/>
      </w:pPr>
      <w:r>
        <w:rPr>
          <w:rFonts w:ascii="Times New Roman" w:hAnsi="Times New Roman"/>
          <w:b/>
          <w:sz w:val="19"/>
        </w:rPr>
        <w:t>8. Future Work</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9. Conclusion</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Ethics &amp; Privacy Statement</w:t>
      </w:r>
      <w:r>
        <w:rPr>
          <w:rFonts w:ascii="Times New Roman" w:hAnsi="Times New Roman"/>
          <w:color w:val="404040"/>
          <w:sz w:val="19"/>
        </w:rPr>
        <w:tab/>
        <w:t>24</w:t>
      </w:r>
    </w:p>
    <w:p>
      <w:pPr>
        <w:tabs>
          <w:tab w:pos="9360" w:val="right" w:leader="dot"/>
        </w:tabs>
        <w:spacing w:line="276" w:lineRule="auto" w:after="40"/>
      </w:pPr>
      <w:r>
        <w:rPr>
          <w:rFonts w:ascii="Times New Roman" w:hAnsi="Times New Roman"/>
          <w:b/>
          <w:sz w:val="19"/>
        </w:rPr>
        <w:t>ACKNOWLEDGMENT</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APPENDIX A: REPRODUCIBILITY &amp; SYSTEM SPECIFICATIONS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A.1 Reproducibility &amp; System Environment Matrix</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sz w:val="19"/>
        </w:rPr>
        <w:t xml:space="preserve">   A.2 Technical Clarifications &amp; Reviewer Inquiries</w:t>
      </w:r>
      <w:r>
        <w:rPr>
          <w:rFonts w:ascii="Times New Roman" w:hAnsi="Times New Roman"/>
          <w:color w:val="404040"/>
          <w:sz w:val="19"/>
        </w:rPr>
        <w:tab/>
        <w:t>25</w:t>
      </w:r>
    </w:p>
    <w:p>
      <w:pPr>
        <w:tabs>
          <w:tab w:pos="9360" w:val="right" w:leader="dot"/>
        </w:tabs>
        <w:spacing w:line="276" w:lineRule="auto" w:after="40"/>
      </w:pPr>
      <w:r>
        <w:rPr>
          <w:rFonts w:ascii="Times New Roman" w:hAnsi="Times New Roman"/>
          <w:b/>
          <w:sz w:val="19"/>
        </w:rPr>
        <w:t>APPENDIX B: FIELD SPECIFICATION &amp; OBSERVATION COUNT DERIVATION</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B.1 Document Category Field Structure</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sz w:val="19"/>
        </w:rPr>
        <w:t xml:space="preserve">   B.2 Mathematical Derivation of 24,480 Paired Observations</w:t>
      </w:r>
      <w:r>
        <w:rPr>
          <w:rFonts w:ascii="Times New Roman" w:hAnsi="Times New Roman"/>
          <w:color w:val="404040"/>
          <w:sz w:val="19"/>
        </w:rPr>
        <w:tab/>
        <w:t>26</w:t>
      </w:r>
    </w:p>
    <w:p>
      <w:pPr>
        <w:tabs>
          <w:tab w:pos="9360" w:val="right" w:leader="dot"/>
        </w:tabs>
        <w:spacing w:line="276" w:lineRule="auto" w:after="40"/>
      </w:pPr>
      <w:r>
        <w:rPr>
          <w:rFonts w:ascii="Times New Roman" w:hAnsi="Times New Roman"/>
          <w:b/>
          <w:sz w:val="19"/>
        </w:rPr>
        <w:t>APPENDIX C: EMPIRICAL STATISTICAL METHODOLOGY &amp; BENCHMARKS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C.1 Empirical Category Confusion Matrix (360 Specimens)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C.2 McNemar Contingency Test &amp; Normalization Rescues</w:t>
      </w:r>
      <w:r>
        <w:rPr>
          <w:rFonts w:ascii="Times New Roman" w:hAnsi="Times New Roman"/>
          <w:color w:val="404040"/>
          <w:sz w:val="19"/>
        </w:rPr>
        <w:tab/>
        <w:t>27</w:t>
      </w:r>
    </w:p>
    <w:p>
      <w:pPr>
        <w:tabs>
          <w:tab w:pos="9360" w:val="right" w:leader="dot"/>
        </w:tabs>
        <w:spacing w:line="276" w:lineRule="auto" w:after="40"/>
      </w:pPr>
      <w:r>
        <w:rPr>
          <w:rFonts w:ascii="Times New Roman" w:hAnsi="Times New Roman"/>
          <w:sz w:val="19"/>
        </w:rPr>
        <w:t xml:space="preserve">   C.3 Non-Parametric Bootstrap Confidence Intervals (B = 10,000)</w:t>
      </w:r>
      <w:r>
        <w:rPr>
          <w:rFonts w:ascii="Times New Roman" w:hAnsi="Times New Roman"/>
          <w:color w:val="404040"/>
          <w:sz w:val="19"/>
        </w:rPr>
        <w:tab/>
        <w:t>28</w:t>
      </w:r>
    </w:p>
    <w:p>
      <w:pPr>
        <w:tabs>
          <w:tab w:pos="9360" w:val="right" w:leader="dot"/>
        </w:tabs>
        <w:spacing w:line="276" w:lineRule="auto" w:after="40"/>
      </w:pPr>
      <w:r>
        <w:rPr>
          <w:rFonts w:ascii="Times New Roman" w:hAnsi="Times New Roman"/>
          <w:b/>
          <w:sz w:val="19"/>
        </w:rPr>
        <w:t>REFERENCES</w:t>
      </w:r>
      <w:r>
        <w:rPr>
          <w:rFonts w:ascii="Times New Roman" w:hAnsi="Times New Roman"/>
          <w:color w:val="404040"/>
          <w:sz w:val="19"/>
        </w:rPr>
        <w:tab/>
        <w:t>28</w:t>
      </w:r>
    </w:p>
    <w:p w14:paraId="78AF360B">
      <w:pPr>
        <w:pageBreakBefore/>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Ollama Local Runtime's MiniCPM-V (7.6B Q4_0)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pageBreakBefore/>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t>To evaluate live neural document analysis performance without mock fallbacks (allowMockFallback: false), the benchmark runner executed full inference across all 360 specimens using Ollama Local Runtime MiniCPM-V (7.6B Q4_0)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Ollama Local Runtime MiniCPM-V (7.6B Q4_0) Instant.</w:t>
      </w:r>
    </w:p>
    <w:p w14:paraId="29D205C5">
      <w:pPr>
        <w:keepNext/>
        <w:spacing w:before="80" w:after="160"/>
        <w:jc w:val="center"/>
      </w:pPr>
      <w:r>
        <w:t>Table IV: Live Model Extraction &amp; Classification Performance (Ollama MiniCPM-V (7.6B Q4_0)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t>1. Key-Value Entity Extraction Task (75.23% Field F1, 8.21% CER): Under zero-shot key-value entity field extraction, MiniCPM-V (7.6B Q4_0)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Ollama Local Runtime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t>Table C.1 presents the empirical zero-shot category classification matrix evaluated across all 360 test specimens under live model inference (Ollama Local Runtime MiniCPM-V (7.6B Q4_0)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