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3</w:t>
      </w:r>
    </w:p>
    <w:p>
      <w:pPr>
        <w:tabs>
          <w:tab w:pos="9360" w:val="right" w:leader="dot"/>
        </w:tabs>
        <w:spacing w:line="276" w:lineRule="auto" w:after="40"/>
      </w:pPr>
      <w:r>
        <w:rPr>
          <w:rFonts w:ascii="Times New Roman" w:hAnsi="Times New Roman"/>
          <w:sz w:val="19"/>
        </w:rPr>
        <w:t xml:space="preserve">   1.1 Background &amp; Motivation</w:t>
      </w:r>
      <w:r>
        <w:rPr>
          <w:rFonts w:ascii="Times New Roman" w:hAnsi="Times New Roman"/>
          <w:color w:val="404040"/>
          <w:sz w:val="19"/>
        </w:rPr>
        <w:tab/>
        <w:t>3</w:t>
      </w:r>
    </w:p>
    <w:p>
      <w:pPr>
        <w:tabs>
          <w:tab w:pos="9360" w:val="right" w:leader="dot"/>
        </w:tabs>
        <w:spacing w:line="276" w:lineRule="auto" w:after="40"/>
      </w:pPr>
      <w:r>
        <w:rPr>
          <w:rFonts w:ascii="Times New Roman" w:hAnsi="Times New Roman"/>
          <w:sz w:val="19"/>
        </w:rPr>
        <w:t xml:space="preserve">   1.2 Research Objectives</w:t>
      </w:r>
      <w:r>
        <w:rPr>
          <w:rFonts w:ascii="Times New Roman" w:hAnsi="Times New Roman"/>
          <w:color w:val="404040"/>
          <w:sz w:val="19"/>
        </w:rPr>
        <w:tab/>
        <w:t>3</w:t>
      </w:r>
    </w:p>
    <w:p>
      <w:pPr>
        <w:tabs>
          <w:tab w:pos="9360" w:val="right" w:leader="dot"/>
        </w:tabs>
        <w:spacing w:line="276" w:lineRule="auto" w:after="40"/>
      </w:pPr>
      <w:r>
        <w:rPr>
          <w:rFonts w:ascii="Times New Roman" w:hAnsi="Times New Roman"/>
          <w:sz w:val="19"/>
        </w:rPr>
        <w:t xml:space="preserve">   1.3 Main Research Contributions</w:t>
      </w:r>
      <w:r>
        <w:rPr>
          <w:rFonts w:ascii="Times New Roman" w:hAnsi="Times New Roman"/>
          <w:color w:val="404040"/>
          <w:sz w:val="19"/>
        </w:rPr>
        <w:tab/>
        <w:t>3</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5</w:t>
      </w:r>
    </w:p>
    <w:p>
      <w:pPr>
        <w:tabs>
          <w:tab w:pos="9360" w:val="right" w:leader="dot"/>
        </w:tabs>
        <w:spacing w:line="276" w:lineRule="auto" w:after="40"/>
      </w:pPr>
      <w:r>
        <w:rPr>
          <w:rFonts w:ascii="Times New Roman" w:hAnsi="Times New Roman"/>
          <w:sz w:val="19"/>
        </w:rPr>
        <w:t xml:space="preserve">   2.1 Vision-Language Models &amp; Document Intelligence</w:t>
      </w:r>
      <w:r>
        <w:rPr>
          <w:rFonts w:ascii="Times New Roman" w:hAnsi="Times New Roman"/>
          <w:color w:val="404040"/>
          <w:sz w:val="19"/>
        </w:rPr>
        <w:tab/>
        <w:t>5</w:t>
      </w:r>
    </w:p>
    <w:p>
      <w:pPr>
        <w:tabs>
          <w:tab w:pos="9360" w:val="right" w:leader="dot"/>
        </w:tabs>
        <w:spacing w:line="276" w:lineRule="auto" w:after="40"/>
      </w:pPr>
      <w:r>
        <w:rPr>
          <w:rFonts w:ascii="Times New Roman" w:hAnsi="Times New Roman"/>
          <w:sz w:val="19"/>
        </w:rPr>
        <w:t xml:space="preserve">   2.2 Document Image Classification &amp; Parsing Benchmarks</w:t>
      </w:r>
      <w:r>
        <w:rPr>
          <w:rFonts w:ascii="Times New Roman" w:hAnsi="Times New Roman"/>
          <w:color w:val="404040"/>
          <w:sz w:val="19"/>
        </w:rPr>
        <w:tab/>
        <w:t>5</w:t>
      </w:r>
    </w:p>
    <w:p>
      <w:pPr>
        <w:tabs>
          <w:tab w:pos="9360" w:val="right" w:leader="dot"/>
        </w:tabs>
        <w:spacing w:line="276" w:lineRule="auto" w:after="40"/>
      </w:pPr>
      <w:r>
        <w:rPr>
          <w:rFonts w:ascii="Times New Roman" w:hAnsi="Times New Roman"/>
          <w:sz w:val="19"/>
        </w:rPr>
        <w:t xml:space="preserve">   2.3 Information Extraction &amp; Optical Character Recognition</w:t>
      </w:r>
      <w:r>
        <w:rPr>
          <w:rFonts w:ascii="Times New Roman" w:hAnsi="Times New Roman"/>
          <w:color w:val="404040"/>
          <w:sz w:val="19"/>
        </w:rPr>
        <w:tab/>
        <w:t>6</w:t>
      </w:r>
    </w:p>
    <w:p>
      <w:pPr>
        <w:tabs>
          <w:tab w:pos="9360" w:val="right" w:leader="dot"/>
        </w:tabs>
        <w:spacing w:line="276" w:lineRule="auto" w:after="40"/>
      </w:pPr>
      <w:r>
        <w:rPr>
          <w:rFonts w:ascii="Times New Roman" w:hAnsi="Times New Roman"/>
          <w:sz w:val="19"/>
        </w:rPr>
        <w:t xml:space="preserve">   2.4 Synthetic Data Generation &amp; Benchmark Suites</w:t>
      </w:r>
      <w:r>
        <w:rPr>
          <w:rFonts w:ascii="Times New Roman" w:hAnsi="Times New Roman"/>
          <w:color w:val="404040"/>
          <w:sz w:val="19"/>
        </w:rPr>
        <w:tab/>
        <w:t>6</w:t>
      </w:r>
    </w:p>
    <w:p>
      <w:pPr>
        <w:tabs>
          <w:tab w:pos="9360" w:val="right" w:leader="dot"/>
        </w:tabs>
        <w:spacing w:line="276" w:lineRule="auto" w:after="40"/>
      </w:pPr>
      <w:r>
        <w:rPr>
          <w:rFonts w:ascii="Times New Roman" w:hAnsi="Times New Roman"/>
          <w:sz w:val="19"/>
        </w:rPr>
        <w:t xml:space="preserve">   2.5 Semantic Normalization &amp; Post-Processing</w:t>
      </w:r>
      <w:r>
        <w:rPr>
          <w:rFonts w:ascii="Times New Roman" w:hAnsi="Times New Roman"/>
          <w:color w:val="404040"/>
          <w:sz w:val="19"/>
        </w:rPr>
        <w:tab/>
        <w:t>7</w:t>
      </w:r>
    </w:p>
    <w:p>
      <w:pPr>
        <w:tabs>
          <w:tab w:pos="9360" w:val="right" w:leader="dot"/>
        </w:tabs>
        <w:spacing w:line="276" w:lineRule="auto" w:after="40"/>
      </w:pPr>
      <w:r>
        <w:rPr>
          <w:rFonts w:ascii="Times New Roman" w:hAnsi="Times New Roman"/>
          <w:sz w:val="19"/>
        </w:rPr>
        <w:t xml:space="preserve">   2.6 Error Taxonomies &amp; Diagnostic Evaluation</w:t>
      </w:r>
      <w:r>
        <w:rPr>
          <w:rFonts w:ascii="Times New Roman" w:hAnsi="Times New Roman"/>
          <w:color w:val="404040"/>
          <w:sz w:val="19"/>
        </w:rPr>
        <w:tab/>
        <w:t>7</w:t>
      </w:r>
    </w:p>
    <w:p>
      <w:pPr>
        <w:tabs>
          <w:tab w:pos="9360" w:val="right" w:leader="dot"/>
        </w:tabs>
        <w:spacing w:line="276" w:lineRule="auto" w:after="40"/>
      </w:pPr>
      <w:r>
        <w:rPr>
          <w:rFonts w:ascii="Times New Roman" w:hAnsi="Times New Roman"/>
          <w:b/>
          <w:sz w:val="19"/>
        </w:rPr>
        <w:t>3. ADBG v1.0 &amp; AU DIC Benchmark System Architecture</w:t>
      </w:r>
      <w:r>
        <w:rPr>
          <w:rFonts w:ascii="Times New Roman" w:hAnsi="Times New Roman"/>
          <w:color w:val="404040"/>
          <w:sz w:val="19"/>
        </w:rPr>
        <w:tab/>
        <w:t>8</w:t>
      </w:r>
    </w:p>
    <w:p>
      <w:pPr>
        <w:tabs>
          <w:tab w:pos="9360" w:val="right" w:leader="dot"/>
        </w:tabs>
        <w:spacing w:line="276" w:lineRule="auto" w:after="40"/>
      </w:pPr>
      <w:r>
        <w:rPr>
          <w:rFonts w:ascii="Times New Roman" w:hAnsi="Times New Roman"/>
          <w:sz w:val="19"/>
        </w:rPr>
        <w:t xml:space="preserve">   3.1 ADBG v1.0 Synthetic Generator Subsystem</w:t>
      </w:r>
      <w:r>
        <w:rPr>
          <w:rFonts w:ascii="Times New Roman" w:hAnsi="Times New Roman"/>
          <w:color w:val="404040"/>
          <w:sz w:val="19"/>
        </w:rPr>
        <w:tab/>
        <w:t>8</w:t>
      </w:r>
    </w:p>
    <w:p>
      <w:pPr>
        <w:tabs>
          <w:tab w:pos="9360" w:val="right" w:leader="dot"/>
        </w:tabs>
        <w:spacing w:line="276" w:lineRule="auto" w:after="40"/>
      </w:pPr>
      <w:r>
        <w:rPr>
          <w:rFonts w:ascii="Times New Roman" w:hAnsi="Times New Roman"/>
          <w:sz w:val="19"/>
        </w:rPr>
        <w:t xml:space="preserve">   3.2 Optical Degradation Profile Processor</w:t>
      </w:r>
      <w:r>
        <w:rPr>
          <w:rFonts w:ascii="Times New Roman" w:hAnsi="Times New Roman"/>
          <w:color w:val="404040"/>
          <w:sz w:val="19"/>
        </w:rPr>
        <w:tab/>
        <w:t>8</w:t>
      </w:r>
    </w:p>
    <w:p>
      <w:pPr>
        <w:tabs>
          <w:tab w:pos="9360" w:val="right" w:leader="dot"/>
        </w:tabs>
        <w:spacing w:line="276" w:lineRule="auto" w:after="40"/>
      </w:pPr>
      <w:r>
        <w:rPr>
          <w:rFonts w:ascii="Times New Roman" w:hAnsi="Times New Roman"/>
          <w:sz w:val="19"/>
        </w:rPr>
        <w:t xml:space="preserve">   3.3 AU DIC Decoupled Benchmark Execution Subsystem</w:t>
      </w:r>
      <w:r>
        <w:rPr>
          <w:rFonts w:ascii="Times New Roman" w:hAnsi="Times New Roman"/>
          <w:color w:val="404040"/>
          <w:sz w:val="19"/>
        </w:rPr>
        <w:tab/>
        <w:t>9</w:t>
      </w:r>
    </w:p>
    <w:p>
      <w:pPr>
        <w:tabs>
          <w:tab w:pos="9360" w:val="right" w:leader="dot"/>
        </w:tabs>
        <w:spacing w:line="276" w:lineRule="auto" w:after="40"/>
      </w:pPr>
      <w:r>
        <w:rPr>
          <w:rFonts w:ascii="Times New Roman" w:hAnsi="Times New Roman"/>
          <w:b/>
          <w:sz w:val="19"/>
        </w:rPr>
        <w:t>4. Methodology</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4.1 Six-Stage Semantic Canonical Normalization Subsystem</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4.2 Nine-Class Structured OCR Error Taxonomy</w:t>
      </w:r>
      <w:r>
        <w:rPr>
          <w:rFonts w:ascii="Times New Roman" w:hAnsi="Times New Roman"/>
          <w:color w:val="404040"/>
          <w:sz w:val="19"/>
        </w:rPr>
        <w:tab/>
        <w:t>12</w:t>
      </w:r>
    </w:p>
    <w:p>
      <w:pPr>
        <w:tabs>
          <w:tab w:pos="9360" w:val="right" w:leader="dot"/>
        </w:tabs>
        <w:spacing w:line="276" w:lineRule="auto" w:after="40"/>
      </w:pPr>
      <w:r>
        <w:rPr>
          <w:rFonts w:ascii="Times New Roman" w:hAnsi="Times New Roman"/>
          <w:sz w:val="19"/>
        </w:rPr>
        <w:t xml:space="preserve">   4.3 Mathematical Formulation of Evaluation Metrics</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b/>
          <w:sz w:val="19"/>
        </w:rPr>
        <w:t>5. Results &amp; Empirical Validation</w:t>
      </w:r>
      <w:r>
        <w:rPr>
          <w:rFonts w:ascii="Times New Roman" w:hAnsi="Times New Roman"/>
          <w:color w:val="404040"/>
          <w:sz w:val="19"/>
        </w:rPr>
        <w:tab/>
        <w:t>15</w:t>
      </w:r>
    </w:p>
    <w:p>
      <w:pPr>
        <w:tabs>
          <w:tab w:pos="9360" w:val="right" w:leader="dot"/>
        </w:tabs>
        <w:spacing w:line="276" w:lineRule="auto" w:after="40"/>
      </w:pPr>
      <w:r>
        <w:rPr>
          <w:rFonts w:ascii="Times New Roman" w:hAnsi="Times New Roman"/>
          <w:sz w:val="19"/>
        </w:rPr>
        <w:t xml:space="preserve">   5.1 Distinction Between Framework Validation, Benchmark Validation, and Model Performance</w:t>
      </w:r>
      <w:r>
        <w:rPr>
          <w:rFonts w:ascii="Times New Roman" w:hAnsi="Times New Roman"/>
          <w:color w:val="404040"/>
          <w:sz w:val="19"/>
        </w:rPr>
        <w:tab/>
        <w:t>15</w:t>
      </w:r>
    </w:p>
    <w:p>
      <w:pPr>
        <w:tabs>
          <w:tab w:pos="9360" w:val="right" w:leader="dot"/>
        </w:tabs>
        <w:spacing w:line="276" w:lineRule="auto" w:after="40"/>
      </w:pPr>
      <w:r>
        <w:rPr>
          <w:rFonts w:ascii="Times New Roman" w:hAnsi="Times New Roman"/>
          <w:sz w:val="19"/>
        </w:rPr>
        <w:t xml:space="preserve">   5.2 Framework Execution &amp; System Verification Metrics</w:t>
      </w:r>
      <w:r>
        <w:rPr>
          <w:rFonts w:ascii="Times New Roman" w:hAnsi="Times New Roman"/>
          <w:color w:val="404040"/>
          <w:sz w:val="19"/>
        </w:rPr>
        <w:tab/>
        <w:t>15</w:t>
      </w:r>
    </w:p>
    <w:p>
      <w:pPr>
        <w:tabs>
          <w:tab w:pos="9360" w:val="right" w:leader="dot"/>
        </w:tabs>
        <w:spacing w:line="276" w:lineRule="auto" w:after="40"/>
      </w:pPr>
      <w:r>
        <w:rPr>
          <w:rFonts w:ascii="Times New Roman" w:hAnsi="Times New Roman"/>
          <w:sz w:val="19"/>
        </w:rPr>
        <w:t xml:space="preserve">   5.3 System Throughput &amp; Execution Latency</w:t>
      </w:r>
      <w:r>
        <w:rPr>
          <w:rFonts w:ascii="Times New Roman" w:hAnsi="Times New Roman"/>
          <w:color w:val="404040"/>
          <w:sz w:val="19"/>
        </w:rPr>
        <w:tab/>
        <w:t>16</w:t>
      </w:r>
    </w:p>
    <w:p>
      <w:pPr>
        <w:tabs>
          <w:tab w:pos="9360" w:val="right" w:leader="dot"/>
        </w:tabs>
        <w:spacing w:line="276" w:lineRule="auto" w:after="40"/>
      </w:pPr>
      <w:r>
        <w:rPr>
          <w:rFonts w:ascii="Times New Roman" w:hAnsi="Times New Roman"/>
          <w:sz w:val="19"/>
        </w:rPr>
        <w:t xml:space="preserve">   5.4 Empirical Live Neural Model Evaluation Results</w:t>
      </w:r>
      <w:r>
        <w:rPr>
          <w:rFonts w:ascii="Times New Roman" w:hAnsi="Times New Roman"/>
          <w:color w:val="404040"/>
          <w:sz w:val="19"/>
        </w:rPr>
        <w:tab/>
        <w:t>16</w:t>
      </w:r>
    </w:p>
    <w:p>
      <w:pPr>
        <w:tabs>
          <w:tab w:pos="9360" w:val="right" w:leader="dot"/>
        </w:tabs>
        <w:spacing w:line="276" w:lineRule="auto" w:after="40"/>
      </w:pPr>
      <w:r>
        <w:rPr>
          <w:rFonts w:ascii="Times New Roman" w:hAnsi="Times New Roman"/>
          <w:sz w:val="19"/>
        </w:rPr>
        <w:t xml:space="preserve">   5.5 Empirical Ablation Study of Semantic Canonical Normalization</w:t>
      </w:r>
      <w:r>
        <w:rPr>
          <w:rFonts w:ascii="Times New Roman" w:hAnsi="Times New Roman"/>
          <w:color w:val="404040"/>
          <w:sz w:val="19"/>
        </w:rPr>
        <w:tab/>
        <w:t>18</w:t>
      </w:r>
    </w:p>
    <w:p>
      <w:pPr>
        <w:tabs>
          <w:tab w:pos="9360" w:val="right" w:leader="dot"/>
        </w:tabs>
        <w:spacing w:line="276" w:lineRule="auto" w:after="40"/>
      </w:pPr>
      <w:r>
        <w:rPr>
          <w:rFonts w:ascii="Times New Roman" w:hAnsi="Times New Roman"/>
          <w:sz w:val="19"/>
        </w:rPr>
        <w:t xml:space="preserve">   5.6 Statistical Significance Analysis (p &lt; 0.0001)</w:t>
      </w:r>
      <w:r>
        <w:rPr>
          <w:rFonts w:ascii="Times New Roman" w:hAnsi="Times New Roman"/>
          <w:color w:val="404040"/>
          <w:sz w:val="19"/>
        </w:rPr>
        <w:tab/>
        <w:t>20</w:t>
      </w:r>
    </w:p>
    <w:p>
      <w:pPr>
        <w:tabs>
          <w:tab w:pos="9360" w:val="right" w:leader="dot"/>
        </w:tabs>
        <w:spacing w:line="276" w:lineRule="auto" w:after="40"/>
      </w:pPr>
      <w:r>
        <w:rPr>
          <w:rFonts w:ascii="Times New Roman" w:hAnsi="Times New Roman"/>
          <w:sz w:val="19"/>
        </w:rPr>
        <w:t xml:space="preserve">   5.7 Empirical Evaluation Scope &amp; Methodological Limitations</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sz w:val="19"/>
        </w:rPr>
        <w:t xml:space="preserve">   5.8 Error Taxonomy Distribution Shift Analysis</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6. Discussion &amp; Threats to Validity</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sz w:val="19"/>
        </w:rPr>
        <w:t xml:space="preserve">   6.1 Scientific Contributions and Methodological Novelty</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sz w:val="19"/>
        </w:rPr>
        <w:t xml:space="preserve">   6.2 Discussion of Empirical Findings</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sz w:val="19"/>
        </w:rPr>
        <w:t xml:space="preserve">   6.3 Threats to Validity</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b/>
          <w:sz w:val="19"/>
        </w:rPr>
        <w:t>7. Limitations Analysis</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sz w:val="19"/>
        </w:rPr>
        <w:t xml:space="preserve">   7.1 Methodological Limitations</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b/>
          <w:sz w:val="19"/>
        </w:rPr>
        <w:t>8. Future Work</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b/>
          <w:sz w:val="19"/>
        </w:rPr>
        <w:t>9. Conclusion</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b/>
          <w:sz w:val="19"/>
        </w:rPr>
        <w:t>Ethics &amp; Privacy Statement</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b/>
          <w:sz w:val="19"/>
        </w:rPr>
        <w:t>APPENDIX A: REPRODUCIBILITY &amp; SYSTEM SPECIFICATIONS</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sz w:val="19"/>
        </w:rPr>
        <w:t xml:space="preserve">   A.1 Reproducibility &amp; System Environment Matrix</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sz w:val="19"/>
        </w:rPr>
        <w:t xml:space="preserve">   A.2 Technical Clarifications &amp; Reviewer Inquiries</w:t>
      </w:r>
      <w:r>
        <w:rPr>
          <w:rFonts w:ascii="Times New Roman" w:hAnsi="Times New Roman"/>
          <w:color w:val="404040"/>
          <w:sz w:val="19"/>
        </w:rPr>
        <w:tab/>
        <w:t>25</w:t>
      </w:r>
    </w:p>
    <w:p>
      <w:pPr>
        <w:tabs>
          <w:tab w:pos="9360" w:val="right" w:leader="dot"/>
        </w:tabs>
        <w:spacing w:line="276" w:lineRule="auto" w:after="40"/>
      </w:pPr>
      <w:r>
        <w:rPr>
          <w:rFonts w:ascii="Times New Roman" w:hAnsi="Times New Roman"/>
          <w:b/>
          <w:sz w:val="19"/>
        </w:rPr>
        <w:t>APPENDIX B: FIELD SPECIFICATION &amp; OBSERVATION COUNT DERIVATION</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sz w:val="19"/>
        </w:rPr>
        <w:t xml:space="preserve">   B.1 Document Category Field Structure</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sz w:val="19"/>
        </w:rPr>
        <w:t xml:space="preserve">   B.2 Mathematical Derivation of 24,480 Paired Observations</w:t>
      </w:r>
      <w:r>
        <w:rPr>
          <w:rFonts w:ascii="Times New Roman" w:hAnsi="Times New Roman"/>
          <w:color w:val="404040"/>
          <w:sz w:val="19"/>
        </w:rPr>
        <w:tab/>
        <w:t>26</w:t>
      </w:r>
    </w:p>
    <w:p>
      <w:pPr>
        <w:tabs>
          <w:tab w:pos="9360" w:val="right" w:leader="dot"/>
        </w:tabs>
        <w:spacing w:line="276" w:lineRule="auto" w:after="40"/>
      </w:pPr>
      <w:r>
        <w:rPr>
          <w:rFonts w:ascii="Times New Roman" w:hAnsi="Times New Roman"/>
          <w:b/>
          <w:sz w:val="19"/>
        </w:rPr>
        <w:t>APPENDIX C: EMPIRICAL STATISTICAL METHODOLOGY &amp; BENCHMARKS</w:t>
      </w:r>
      <w:r>
        <w:rPr>
          <w:rFonts w:ascii="Times New Roman" w:hAnsi="Times New Roman"/>
          <w:color w:val="404040"/>
          <w:sz w:val="19"/>
        </w:rPr>
        <w:tab/>
        <w:t>27</w:t>
      </w:r>
    </w:p>
    <w:p>
      <w:pPr>
        <w:tabs>
          <w:tab w:pos="9360" w:val="right" w:leader="dot"/>
        </w:tabs>
        <w:spacing w:line="276" w:lineRule="auto" w:after="40"/>
      </w:pPr>
      <w:r>
        <w:rPr>
          <w:rFonts w:ascii="Times New Roman" w:hAnsi="Times New Roman"/>
          <w:sz w:val="19"/>
        </w:rPr>
        <w:t xml:space="preserve">   C.1 Empirical Category Confusion Matrix (360 Specimens)</w:t>
      </w:r>
      <w:r>
        <w:rPr>
          <w:rFonts w:ascii="Times New Roman" w:hAnsi="Times New Roman"/>
          <w:color w:val="404040"/>
          <w:sz w:val="19"/>
        </w:rPr>
        <w:tab/>
        <w:t>27</w:t>
      </w:r>
    </w:p>
    <w:p>
      <w:pPr>
        <w:tabs>
          <w:tab w:pos="9360" w:val="right" w:leader="dot"/>
        </w:tabs>
        <w:spacing w:line="276" w:lineRule="auto" w:after="40"/>
      </w:pPr>
      <w:r>
        <w:rPr>
          <w:rFonts w:ascii="Times New Roman" w:hAnsi="Times New Roman"/>
          <w:sz w:val="19"/>
        </w:rPr>
        <w:t xml:space="preserve">   C.2 McNemar Contingency Test &amp; Normalization Rescues</w:t>
      </w:r>
      <w:r>
        <w:rPr>
          <w:rFonts w:ascii="Times New Roman" w:hAnsi="Times New Roman"/>
          <w:color w:val="404040"/>
          <w:sz w:val="19"/>
        </w:rPr>
        <w:tab/>
        <w:t>27</w:t>
      </w:r>
    </w:p>
    <w:p>
      <w:pPr>
        <w:tabs>
          <w:tab w:pos="9360" w:val="right" w:leader="dot"/>
        </w:tabs>
        <w:spacing w:line="276" w:lineRule="auto" w:after="40"/>
      </w:pPr>
      <w:r>
        <w:rPr>
          <w:rFonts w:ascii="Times New Roman" w:hAnsi="Times New Roman"/>
          <w:sz w:val="19"/>
        </w:rPr>
        <w:t xml:space="preserve">   C.3 Non-Parametric Bootstrap Confidence Intervals (B = 10,000)</w:t>
      </w:r>
      <w:r>
        <w:rPr>
          <w:rFonts w:ascii="Times New Roman" w:hAnsi="Times New Roman"/>
          <w:color w:val="404040"/>
          <w:sz w:val="19"/>
        </w:rPr>
        <w:tab/>
        <w:t>28</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28</w:t>
      </w:r>
    </w:p>
    <w:p w14:paraId="78AF360B">
      <w:pPr>
        <w:pageBreakBefore/>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pPr>
      <w:r>
        <w:t xml:space="preserve">Kushagra Singh Bhadauria¹, Aashish Rajput¹, and Avdesh Kumar Sah¹
¹Department of Computer Science and Engineering, Sharda University, Greater Noida, Uttar Pradesh, India
Emails: 2023361009.kushagra@ug.sharda.ac.in, 2023329421.aashish@ug.sharda.ac.in, 2023265132.avdesh@ug.sharda.ac.in</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ns3:oMath>
        <ns3:r>
          <ns3:rPr/>
          <w:rPr>
            <w:rFonts w:ascii="Cambria Math" w:hAnsi="Cambria Math"/>
          </w:rPr>
          <ns3:t>3</ns3:t>
        </ns3:r>
        <ns3:r>
          <ns3:rPr/>
          <w:rPr>
            <w:rFonts w:ascii="Times New Roman" w:hAnsi="Times New Roman"/>
          </w:rPr>
          <ns3:t>categories</ns3:t>
        </ns3:r>
        <ns3:r>
          <ns3:rPr/>
          <w:rPr>
            <w:rFonts w:ascii="Cambria Math" w:hAnsi="Cambria Math"/>
          </w:rPr>
          <ns3:t>×30</ns3:t>
        </ns3:r>
        <ns3:r>
          <ns3:rPr/>
          <w:rPr>
            <w:rFonts w:ascii="Times New Roman" w:hAnsi="Times New Roman"/>
          </w:rPr>
          <ns3:t>instances</ns3:t>
        </ns3:r>
        <ns3:r>
          <ns3:rPr/>
          <w:rPr>
            <w:rFonts w:ascii="Cambria Math" w:hAnsi="Cambria Math"/>
          </w:rPr>
          <ns3:t>×4</ns3:t>
        </ns3:r>
        <ns3:r>
          <ns3:rPr/>
          <w:rPr>
            <w:rFonts w:ascii="Times New Roman" w:hAnsi="Times New Roman"/>
          </w:rPr>
          <ns3:t>degradation profiles</ns3:t>
        </ns3:r>
      </ns3:oMath>
      <w:r>
        <w:t xml:space="preserve">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17.19% Field Extraction F1 score and 82.76% Character Error Rate (CER) (89.27% field-level CER) under zero-shot prompting across all degradation profiles. Furthermore, category classification achieved 100.00% accuracy across all document types, while fine-grained entity extraction achieved 17.19% F1 score due to missing fields and OCR errors. The benchmark eliminates the need for real student records by using deterministic synthetic academic credential generation with complete ground-truth annotations. The evaluation baseline executes end-to-end neural document intelligence inference (Option A) across 360 document specimens under strict real-inference enforcement without mock fallback. This work provides a reproducible, synthetic-data-based foundation for benchmarking academic document analysis systems.</w:t>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3F76657E">
      <w:pPr>
        <w:keepNext/>
        <w:pageBreakBefore/>
        <w:spacing w:before="280" w:after="120"/>
      </w:pPr>
      <w:r>
        <w:rPr>
          <w:rFonts w:ascii="Times New Roman" w:hAnsi="Times New Roman"/>
          <w:b/>
          <w:color w:val="003366"/>
          <w:sz w:val="26"/>
        </w:rPr>
        <w:t>1. Introduction</w:t>
      </w:r>
    </w:p>
    <w:p w14:paraId="1472CF58">
      <w:pPr>
        <w:keepNext/>
        <w:spacing w:before="200" w:after="80"/>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pPr>
      <w:r>
        <w:t xml:space="preserve">5. Quality Profile Robustness Framework: A controlled optical quality-profile degradation matrix across four standardized profiles (clean, scanner_copy, mobile_camera, rotated_90) [27], [30], [33], designed to quantify extraction decay in image-based evaluations. The Option A evaluation baseline executes end-to-end neural document intelligence inference across all optical degradation profiles.</w:t>
      </w:r>
    </w:p>
    <w:p w14:paraId="3197BF30">
      <w:pPr>
        <w:keepNext/>
        <w:spacing w:before="200" w:after="80"/>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evaluation protocol executes end-to-end neural document intelligence inference under Option A across 360 specimens and 24,480 paired field observations.</w:t>
      </w:r>
    </w:p>
    <w:p w14:paraId="0087EA3C">
      <w:pPr>
        <w:keepNext/>
        <w:spacing w:before="200" w:after="80"/>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292043FF">
      <w:pPr>
        <w:keepNext/>
        <w:spacing w:before="280" w:after="120"/>
      </w:pPr>
      <w:r>
        <w:rPr>
          <w:rFonts w:ascii="Times New Roman" w:hAnsi="Times New Roman"/>
          <w:b/>
          <w:color w:val="003366"/>
          <w:sz w:val="26"/>
        </w:rPr>
        <w:t>2. Related Work</w:t>
      </w:r>
    </w:p>
    <w:p w14:paraId="65EAE46E">
      <w:pPr>
        <w:keepNext/>
        <w:spacing w:before="200" w:after="80"/>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t xml:space="preserve">Table I provides a comprehensive comparative analysis contrasting ADBG v1.0 and the AU DIC framework against foundational benchmarks and modern 2025–2026 Document AI paradigms.</w:t>
      </w:r>
    </w:p>
    <w:p w14:paraId="50009E26">
      <w:pPr>
        <w:keepNext/>
        <w:spacing w:before="80" w:after="160"/>
        <w:jc w:val="center"/>
      </w:pPr>
      <w:r>
        <w:t xml:space="preserve">Table I: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151491A5">
      <w:pPr>
        <w:keepNext/>
        <w:spacing w:before="200" w:after="80"/>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DED24D5">
      <w:pPr>
        <w:keepNext/>
        <w:spacing w:before="280" w:after="120"/>
      </w:pPr>
      <w:r>
        <w:rPr>
          <w:rFonts w:ascii="Times New Roman" w:hAnsi="Times New Roman"/>
          <w:b/>
          <w:color w:val="003366"/>
          <w:sz w:val="26"/>
        </w:rPr>
        <w:t>3. Proposed Methodology</w:t>
      </w:r>
    </w:p>
    <w:p w14:paraId="71989CA7">
      <w:pPr>
        <w:keepNext/>
        <w:spacing w:before="200" w:after="80"/>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r:embed="rId7"/>
                    <ns5:stretch>
                      <ns5:fillRect/>
                    </ns5:stretch>
                  </ns6:blipFill>
                  <ns6:spPr>
                    <ns5:xfrm>
                      <ns5:off x="0" y="0"/>
                      <ns5:ext cx="5943600" cy="2476500"/>
                    </ns5:xfrm>
                    <ns5:prstGeom prst="rect">
                      <ns5:avLst/>
                    </ns5:prstGeom>
                  </ns6:spPr>
                </ns6:pic>
              </ns5:graphicData>
            </ns5:graphic>
          </ns4: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r:embed="rId8"/>
                    <ns5:stretch>
                      <ns5:fillRect/>
                    </ns5:stretch>
                  </ns6:blipFill>
                  <ns6:spPr>
                    <ns5:xfrm>
                      <ns5:off x="0" y="0"/>
                      <ns5:ext cx="1950000" cy="5400000"/>
                    </ns5:xfrm>
                    <ns5:prstGeom prst="rect">
                      <ns5:avLst/>
                    </ns5:prstGeom>
                  </ns6:spPr>
                </ns6:pic>
              </ns5:graphicData>
            </ns5:graphic>
          </ns4: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t xml:space="preserve">Table II illustrates candidate field evaluations across the canonical normalization layer and error taxonomy classifier.</w:t>
      </w:r>
    </w:p>
    <w:p w14:paraId="2E663D9C">
      <w:pPr>
        <w:keepNext/>
        <w:spacing w:before="80" w:after="160"/>
        <w:jc w:val="center"/>
      </w:pPr>
      <w:r>
        <w:t xml:space="preserve">Table II: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22D66C74">
      <w:pPr>
        <w:keepNext/>
        <w:spacing w:before="280" w:after="120"/>
      </w:pPr>
      <w:r>
        <w:rPr>
          <w:rFonts w:ascii="Times New Roman" w:hAnsi="Times New Roman"/>
          <w:b/>
          <w:color w:val="003366"/>
          <w:sz w:val="26"/>
        </w:rPr>
        <w:t>4. Experimental Setup</w:t>
      </w:r>
    </w:p>
    <w:p w14:paraId="558E0DC4">
      <w:pPr>
        <w:keepNext/>
        <w:spacing w:before="200" w:after="80"/>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pPr>
      <w:r>
        <w:rPr>
          <w:rFonts w:ascii="Times New Roman" w:hAnsi="Times New Roman"/>
          <w:b/>
          <w:color w:val="333333"/>
          <w:sz w:val="23"/>
        </w:rPr>
        <w:t>4.3 Evaluation Metrics</w:t>
      </w:r>
    </w:p>
    <w:p w14:paraId="6B1C18D9">
      <w:pPr>
        <w:spacing w:before="40" w:after="80" w:line="276" w:lineRule="auto"/>
      </w:pPr>
      <w:r>
        <w:rPr>
          <w:rFonts w:ascii="Times New Roman" w:hAnsi="Times New Roman"/>
          <w:sz w:val="20"/>
        </w:rPr>
        <w:t>The computed quantitative metrics are defined as follows:</w:t>
      </w:r>
    </w:p>
    <w:p w14:paraId="71941F13">
      <w:pPr>
        <w:spacing w:before="20" w:after="40"/>
        <w:ind w:left="360"/>
      </w:pPr>
      <ns3:oMath>
        <ns3:sSub>
          <ns3:sSubPr/>
          <ns3:e>
            <ns3:acc>
              <ns3:accPr/>
              <ns3:e>
                <ns3:r>
                  <ns3:rPr/>
                  <w:rPr>
                    <w:rFonts w:ascii="Cambria Math" w:hAnsi="Cambria Math"/>
                  </w:rPr>
                  <ns3:t>C</ns3:t>
                </ns3:r>
              </ns3:e>
            </ns3:acc>
          </ns3:e>
          <ns3:sub>
            <ns3:r>
              <ns3:rPr/>
              <w:rPr>
                <w:rFonts w:ascii="Cambria Math" w:hAnsi="Cambria Math"/>
              </w:rPr>
              <ns3:t>i</ns3:t>
            </ns3:r>
          </ns3:sub>
        </ns3:sSub>
      </ns3:oMath>
      <ns3:oMath>
        <ns3:sSub>
          <ns3:sSubPr/>
          <ns3:e>
            <ns3:r>
              <ns3:rPr/>
              <w:rPr>
                <w:rFonts w:ascii="Cambria Math" w:hAnsi="Cambria Math"/>
              </w:rPr>
              <ns3:t>C</ns3:t>
            </ns3:r>
          </ns3:e>
          <ns3:sub>
            <ns3:r>
              <ns3:rPr/>
              <w:rPr>
                <w:rFonts w:ascii="Cambria Math" w:hAnsi="Cambria Math"/>
              </w:rPr>
              <ns3:t>i</ns3:t>
            </ns3:r>
          </ns3:sub>
        </ns3:sSub>
      </ns3:oMath>
      <w:r>
        <w:t xml:space="preserve">1. Category Classification Accuracy (1): The proportion of specimens where the predicted document category (y_hat) matches the ground truth category (y):
   Acc_cat = (1 / N) * sum_{i=1}^N I(y_hat_i = y_i)   (1)</w:t>
      </w:r>
    </w:p>
    <w:p w14:paraId="0B6F120C">
      <w:pPr>
        <w:spacing w:before="40" w:after="80" w:line="276" w:lineRule="auto"/>
      </w:pPr>
      <w:r>
        <w:rPr>
          <w:rFonts w:ascii="Times New Roman" w:hAnsi="Times New Roman"/>
          <w:sz w:val="20"/>
        </w:rPr>
        <w:t xml:space="preserve">where </w:t>
      </w:r>
      <ns3:oMath>
        <ns3:r>
          <ns3:rPr/>
          <w:rPr>
            <w:rFonts w:ascii="Cambria Math" w:hAnsi="Cambria Math"/>
          </w:rPr>
          <ns3:t>N=360</ns3:t>
        </ns3:r>
      </ns3:oMath>
      <w:r>
        <w:rPr>
          <w:rFonts w:ascii="Times New Roman" w:hAnsi="Times New Roman"/>
          <w:sz w:val="20"/>
        </w:rPr>
        <w:t xml:space="preserve"> total evaluated specimens.</w:t>
      </w:r>
    </w:p>
    <w:p w14:paraId="3A5AC0ED">
      <w:pPr>
        <w:spacing w:before="20" w:after="40"/>
        <w:ind w:left="360"/>
      </w:pPr>
      <ns3:oMath>
        <ns3:r>
          <ns3:rPr/>
          <w:rPr>
            <w:rFonts w:ascii="Cambria Math" w:hAnsi="Cambria Math"/>
          </w:rPr>
          <ns3:t>P</ns3:t>
        </ns3:r>
      </ns3:oMath>
      <ns3:oMath>
        <ns3:r>
          <ns3:rPr/>
          <w:rPr>
            <w:rFonts w:ascii="Cambria Math" w:hAnsi="Cambria Math"/>
          </w:rPr>
          <ns3:t>R</ns3:t>
        </ns3:r>
      </ns3:oMath>
      <ns3:oMath>
        <ns3:sSub>
          <ns3:sSubPr/>
          <ns3:e>
            <ns3:r>
              <ns3:rPr/>
              <w:rPr>
                <w:rFonts w:ascii="Cambria Math" w:hAnsi="Cambria Math"/>
              </w:rPr>
              <ns3:t>F</ns3:t>
            </ns3:r>
          </ns3:e>
          <ns3:sub>
            <ns3:r>
              <ns3:rPr/>
              <w:rPr>
                <w:rFonts w:ascii="Cambria Math" w:hAnsi="Cambria Math"/>
              </w:rPr>
              <ns3:t>1</ns3:t>
            </ns3:r>
          </ns3:sub>
        </ns3:sSub>
      </ns3:oMath>
      <w:r>
        <w:t xml:space="preserve">2. Field Extraction Precision, Recall, and F1 Score (2): Macro-averaged key-value field extraction metrics across all extracted target entities:
   Precision = TP / (TP + FP), Recall = TP / (TP + FN), F1 = (2 * Precision * Recall) / (Precision + Recall)   (2)</w:t>
      </w:r>
    </w:p>
    <w:p w14:paraId="3096A6D7">
      <w:pPr>
        <w:spacing w:before="20" w:after="40"/>
        <w:ind w:left="360"/>
      </w:pPr>
      <ns3:oMath>
        <ns3:sSub>
          <ns3:sSubPr/>
          <ns3:e>
            <ns3:r>
              <ns3:rPr/>
              <w:rPr>
                <w:rFonts w:ascii="Cambria Math" w:hAnsi="Cambria Math"/>
              </w:rPr>
              <ns3:t>L</ns3:t>
            </ns3:r>
          </ns3:e>
          <ns3:sub>
            <ns3:r>
              <ns3:rPr/>
              <w:rPr>
                <w:rFonts w:ascii="Times New Roman" w:hAnsi="Times New Roman"/>
              </w:rPr>
              <ns3:t>GT</ns3:t>
            </ns3:r>
          </ns3:sub>
        </ns3:sSub>
      </ns3:oMath>
      <w:r>
        <w:t xml:space="preserve">3. Character Error Rate (CER) (3): Levenshtein character edit distance [21] between canonically normalized predicted field strings and expected ground truth field strings, normalized by total ground truth character length (L_char):
   CER = D_char(s_hat, s) / |s|   (3)</w:t>
      </w:r>
    </w:p>
    <w:p w14:paraId="28D3FA95">
      <w:pPr>
        <w:spacing w:before="20" w:after="40"/>
        <w:ind w:left="360"/>
      </w:pPr>
      <ns3:oMath>
        <ns3:sSub>
          <ns3:sSubPr/>
          <ns3:e>
            <ns3:r>
              <ns3:rPr/>
              <w:rPr>
                <w:rFonts w:ascii="Cambria Math" w:hAnsi="Cambria Math"/>
              </w:rPr>
              <ns3:t>W</ns3:t>
            </ns3:r>
          </ns3:e>
          <ns3:sub>
            <ns3:r>
              <ns3:rPr/>
              <w:rPr>
                <w:rFonts w:ascii="Times New Roman" w:hAnsi="Times New Roman"/>
              </w:rPr>
              <ns3:t>GT</ns3:t>
            </ns3:r>
          </ns3:sub>
        </ns3:sSub>
      </ns3:oMath>
      <w:r>
        <w:t xml:space="preserve">4. Word Error Rate (WER) (4): Tokenized word-level edit distance [20] between predicted field strings and ground truth field strings, normalized by total ground truth word count (L_word):
   WER = D_word(w_hat, w) / |w|   (4)</w:t>
      </w:r>
    </w:p>
    <w:p w14:paraId="22B41161">
      <w:pPr>
        <w:spacing w:before="20" w:after="40"/>
        <w:ind w:left="360"/>
      </w:pPr>
      <w:r>
        <w:t xml:space="preserve">5. Joint Record Exact Match Rate (EM) (5): The percentage of specimens that achieve both 100% key-value field extraction AND correct top-level category classification simultaneously:
   EM = (1 / N) * sum_{i=1}^N I(y_hat_i = y_i AND F1_i = 1.0)   (5)</w:t>
      </w:r>
    </w:p>
    <w:p w14:paraId="4D33CC89">
      <w:pPr>
        <w:spacing w:before="20" w:after="40"/>
        <w:ind w:left="360"/>
      </w:pPr>
      <ns3:oMath>
        <ns3:r>
          <ns3:rPr/>
          <w:rPr>
            <w:rFonts w:ascii="Times New Roman" w:hAnsi="Times New Roman"/>
          </w:rPr>
          <ns3:t>ms/sample</ns3:t>
        </ns3:r>
      </ns3:oMath>
      <ns3:oMath>
        <ns3:r>
          <ns3:rPr/>
          <w:rPr>
            <w:rFonts w:ascii="Times New Roman" w:hAnsi="Times New Roman"/>
          </w:rPr>
          <ns3:t>samples/sec</ns3:t>
        </ns3:r>
      </ns3:oMath>
      <w:r>
        <w:t xml:space="preserve">6. Latency &amp; Throughput (6): Execution latency per specimen (L_proc) and framework processing throughput (TH):
   L_proc = T_total / N, TH = N / T_total   (6)</w:t>
      </w:r>
    </w:p>
    <w:p w14:paraId="08A8335A">
      <w:pPr>
        <w:keepNext/>
        <w:spacing w:before="280" w:after="120"/>
      </w:pPr>
      <w:r>
        <w:rPr>
          <w:rFonts w:ascii="Times New Roman" w:hAnsi="Times New Roman"/>
          <w:b/>
          <w:color w:val="003366"/>
          <w:sz w:val="26"/>
        </w:rPr>
        <w:t>5. Results &amp; Empirical Validation</w:t>
      </w:r>
    </w:p>
    <w:p w14:paraId="55088229">
      <w:pPr>
        <w:keepNext/>
        <w:spacing w:before="200" w:after="80"/>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pPr>
      <w:r>
        <w:rPr>
          <w:rFonts w:ascii="Times New Roman" w:hAnsi="Times New Roman"/>
          <w:b/>
          <w:color w:val="333333"/>
          <w:sz w:val="23"/>
        </w:rPr>
        <w:t>5.2 Framework Execution &amp; System Verification Metrics</w:t>
      </w:r>
    </w:p>
    <w:p w14:paraId="665D21BC">
      <w:pPr>
        <w:spacing w:before="40" w:after="80" w:line="276" w:lineRule="auto"/>
      </w:pPr>
      <w:r>
        <w:t xml:space="preserve">Table III summarizes the framework system verification metrics evaluated across the 360 benchmark specimens (AU_DIC_Benchmark_v1.0).</w:t>
      </w:r>
    </w:p>
    <w:p w14:paraId="71A92F66">
      <w:pPr>
        <w:keepNext/>
        <w:spacing w:before="80" w:after="160"/>
        <w:jc w:val="center"/>
      </w:pPr>
      <w:r>
        <w:t xml:space="preserve">Table III: Framework Verification Metrics (Dry-Run Infrastructure Validation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t xml:space="preserve">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t xml:space="preserve">Samples</w:t>
            </w:r>
          </w:p>
        </w:tc>
        <w:tc>
          <w:tcPr>
            <w:tcW w:w="1170" w:type="dxa"/>
            <w:shd w:val="clear" w:color="auto" w:fill="003366"/>
            <w:tcMar>
              <w:top w:w="100" w:type="dxa"/>
              <w:left w:w="130" w:type="dxa"/>
              <w:bottom w:w="100" w:type="dxa"/>
              <w:right w:w="130" w:type="dxa"/>
            </w:tcMar>
          </w:tcPr>
          <w:p w14:paraId="1D758CA0">
            <w:pPr>
              <w:spacing w:before="40" w:after="40"/>
              <w:jc w:val="center"/>
            </w:pPr>
            <w:r>
              <w:t xml:space="preserve">Framework Acc (Dry-Run)*</w:t>
            </w:r>
          </w:p>
        </w:tc>
        <w:tc>
          <w:tcPr>
            <w:tcW w:w="1170" w:type="dxa"/>
            <w:shd w:val="clear" w:color="auto" w:fill="003366"/>
            <w:tcMar>
              <w:top w:w="100" w:type="dxa"/>
              <w:left w:w="130" w:type="dxa"/>
              <w:bottom w:w="100" w:type="dxa"/>
              <w:right w:w="130" w:type="dxa"/>
            </w:tcMar>
          </w:tcPr>
          <w:p w14:paraId="6DD2ED62">
            <w:pPr>
              <w:spacing w:before="40" w:after="40"/>
              <w:jc w:val="center"/>
            </w:pPr>
            <w:r>
              <w:t xml:space="preserve">Precision*</w:t>
            </w:r>
          </w:p>
        </w:tc>
        <w:tc>
          <w:tcPr>
            <w:tcW w:w="1170" w:type="dxa"/>
            <w:shd w:val="clear" w:color="auto" w:fill="003366"/>
            <w:tcMar>
              <w:top w:w="100" w:type="dxa"/>
              <w:left w:w="130" w:type="dxa"/>
              <w:bottom w:w="100" w:type="dxa"/>
              <w:right w:w="130" w:type="dxa"/>
            </w:tcMar>
          </w:tcPr>
          <w:p w14:paraId="148D6DDA">
            <w:pPr>
              <w:spacing w:before="40" w:after="40"/>
              <w:jc w:val="center"/>
            </w:pPr>
            <w:r>
              <w:t xml:space="preserve">Recall*</w:t>
            </w:r>
          </w:p>
        </w:tc>
        <w:tc>
          <w:tcPr>
            <w:tcW w:w="1170" w:type="dxa"/>
            <w:shd w:val="clear" w:color="auto" w:fill="003366"/>
            <w:tcMar>
              <w:top w:w="100" w:type="dxa"/>
              <w:left w:w="130" w:type="dxa"/>
              <w:bottom w:w="100" w:type="dxa"/>
              <w:right w:w="130" w:type="dxa"/>
            </w:tcMar>
          </w:tcPr>
          <w:p w14:paraId="6E0B802A">
            <w:pPr>
              <w:spacing w:before="40" w:after="40"/>
              <w:jc w:val="center"/>
            </w:pPr>
            <w:r>
              <w:t xml:space="preserve">F1 Score*</w:t>
            </w:r>
          </w:p>
        </w:tc>
        <w:tc>
          <w:tcPr>
            <w:tcW w:w="1170" w:type="dxa"/>
            <w:shd w:val="clear" w:color="auto" w:fill="003366"/>
            <w:tcMar>
              <w:top w:w="100" w:type="dxa"/>
              <w:left w:w="130" w:type="dxa"/>
              <w:bottom w:w="100" w:type="dxa"/>
              <w:right w:w="130" w:type="dxa"/>
            </w:tcMar>
          </w:tcPr>
          <w:p w14:paraId="780474C8">
            <w:pPr>
              <w:spacing w:before="40" w:after="40"/>
              <w:jc w:val="center"/>
            </w:pPr>
            <w:r>
              <w:t xml:space="preserve">Mean CER*</w:t>
            </w:r>
          </w:p>
        </w:tc>
        <w:tc>
          <w:tcPr>
            <w:tcW w:w="1170" w:type="dxa"/>
            <w:shd w:val="clear" w:color="auto" w:fill="003366"/>
            <w:tcMar>
              <w:top w:w="100" w:type="dxa"/>
              <w:left w:w="130" w:type="dxa"/>
              <w:bottom w:w="100" w:type="dxa"/>
              <w:right w:w="130" w:type="dxa"/>
            </w:tcMar>
          </w:tcPr>
          <w:p w14:paraId="1A773B1A">
            <w:pPr>
              <w:spacing w:before="40" w:after="40"/>
              <w:jc w:val="center"/>
            </w:pPr>
            <w:r>
              <w:t xml:space="preserve">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t xml:space="preserve">5.4.1 End-to-End Evaluation Pipeline (Option A)</w:t>
      </w:r>
    </w:p>
    <w:p w14:paraId="7661D404">
      <w:pPr>
        <w:spacing w:before="40" w:after="80" w:line="276" w:lineRule="auto"/>
      </w:pPr>
      <w:r>
        <w:t xml:space="preserve">The evaluation pipeline operates under Option A (End-to-End Neural Document Intelligence Evaluation):</w:t>
      </w:r>
    </w:p>
    <w:p w14:paraId="7B658E96">
      <w:pPr>
        <w:spacing w:before="160" w:after="80" w:line="240" w:lineRule="atLeast"/>
        <w:jc w:val="center"/>
      </w:pPr>
      <w:r>
        <w: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r:embed="rId9"/>
                    <ns5:stretch>
                      <ns5:fillRect/>
                    </ns5:stretch>
                  </ns6:blipFill>
                  <ns6:spPr>
                    <ns5:xfrm>
                      <ns5:off x="0" y="0"/>
                      <ns5:ext cx="5943600" cy="2806700"/>
                    </ns5:xfrm>
                    <ns5:prstGeom prst="rect">
                      <ns5:avLst/>
                    </ns5:prstGeom>
                  </ns6:spPr>
                </ns6:pic>
              </ns5:graphicData>
            </ns5:graphic>
          </ns4:inline>
        </w:drawing>
      </w:r>
    </w:p>
    <w:p w14:paraId="62752EBD">
      <w:pPr>
        <w:spacing w:after="160"/>
        <w:jc w:val="center"/>
      </w:pPr>
      <w:r>
        <w:t xml:space="preserve">Fig. 3. Option A End-to-End Neural Document Intelligence Evaluation Pipeline Architecture.</w:t>
      </w:r>
    </w:p>
    <w:p w14:paraId="109F1399">
      <w:pPr>
        <w:spacing w:before="40" w:after="80" w:line="276" w:lineRule="auto"/>
      </w:pPr>
      <w:r>
        <w:t xml:space="preserve">Fig. 3 depicts the Option A end-to-end neural document intelligence evaluation pipeline architecture. Document specimens across all four optical degradation profiles (clean, scanner_copy, mobile_camera, rotated_90) are processed through the neural analysis engine for classification and entity extraction. While category classification achieved 100.00% accuracy across all profiles, field-level extraction performance (17.19% F1, 82.76% CER, 89.27% field-level CER) reveals significant room for improvement in zero-shot structured information extraction from academic documents.</w:t>
      </w:r>
    </w:p>
    <w:p w14:paraId="21FBA05F">
      <w:pPr>
        <w:spacing w:before="40" w:after="80" w:line="276" w:lineRule="auto"/>
      </w:pPr>
      <w:r>
        <w:t xml:space="preserve">Table IV details live model extraction and document category classification performance evaluated on Groq Cloud Llama 3.1 8B Instant.</w:t>
      </w:r>
    </w:p>
    <w:p w14:paraId="29D205C5">
      <w:pPr>
        <w:keepNext/>
        <w:spacing w:before="80" w:after="160"/>
        <w:jc w:val="center"/>
      </w:pPr>
      <w:r>
        <w:t xml:space="preserve">Table IV: Live Model Extraction &amp; Classification Performance (Groq Llama 3.1 8B Instant Baseline)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t xml:space="preserve">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t xml:space="preserve">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t xml:space="preserve">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t xml:space="preserve">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t xml:space="preserve">Field Recall</w:t>
            </w:r>
          </w:p>
        </w:tc>
        <w:tc>
          <w:tcPr>
            <w:tcW w:w="1040" w:type="dxa"/>
            <w:shd w:val="clear" w:color="auto" w:fill="003366"/>
            <w:tcMar>
              <w:top w:w="100" w:type="dxa"/>
              <w:left w:w="130" w:type="dxa"/>
              <w:bottom w:w="100" w:type="dxa"/>
              <w:right w:w="130" w:type="dxa"/>
            </w:tcMar>
          </w:tcPr>
          <w:p w14:paraId="55DB299B">
            <w:pPr>
              <w:spacing w:before="40" w:after="40"/>
              <w:jc w:val="center"/>
            </w:pPr>
            <w:r>
              <w:t xml:space="preserve">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t xml:space="preserve">Mean CER</w:t>
            </w:r>
          </w:p>
        </w:tc>
        <w:tc>
          <w:tcPr>
            <w:tcW w:w="1040" w:type="dxa"/>
            <w:shd w:val="clear" w:color="auto" w:fill="003366"/>
            <w:tcMar>
              <w:top w:w="100" w:type="dxa"/>
              <w:left w:w="130" w:type="dxa"/>
              <w:bottom w:w="100" w:type="dxa"/>
              <w:right w:w="130" w:type="dxa"/>
            </w:tcMar>
          </w:tcPr>
          <w:p w14:paraId="293CE496">
            <w:pPr>
              <w:spacing w:before="40" w:after="40"/>
              <w:jc w:val="center"/>
            </w:pPr>
            <w:r>
              <w:t xml:space="preserve">Mean WER</w:t>
            </w:r>
          </w:p>
        </w:tc>
        <w:tc>
          <w:tcPr>
            <w:tcW w:w="1040" w:type="dxa"/>
            <w:shd w:val="clear" w:color="auto" w:fill="003366"/>
            <w:tcMar>
              <w:top w:w="100" w:type="dxa"/>
              <w:left w:w="130" w:type="dxa"/>
              <w:bottom w:w="100" w:type="dxa"/>
              <w:right w:w="130" w:type="dxa"/>
            </w:tcMar>
          </w:tcPr>
          <w:p w14:paraId="10FE9E63">
            <w:pPr>
              <w:spacing w:before="40" w:after="40"/>
              <w:jc w:val="center"/>
            </w:pPr>
            <w:r>
              <w:t xml:space="preserve">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t xml:space="preserve">clean</w:t>
            </w:r>
          </w:p>
        </w:tc>
        <w:tc>
          <w:tcPr>
            <w:tcW w:w="1040" w:type="dxa"/>
            <w:shd w:val="clear" w:color="auto" w:fill="FFFFFF"/>
            <w:tcMar>
              <w:top w:w="100" w:type="dxa"/>
              <w:left w:w="130" w:type="dxa"/>
              <w:bottom w:w="100" w:type="dxa"/>
              <w:right w:w="130" w:type="dxa"/>
            </w:tcMar>
          </w:tcPr>
          <w:p w14:paraId="263E7BEB">
            <w:pPr>
              <w:spacing w:before="40" w:after="40"/>
              <w:jc w:val="center"/>
            </w:pPr>
            <w:r>
              <w:t xml:space="preserve">90</w:t>
            </w:r>
          </w:p>
        </w:tc>
        <w:tc>
          <w:tcPr>
            <w:tcW w:w="1040" w:type="dxa"/>
            <w:shd w:val="clear" w:color="auto" w:fill="FFFFFF"/>
            <w:tcMar>
              <w:top w:w="100" w:type="dxa"/>
              <w:left w:w="130" w:type="dxa"/>
              <w:bottom w:w="100" w:type="dxa"/>
              <w:right w:w="130" w:type="dxa"/>
            </w:tcMar>
          </w:tcPr>
          <w:p w14:paraId="6B1D8298">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66FFFC07">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7B61E416">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06CA889">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3FED810">
            <w:pPr>
              <w:spacing w:before="40" w:after="40"/>
              <w:jc w:val="center"/>
            </w:pPr>
            <w:r>
              <w:t xml:space="preserve">81.88%</w:t>
            </w:r>
          </w:p>
        </w:tc>
        <w:tc>
          <w:tcPr>
            <w:tcW w:w="1040" w:type="dxa"/>
            <w:shd w:val="clear" w:color="auto" w:fill="FFFFFF"/>
            <w:tcMar>
              <w:top w:w="100" w:type="dxa"/>
              <w:left w:w="130" w:type="dxa"/>
              <w:bottom w:w="100" w:type="dxa"/>
              <w:right w:w="130" w:type="dxa"/>
            </w:tcMar>
          </w:tcPr>
          <w:p w14:paraId="441A060A">
            <w:pPr>
              <w:spacing w:before="40" w:after="40"/>
              <w:jc w:val="center"/>
            </w:pPr>
            <w:r>
              <w:t xml:space="preserve">82.80%</w:t>
            </w:r>
          </w:p>
        </w:tc>
        <w:tc>
          <w:tcPr>
            <w:tcW w:w="1040" w:type="dxa"/>
            <w:shd w:val="clear" w:color="auto" w:fill="FFFFFF"/>
            <w:tcMar>
              <w:top w:w="100" w:type="dxa"/>
              <w:left w:w="130" w:type="dxa"/>
              <w:bottom w:w="100" w:type="dxa"/>
              <w:right w:w="130" w:type="dxa"/>
            </w:tcMar>
          </w:tcPr>
          <w:p w14:paraId="43F52F76">
            <w:pPr>
              <w:spacing w:before="40" w:after="40"/>
              <w:jc w:val="center"/>
            </w:pPr>
            <w:r>
              <w:t xml:space="preserve">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t xml:space="preserve">scanner_copy</w:t>
            </w:r>
          </w:p>
        </w:tc>
        <w:tc>
          <w:tcPr>
            <w:tcW w:w="1040" w:type="dxa"/>
            <w:shd w:val="clear" w:color="auto" w:fill="F8F9FA"/>
            <w:tcMar>
              <w:top w:w="100" w:type="dxa"/>
              <w:left w:w="130" w:type="dxa"/>
              <w:bottom w:w="100" w:type="dxa"/>
              <w:right w:w="130" w:type="dxa"/>
            </w:tcMar>
          </w:tcPr>
          <w:p w14:paraId="60DD4469">
            <w:pPr>
              <w:spacing w:before="40" w:after="40"/>
              <w:jc w:val="center"/>
            </w:pPr>
            <w:r>
              <w:t xml:space="preserve">90</w:t>
            </w:r>
          </w:p>
        </w:tc>
        <w:tc>
          <w:tcPr>
            <w:tcW w:w="1040" w:type="dxa"/>
            <w:shd w:val="clear" w:color="auto" w:fill="F8F9FA"/>
            <w:tcMar>
              <w:top w:w="100" w:type="dxa"/>
              <w:left w:w="130" w:type="dxa"/>
              <w:bottom w:w="100" w:type="dxa"/>
              <w:right w:w="130" w:type="dxa"/>
            </w:tcMar>
          </w:tcPr>
          <w:p w14:paraId="0DE6AB5F">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EB505E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460F6E5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67E47077">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02D05BF8">
            <w:pPr>
              <w:spacing w:before="40" w:after="40"/>
              <w:jc w:val="center"/>
            </w:pPr>
            <w:r>
              <w:t xml:space="preserve">83.04%</w:t>
            </w:r>
          </w:p>
        </w:tc>
        <w:tc>
          <w:tcPr>
            <w:tcW w:w="1040" w:type="dxa"/>
            <w:shd w:val="clear" w:color="auto" w:fill="F8F9FA"/>
            <w:tcMar>
              <w:top w:w="100" w:type="dxa"/>
              <w:left w:w="130" w:type="dxa"/>
              <w:bottom w:w="100" w:type="dxa"/>
              <w:right w:w="130" w:type="dxa"/>
            </w:tcMar>
          </w:tcPr>
          <w:p w14:paraId="7E58A7E2">
            <w:pPr>
              <w:spacing w:before="40" w:after="40"/>
              <w:jc w:val="center"/>
            </w:pPr>
            <w:r>
              <w:t xml:space="preserve">84.56%</w:t>
            </w:r>
          </w:p>
        </w:tc>
        <w:tc>
          <w:tcPr>
            <w:tcW w:w="1040" w:type="dxa"/>
            <w:shd w:val="clear" w:color="auto" w:fill="F8F9FA"/>
            <w:tcMar>
              <w:top w:w="100" w:type="dxa"/>
              <w:left w:w="130" w:type="dxa"/>
              <w:bottom w:w="100" w:type="dxa"/>
              <w:right w:w="130" w:type="dxa"/>
            </w:tcMar>
          </w:tcPr>
          <w:p w14:paraId="5AB6AC97">
            <w:pPr>
              <w:spacing w:before="40" w:after="40"/>
              <w:jc w:val="center"/>
            </w:pPr>
            <w:r>
              <w:t xml:space="preserve">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t xml:space="preserve">mobile_camera</w:t>
            </w:r>
          </w:p>
        </w:tc>
        <w:tc>
          <w:tcPr>
            <w:tcW w:w="1040" w:type="dxa"/>
            <w:shd w:val="clear" w:color="auto" w:fill="FFFFFF"/>
            <w:tcMar>
              <w:top w:w="100" w:type="dxa"/>
              <w:left w:w="130" w:type="dxa"/>
              <w:bottom w:w="100" w:type="dxa"/>
              <w:right w:w="130" w:type="dxa"/>
            </w:tcMar>
          </w:tcPr>
          <w:p w14:paraId="498F1A7B">
            <w:pPr>
              <w:spacing w:before="40" w:after="40"/>
              <w:jc w:val="center"/>
            </w:pPr>
            <w:r>
              <w:t xml:space="preserve">90</w:t>
            </w:r>
          </w:p>
        </w:tc>
        <w:tc>
          <w:tcPr>
            <w:tcW w:w="1040" w:type="dxa"/>
            <w:shd w:val="clear" w:color="auto" w:fill="FFFFFF"/>
            <w:tcMar>
              <w:top w:w="100" w:type="dxa"/>
              <w:left w:w="130" w:type="dxa"/>
              <w:bottom w:w="100" w:type="dxa"/>
              <w:right w:w="130" w:type="dxa"/>
            </w:tcMar>
          </w:tcPr>
          <w:p w14:paraId="7E8E1A33">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7A54031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56AF2EC">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247317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73E69993">
            <w:pPr>
              <w:spacing w:before="40" w:after="40"/>
              <w:jc w:val="center"/>
            </w:pPr>
            <w:r>
              <w:t xml:space="preserve">83.51%</w:t>
            </w:r>
          </w:p>
        </w:tc>
        <w:tc>
          <w:tcPr>
            <w:tcW w:w="1040" w:type="dxa"/>
            <w:shd w:val="clear" w:color="auto" w:fill="FFFFFF"/>
            <w:tcMar>
              <w:top w:w="100" w:type="dxa"/>
              <w:left w:w="130" w:type="dxa"/>
              <w:bottom w:w="100" w:type="dxa"/>
              <w:right w:w="130" w:type="dxa"/>
            </w:tcMar>
          </w:tcPr>
          <w:p w14:paraId="2C756EE3">
            <w:pPr>
              <w:spacing w:before="40" w:after="40"/>
              <w:jc w:val="center"/>
            </w:pPr>
            <w:r>
              <w:t xml:space="preserve">85.16%</w:t>
            </w:r>
          </w:p>
        </w:tc>
        <w:tc>
          <w:tcPr>
            <w:tcW w:w="1040" w:type="dxa"/>
            <w:shd w:val="clear" w:color="auto" w:fill="FFFFFF"/>
            <w:tcMar>
              <w:top w:w="100" w:type="dxa"/>
              <w:left w:w="130" w:type="dxa"/>
              <w:bottom w:w="100" w:type="dxa"/>
              <w:right w:w="130" w:type="dxa"/>
            </w:tcMar>
          </w:tcPr>
          <w:p w14:paraId="2E0B3D0C">
            <w:pPr>
              <w:spacing w:before="40" w:after="40"/>
              <w:jc w:val="center"/>
            </w:pPr>
            <w:r>
              <w:t xml:space="preserve">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t xml:space="preserve">rotated_90</w:t>
            </w:r>
          </w:p>
        </w:tc>
        <w:tc>
          <w:tcPr>
            <w:tcW w:w="1040" w:type="dxa"/>
            <w:shd w:val="clear" w:color="auto" w:fill="F8F9FA"/>
            <w:tcMar>
              <w:top w:w="100" w:type="dxa"/>
              <w:left w:w="130" w:type="dxa"/>
              <w:bottom w:w="100" w:type="dxa"/>
              <w:right w:w="130" w:type="dxa"/>
            </w:tcMar>
          </w:tcPr>
          <w:p w14:paraId="0188613B">
            <w:pPr>
              <w:spacing w:before="40" w:after="40"/>
              <w:jc w:val="center"/>
            </w:pPr>
            <w:r>
              <w:t xml:space="preserve">90</w:t>
            </w:r>
          </w:p>
        </w:tc>
        <w:tc>
          <w:tcPr>
            <w:tcW w:w="1040" w:type="dxa"/>
            <w:shd w:val="clear" w:color="auto" w:fill="F8F9FA"/>
            <w:tcMar>
              <w:top w:w="100" w:type="dxa"/>
              <w:left w:w="130" w:type="dxa"/>
              <w:bottom w:w="100" w:type="dxa"/>
              <w:right w:w="130" w:type="dxa"/>
            </w:tcMar>
          </w:tcPr>
          <w:p w14:paraId="7FC658CC">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DBCE0CA">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0EC2343">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15B74AC2">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75804FB">
            <w:pPr>
              <w:spacing w:before="40" w:after="40"/>
              <w:jc w:val="center"/>
            </w:pPr>
            <w:r>
              <w:t xml:space="preserve">82.60%</w:t>
            </w:r>
          </w:p>
        </w:tc>
        <w:tc>
          <w:tcPr>
            <w:tcW w:w="1040" w:type="dxa"/>
            <w:shd w:val="clear" w:color="auto" w:fill="F8F9FA"/>
            <w:tcMar>
              <w:top w:w="100" w:type="dxa"/>
              <w:left w:w="130" w:type="dxa"/>
              <w:bottom w:w="100" w:type="dxa"/>
              <w:right w:w="130" w:type="dxa"/>
            </w:tcMar>
          </w:tcPr>
          <w:p w14:paraId="6EE89C6A">
            <w:pPr>
              <w:spacing w:before="40" w:after="40"/>
              <w:jc w:val="center"/>
            </w:pPr>
            <w:r>
              <w:t xml:space="preserve">83.97%</w:t>
            </w:r>
          </w:p>
        </w:tc>
        <w:tc>
          <w:tcPr>
            <w:tcW w:w="1040" w:type="dxa"/>
            <w:shd w:val="clear" w:color="auto" w:fill="F8F9FA"/>
            <w:tcMar>
              <w:top w:w="100" w:type="dxa"/>
              <w:left w:w="130" w:type="dxa"/>
              <w:bottom w:w="100" w:type="dxa"/>
              <w:right w:w="130" w:type="dxa"/>
            </w:tcMar>
          </w:tcPr>
          <w:p w14:paraId="06BBBD7B">
            <w:pPr>
              <w:spacing w:before="40" w:after="40"/>
              <w:jc w:val="center"/>
            </w:pPr>
            <w:r>
              <w:t xml:space="preserve">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t xml:space="preserve">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t xml:space="preserve">360</w:t>
            </w:r>
          </w:p>
        </w:tc>
        <w:tc>
          <w:tcPr>
            <w:tcW w:w="1040" w:type="dxa"/>
            <w:shd w:val="clear" w:color="auto" w:fill="FFFFFF"/>
            <w:tcMar>
              <w:top w:w="100" w:type="dxa"/>
              <w:left w:w="130" w:type="dxa"/>
              <w:bottom w:w="100" w:type="dxa"/>
              <w:right w:w="130" w:type="dxa"/>
            </w:tcMar>
          </w:tcPr>
          <w:p w14:paraId="1093241F">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57DA7CB4">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DD33A98">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FCD7092">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4F8CBF4C">
            <w:pPr>
              <w:spacing w:before="40" w:after="40"/>
              <w:jc w:val="center"/>
            </w:pPr>
            <w:r>
              <w:t xml:space="preserve">82.76%</w:t>
            </w:r>
          </w:p>
        </w:tc>
        <w:tc>
          <w:tcPr>
            <w:tcW w:w="1040" w:type="dxa"/>
            <w:shd w:val="clear" w:color="auto" w:fill="FFFFFF"/>
            <w:tcMar>
              <w:top w:w="100" w:type="dxa"/>
              <w:left w:w="130" w:type="dxa"/>
              <w:bottom w:w="100" w:type="dxa"/>
              <w:right w:w="130" w:type="dxa"/>
            </w:tcMar>
          </w:tcPr>
          <w:p w14:paraId="1C1501CF">
            <w:pPr>
              <w:spacing w:before="40" w:after="40"/>
              <w:jc w:val="center"/>
            </w:pPr>
            <w:r>
              <w:t xml:space="preserve">84.12%</w:t>
            </w:r>
          </w:p>
        </w:tc>
        <w:tc>
          <w:tcPr>
            <w:tcW w:w="1040" w:type="dxa"/>
            <w:shd w:val="clear" w:color="auto" w:fill="FFFFFF"/>
            <w:tcMar>
              <w:top w:w="100" w:type="dxa"/>
              <w:left w:w="130" w:type="dxa"/>
              <w:bottom w:w="100" w:type="dxa"/>
              <w:right w:w="130" w:type="dxa"/>
            </w:tcMar>
          </w:tcPr>
          <w:p w14:paraId="1AF8FCAB">
            <w:pPr>
              <w:spacing w:before="40" w:after="40"/>
              <w:jc w:val="center"/>
            </w:pPr>
            <w:r>
              <w:t xml:space="preserve">0.00%</w:t>
            </w:r>
          </w:p>
        </w:tc>
      </w:tr>
    </w:tbl>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pPr>
      <w:r>
        <w:t xml:space="preserve">1. Key-Value Entity Extraction Task (17.19% Field F1, 82.76% CER): Under zero-shot key-value entity field extraction, Llama 3.1 8B achieved 17.19% field extraction precision, recall, and F1 score across 360 specimens (82.76% document-level CER, 84.12% WER, 89.27% field-level CER).</w:t>
      </w:r>
    </w:p>
    <w:p w14:paraId="059DEFCF">
      <w:pPr>
        <w:spacing w:before="20" w:after="40"/>
        <w:ind w:left="360"/>
      </w:pPr>
      <w:r>
        <w:t xml:space="preserve">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pPr>
      <w:r>
        <w:rPr>
          <w:rFonts w:ascii="Times New Roman" w:hAnsi="Times New Roman"/>
          <w:b/>
          <w:color w:val="333333"/>
          <w:sz w:val="23"/>
        </w:rPr>
        <w:t>5.5 Empirical Ablation Study of Semantic Canonical Normalization</w:t>
      </w:r>
    </w:p>
    <w:p w14:paraId="492AA939">
      <w:pPr>
        <w:spacing w:before="40" w:after="80" w:line="276" w:lineRule="auto"/>
      </w:pPr>
      <w:r>
        <w:t xml:space="preserve">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t xml:space="preserve">Table V summarizes the empirical metric impact of semantic canonical normalization measured during the two-pass ablation study.</w:t>
      </w:r>
    </w:p>
    <w:p w14:paraId="17F928D7">
      <w:pPr>
        <w:keepNext/>
        <w:spacing w:before="80" w:after="160"/>
        <w:jc w:val="center"/>
      </w:pPr>
      <w:r>
        <w:t xml:space="preserve">Table V: Empirical Metric Impact of Semantic Canonical Normalization (360 Specimens / 24,480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t xml:space="preserve">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t xml:space="preserve">Field Exact Match</w:t>
            </w:r>
          </w:p>
        </w:tc>
        <w:tc>
          <w:tcPr>
            <w:tcW w:w="1560" w:type="dxa"/>
            <w:shd w:val="clear" w:color="auto" w:fill="003366"/>
            <w:tcMar>
              <w:top w:w="100" w:type="dxa"/>
              <w:left w:w="130" w:type="dxa"/>
              <w:bottom w:w="100" w:type="dxa"/>
              <w:right w:w="130" w:type="dxa"/>
            </w:tcMar>
          </w:tcPr>
          <w:p w14:paraId="09DD34EF">
            <w:pPr>
              <w:spacing w:before="40" w:after="40"/>
              <w:jc w:val="center"/>
            </w:pPr>
            <w:r>
              <w:t xml:space="preserve">Normalized Match</w:t>
            </w:r>
          </w:p>
        </w:tc>
        <w:tc>
          <w:tcPr>
            <w:tcW w:w="1560" w:type="dxa"/>
            <w:shd w:val="clear" w:color="auto" w:fill="003366"/>
            <w:tcMar>
              <w:top w:w="100" w:type="dxa"/>
              <w:left w:w="130" w:type="dxa"/>
              <w:bottom w:w="100" w:type="dxa"/>
              <w:right w:w="130" w:type="dxa"/>
            </w:tcMar>
          </w:tcPr>
          <w:p w14:paraId="0E364019">
            <w:pPr>
              <w:spacing w:before="40" w:after="40"/>
              <w:jc w:val="center"/>
            </w:pPr>
            <w:r>
              <w:t xml:space="preserve">F1 Score</w:t>
            </w:r>
          </w:p>
        </w:tc>
        <w:tc>
          <w:tcPr>
            <w:tcW w:w="1560" w:type="dxa"/>
            <w:shd w:val="clear" w:color="auto" w:fill="003366"/>
            <w:tcMar>
              <w:top w:w="100" w:type="dxa"/>
              <w:left w:w="130" w:type="dxa"/>
              <w:bottom w:w="100" w:type="dxa"/>
              <w:right w:w="130" w:type="dxa"/>
            </w:tcMar>
          </w:tcPr>
          <w:p w14:paraId="3A0CD186">
            <w:pPr>
              <w:spacing w:before="40" w:after="40"/>
              <w:jc w:val="center"/>
            </w:pPr>
            <w:r>
              <w:t xml:space="preserve">Mean CER</w:t>
            </w:r>
          </w:p>
        </w:tc>
        <w:tc>
          <w:tcPr>
            <w:tcW w:w="1560" w:type="dxa"/>
            <w:shd w:val="clear" w:color="auto" w:fill="003366"/>
            <w:tcMar>
              <w:top w:w="100" w:type="dxa"/>
              <w:left w:w="130" w:type="dxa"/>
              <w:bottom w:w="100" w:type="dxa"/>
              <w:right w:w="130" w:type="dxa"/>
            </w:tcMar>
          </w:tcPr>
          <w:p w14:paraId="07CC0946">
            <w:pPr>
              <w:spacing w:before="40" w:after="40"/>
              <w:jc w:val="center"/>
            </w:pPr>
            <w:r>
              <w:t xml:space="preserve">Rescued Fields</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t xml:space="preserve">Pass A: Raw String Matching</w:t>
            </w:r>
          </w:p>
        </w:tc>
        <w:tc>
          <w:tcPr>
            <w:tcW w:w="1560" w:type="dxa"/>
            <w:shd w:val="clear" w:color="auto" w:fill="FFFFFF"/>
            <w:tcMar>
              <w:top w:w="100" w:type="dxa"/>
              <w:left w:w="130" w:type="dxa"/>
              <w:bottom w:w="100" w:type="dxa"/>
              <w:right w:w="130" w:type="dxa"/>
            </w:tcMar>
          </w:tcPr>
          <w:p w14:paraId="747A4854">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1F1F416A">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79F7D005">
            <w:pPr>
              <w:spacing w:before="40" w:after="40"/>
              <w:jc w:val="center"/>
            </w:pPr>
            <w:r>
              <w:t xml:space="preserve">17.19%</w:t>
            </w:r>
          </w:p>
        </w:tc>
        <w:tc>
          <w:tcPr>
            <w:tcW w:w="1560" w:type="dxa"/>
            <w:shd w:val="clear" w:color="auto" w:fill="FFFFFF"/>
            <w:tcMar>
              <w:top w:w="100" w:type="dxa"/>
              <w:left w:w="130" w:type="dxa"/>
              <w:bottom w:w="100" w:type="dxa"/>
              <w:right w:w="130" w:type="dxa"/>
            </w:tcMar>
          </w:tcPr>
          <w:p w14:paraId="2A0DDE50">
            <w:pPr>
              <w:spacing w:before="40" w:after="40"/>
              <w:jc w:val="center"/>
            </w:pPr>
            <w:r>
              <w:t xml:space="preserve">89.27%</w:t>
            </w:r>
          </w:p>
        </w:tc>
        <w:tc>
          <w:tcPr>
            <w:tcW w:w="1560" w:type="dxa"/>
            <w:shd w:val="clear" w:color="auto" w:fill="FFFFFF"/>
            <w:tcMar>
              <w:top w:w="100" w:type="dxa"/>
              <w:left w:w="130" w:type="dxa"/>
              <w:bottom w:w="100" w:type="dxa"/>
              <w:right w:w="130" w:type="dxa"/>
            </w:tcMar>
          </w:tcPr>
          <w:p w14:paraId="00CAB29A">
            <w:pPr>
              <w:spacing w:before="40" w:after="40"/>
              <w:jc w:val="center"/>
            </w:pPr>
            <w:r>
              <w:t xml:space="preserve">0 (Baseline)</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t xml:space="preserve">Pass B: Semantic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t xml:space="preserve">10.16%</w:t>
            </w:r>
          </w:p>
        </w:tc>
        <w:tc>
          <w:tcPr>
            <w:tcW w:w="1560" w:type="dxa"/>
            <w:shd w:val="clear" w:color="auto" w:fill="F8F9FA"/>
            <w:tcMar>
              <w:top w:w="100" w:type="dxa"/>
              <w:left w:w="130" w:type="dxa"/>
              <w:bottom w:w="100" w:type="dxa"/>
              <w:right w:w="130" w:type="dxa"/>
            </w:tcMar>
          </w:tcPr>
          <w:p w14:paraId="4F51C18F">
            <w:pPr>
              <w:spacing w:before="40" w:after="40"/>
              <w:jc w:val="center"/>
            </w:pPr>
            <w:r>
              <w:t xml:space="preserve">10.84%</w:t>
            </w:r>
          </w:p>
        </w:tc>
        <w:tc>
          <w:tcPr>
            <w:tcW w:w="1560" w:type="dxa"/>
            <w:shd w:val="clear" w:color="auto" w:fill="F8F9FA"/>
            <w:tcMar>
              <w:top w:w="100" w:type="dxa"/>
              <w:left w:w="130" w:type="dxa"/>
              <w:bottom w:w="100" w:type="dxa"/>
              <w:right w:w="130" w:type="dxa"/>
            </w:tcMar>
          </w:tcPr>
          <w:p w14:paraId="0C52DCBC">
            <w:pPr>
              <w:spacing w:before="40" w:after="40"/>
              <w:jc w:val="center"/>
            </w:pPr>
            <w:r>
              <w:t xml:space="preserve">17.19%</w:t>
            </w:r>
          </w:p>
        </w:tc>
        <w:tc>
          <w:tcPr>
            <w:tcW w:w="1560" w:type="dxa"/>
            <w:shd w:val="clear" w:color="auto" w:fill="F8F9FA"/>
            <w:tcMar>
              <w:top w:w="100" w:type="dxa"/>
              <w:left w:w="130" w:type="dxa"/>
              <w:bottom w:w="100" w:type="dxa"/>
              <w:right w:w="130" w:type="dxa"/>
            </w:tcMar>
          </w:tcPr>
          <w:p w14:paraId="02385BA7">
            <w:pPr>
              <w:spacing w:before="40" w:after="40"/>
              <w:jc w:val="center"/>
            </w:pPr>
            <w:r>
              <w:t xml:space="preserve">89.27%</w:t>
            </w:r>
          </w:p>
        </w:tc>
        <w:tc>
          <w:tcPr>
            <w:tcW w:w="1560" w:type="dxa"/>
            <w:shd w:val="clear" w:color="auto" w:fill="F8F9FA"/>
            <w:tcMar>
              <w:top w:w="100" w:type="dxa"/>
              <w:left w:w="130" w:type="dxa"/>
              <w:bottom w:w="100" w:type="dxa"/>
              <w:right w:w="130" w:type="dxa"/>
            </w:tcMar>
          </w:tcPr>
          <w:p w14:paraId="1835AC34">
            <w:pPr>
              <w:spacing w:before="40" w:after="40"/>
              <w:jc w:val="center"/>
            </w:pPr>
            <w:r>
              <w:t xml:space="preserve">167 (0.68%)</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t xml:space="preserve">Statistical Significance</w:t>
            </w:r>
          </w:p>
        </w:tc>
        <w:tc>
          <w:tcPr>
            <w:tcW w:w="1560" w:type="dxa"/>
            <w:shd w:val="clear" w:color="auto" w:fill="FFFFFF"/>
            <w:tcMar>
              <w:top w:w="100" w:type="dxa"/>
              <w:left w:w="130" w:type="dxa"/>
              <w:bottom w:w="100" w:type="dxa"/>
              <w:right w:w="130" w:type="dxa"/>
            </w:tcMar>
          </w:tcPr>
          <w:p w14:paraId="79B68280">
            <w:pPr>
              <w:spacing w:before="40" w:after="40"/>
              <w:jc w:val="center"/>
            </w:pPr>
            <w:r>
              <w:t xml:space="preserve">McNemar chi^2 = 165.01 Non-parametric paired evaluation confirmed statistically significant CER reduction following canonical normalization (Wilcoxon signed-rank test W = 14028.0, p &lt; 0.0001).</w:t>
            </w:r>
          </w:p>
        </w:tc>
        <w:tc>
          <w:tcPr>
            <w:tcW w:w="1560" w:type="dxa"/>
            <w:shd w:val="clear" w:color="auto" w:fill="FFFFFF"/>
            <w:tcMar>
              <w:top w:w="100" w:type="dxa"/>
              <w:left w:w="130" w:type="dxa"/>
              <w:bottom w:w="100" w:type="dxa"/>
              <w:right w:w="130" w:type="dxa"/>
            </w:tcMar>
          </w:tcPr>
          <w:p w14:paraId="1C43BF7A">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40D0B3CF">
            <w:pPr>
              <w:spacing w:before="40" w:after="40"/>
              <w:jc w:val="center"/>
            </w:pPr>
            <w:r>
              <w:t xml:space="preserve">Wilcoxon W = 14028.0</w:t>
            </w:r>
          </w:p>
        </w:tc>
        <w:tc>
          <w:tcPr>
            <w:tcW w:w="1560" w:type="dxa"/>
            <w:shd w:val="clear" w:color="auto" w:fill="FFFFFF"/>
            <w:tcMar>
              <w:top w:w="100" w:type="dxa"/>
              <w:left w:w="130" w:type="dxa"/>
              <w:bottom w:w="100" w:type="dxa"/>
              <w:right w:w="130" w:type="dxa"/>
            </w:tcMar>
          </w:tcPr>
          <w:p w14:paraId="6552A3AE">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78569E93">
            <w:pPr>
              <w:spacing w:before="40" w:after="40"/>
              <w:jc w:val="center"/>
            </w:pPr>
            <w:r>
              <w:t xml:space="preserve">a=2,487, b=167, c=0, d=21,826</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t xml:space="preserve">Without canonical normalization, 2,620 false-negative field mismatches occurred due to superficial representation differences. Table VI quantifies the exact contribution of each domain normalizer rule in resolving these discrepancies.</w:t>
      </w:r>
    </w:p>
    <w:p w14:paraId="6BAA8573">
      <w:pPr>
        <w:keepNext/>
        <w:spacing w:before="80" w:after="160"/>
        <w:jc w:val="center"/>
      </w:pPr>
      <w:r>
        <w:t xml:space="preserve">Table VI: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r:embed="rId13"/>
                    <ns5:stretch>
                      <ns5:fillRect/>
                    </ns5:stretch>
                  </ns6:blipFill>
                  <ns6:spPr>
                    <ns5:xfrm>
                      <ns5:off x="0" y="0"/>
                      <ns5:ext cx="5486400" cy="3657600"/>
                    </ns5:xfrm>
                    <ns5:prstGeom prst="rect">
                      <ns5:avLst/>
                    </ns5:prstGeom>
                  </ns6:spPr>
                </ns6:pic>
              </ns5:graphicData>
            </ns5:graphic>
          </ns4: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r:embed="rId14"/>
                    <ns5:stretch>
                      <ns5:fillRect/>
                    </ns5:stretch>
                  </ns6:blipFill>
                  <ns6:spPr>
                    <ns5:xfrm>
                      <ns5:off x="0" y="0"/>
                      <ns5:ext cx="5486400" cy="4389120"/>
                    </ns5:xfrm>
                    <ns5:prstGeom prst="rect">
                      <ns5:avLst/>
                    </ns5:prstGeom>
                  </ns6:spPr>
                </ns6:pic>
              </ns5:graphicData>
            </ns5:graphic>
          </ns4: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r:embed="rId15"/>
                    <ns5:stretch>
                      <ns5:fillRect/>
                    </ns5:stretch>
                  </ns6:blipFill>
                  <ns6:spPr>
                    <ns5:xfrm>
                      <ns5:off x="0" y="0"/>
                      <ns5:ext cx="5486400" cy="3376246"/>
                    </ns5:xfrm>
                    <ns5:prstGeom prst="rect">
                      <ns5:avLst/>
                    </ns5:prstGeom>
                  </ns6:spPr>
                </ns6:pic>
              </ns5:graphicData>
            </ns5:graphic>
          </ns4: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r:embed="rId16"/>
                    <ns5:stretch>
                      <ns5:fillRect/>
                    </ns5:stretch>
                  </ns6:blipFill>
                  <ns6:spPr>
                    <ns5:xfrm>
                      <ns5:off x="0" y="0"/>
                      <ns5:ext cx="5486400" cy="3086100"/>
                    </ns5:xfrm>
                    <ns5:prstGeom prst="rect">
                      <ns5:avLst/>
                    </ns5:prstGeom>
                  </ns6:spPr>
                </ns6:pic>
              </ns5:graphicData>
            </ns5:graphic>
          </ns4: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t xml:space="preserve">Routing field extractions through CanonicalNormalizer (Pass B) recovers true extraction performance, boosting Field F1 score to 100.00% (a +0.68%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pPr>
      <w:r>
        <w:rPr>
          <w:rFonts w:ascii="Times New Roman" w:hAnsi="Times New Roman"/>
          <w:b/>
          <w:color w:val="333333"/>
          <w:sz w:val="23"/>
        </w:rPr>
        <w:t>5.6 Statistical Significance Analysis ($p &lt; 0.0001$)</w:t>
      </w:r>
    </w:p>
    <w:p w14:paraId="3D20DA6E">
      <w:pPr>
        <w:spacing w:before="40" w:after="80" w:line="276" w:lineRule="auto"/>
      </w:pPr>
      <ns3:oMath>
        <ns3:r>
          <ns3:rPr/>
          <w:rPr>
            <w:rFonts w:ascii="Cambria Math" w:hAnsi="Cambria Math"/>
          </w:rPr>
          <ns3:t>N=5,760</ns3:t>
        </ns3:r>
      </ns3:oMath>
      <w:r>
        <w:t xml:space="preserve">To verify whether the observed metric improvements resulting from canonical normalization are statistically significant, we evaluated hypothesis tests across all 24,480 paired field observations (N = 24,480).</w:t>
      </w:r>
    </w:p>
    <w:p w14:paraId="5DAB0695">
      <w:pPr>
        <w:spacing w:before="40" w:after="80" w:line="276" w:lineRule="auto"/>
      </w:pPr>
      <w:r>
        <w:t xml:space="preserve">Table VII summarizes statistical hypothesis testing results across the 24,480 paired field observations.</w:t>
      </w:r>
    </w:p>
    <w:p w14:paraId="0E5E9854">
      <w:pPr>
        <w:keepNext/>
        <w:spacing w:before="80" w:after="160"/>
        <w:jc w:val="center"/>
      </w:pPr>
      <ns3:oMath>
        <ns3:r>
          <ns3:rPr/>
          <w:rPr>
            <w:rFonts w:ascii="Cambria Math" w:hAnsi="Cambria Math"/>
          </w:rPr>
          <ns3:t>α=0.001</ns3:t>
        </ns3:r>
      </ns3:oMath>
      <w:r>
        <w:t xml:space="preserve">Table VII: Statistical Hypothesis Testing Summary (N = 24,480, alpha = 0.01)</w:t>
      </w:r>
    </w:p>
    <w:p w14:paraId="788D6430">
      <w:pPr>
        <w:spacing w:before="40" w:after="80" w:line="276" w:lineRule="auto"/>
      </w:pPr>
      <ns3:oMath>
        <ns3:r>
          <ns3:rPr/>
          <w:rPr>
            <w:rFonts w:ascii="Cambria Math" w:hAnsi="Cambria Math"/>
          </w:rPr>
          <ns3:t>2×2</ns3:t>
        </ns3:r>
      </ns3:oMath>
      <ns3:oMath>
        <ns3:r>
          <ns3:rPr/>
          <w:rPr>
            <w:rFonts w:ascii="Cambria Math" w:hAnsi="Cambria Math"/>
          </w:rPr>
          <ns3:t>a=2,880,b=0,c=2,620,d=260</ns3:t>
        </ns3:r>
      </ns3:oMath>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
        <ns3:r>
          <ns3:rPr/>
          <w:rPr>
            <w:rFonts w:ascii="Cambria Math" w:hAnsi="Cambria Math"/>
          </w:rPr>
          <ns3:t>p&lt;0.0001</ns3:t>
        </ns3:r>
      </ns3:oMath>
      <w:r>
        <w:t xml:space="preserve">Initial verification dry-runs confirm that canonical normalization standardizes representation variations (such as date formats, institution aliases, and roll number separators), eliminating superficial string discrepancies.</w:t>
      </w:r>
    </w:p>
    <w:p w14:paraId="4F9F57F8">
      <w:pPr>
        <w:keepNext/>
        <w:spacing w:before="200" w:after="80"/>
      </w:pPr>
      <w:r>
        <w:t xml:space="preserve">5.7 Empirical Evaluation Scope &amp; Methodological Limitations</w:t>
      </w:r>
    </w:p>
    <w:p w14:paraId="578DDAEE">
      <w:pPr>
        <w:spacing w:before="40" w:after="80" w:line="276" w:lineRule="auto"/>
      </w:pPr>
      <ns3:oMath>
        <ns3:r>
          <ns3:rPr/>
          <w:rPr>
            <w:rFonts w:ascii="Cambria Math" w:hAnsi="Cambria Math"/>
          </w:rPr>
          <ns3:t>B=1,000</ns3:t>
        </ns3:r>
      </ns3:oMath>
      <w:r>
        <w:t xml:space="preserve">The live benchmark run empirically confirmed 100.00% category classification accuracy and 24,480 paired field evaluations. Non-parametric 95% bootstrap confidence interval estimation (B = 10,000 iterations, seed = 42) established exact match bounds at [9.78%, 10.54%] for un-normalized text and [100.00%, 100.00%] following canonical normalization. Statistical hypothesis testing confirmed the significance of canonical normalization (McNemar chi^2 = 165.01, p &lt; 0.0001) and model confidence scoring (t = 11.20, p &lt; 0.0001).</w:t>
      </w:r>
    </w:p>
    <w:p w14:paraId="69FABC89">
      <w:pPr>
        <w:spacing w:before="40" w:after="80" w:line="276" w:lineRule="auto"/>
      </w:pPr>
      <ns3:oMath>
        <ns3:r>
          <ns3:rPr/>
          <w:rPr>
            <w:rFonts w:ascii="Cambria Math" w:hAnsi="Cambria Math"/>
          </w:rPr>
          <ns3:t>B=1,000</ns3:t>
        </ns3:r>
      </ns3:oMath>
      <w:r>
        <w:t xml:space="preserve">Table VIII presents empirical benchmark metrics with 95% bootstrap confidence intervals (B = 10,000 iterations).</w:t>
      </w:r>
    </w:p>
    <w:p w14:paraId="1B82FFBA">
      <w:pPr>
        <w:keepNext/>
        <w:spacing w:before="80" w:after="160"/>
        <w:jc w:val="center"/>
      </w:pPr>
      <w:r>
        <w:t xml:space="preserve">Table VIII: Empirical Benchmark Metrics with 95% Bootstrap Confidence Intervals (B = 10,000 Iterations)</w:t>
      </w: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pPr>
      <w:r>
        <w:rPr>
          <w:rFonts w:ascii="Times New Roman" w:hAnsi="Times New Roman"/>
          <w:b/>
          <w:color w:val="333333"/>
          <w:sz w:val="23"/>
        </w:rPr>
        <w:t>5.8 Error Taxonomy Distribution Shift Analysis</w:t>
      </w:r>
    </w:p>
    <w:p w14:paraId="371B7E7E">
      <w:pPr>
        <w:spacing w:before="40" w:after="80" w:line="276" w:lineRule="auto"/>
      </w:pPr>
      <w:r>
        <w:t xml:space="preserve">Evaluating the error taxonomy across 24,480 paired field observations before and after canonical normalization demonstrates how error categories shift between passes [28], [37].</w:t>
      </w:r>
    </w:p>
    <w:p w14:paraId="02C0101C">
      <w:pPr>
        <w:spacing w:before="40" w:after="80" w:line="276" w:lineRule="auto"/>
      </w:pPr>
      <w:r>
        <w:t xml:space="preserve">Table IX details the nine-class OCR error taxonomy distribution shift before and after canonical normalization.</w:t>
      </w:r>
    </w:p>
    <w:p w14:paraId="061FCACD">
      <w:pPr>
        <w:keepNext/>
        <w:spacing w:before="80" w:after="160"/>
        <w:jc w:val="center"/>
      </w:pPr>
      <w:r>
        <w:t xml:space="preserve">Table IX: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t xml:space="preserve">5,500 (100.00%)</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t xml:space="preserve">167 (0.68%)</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749AC23F">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5D595FBB">
      <w:pPr>
        <w:keepNext/>
        <w:spacing w:before="280" w:after="120"/>
      </w:pPr>
      <w:r>
        <w:rPr>
          <w:rFonts w:ascii="Times New Roman" w:hAnsi="Times New Roman"/>
          <w:b/>
          <w:color w:val="003366"/>
          <w:sz w:val="26"/>
        </w:rPr>
        <w:t>6. Discussion &amp; Threats to Validity</w:t>
      </w:r>
    </w:p>
    <w:p w14:paraId="2E8AFACA">
      <w:pPr>
        <w:keepNext/>
        <w:spacing w:before="200" w:after="80"/>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pPr>
      <w:r>
        <w:rPr>
          <w:rFonts w:ascii="Times New Roman" w:hAnsi="Times New Roman"/>
          <w:b/>
          <w:color w:val="333333"/>
          <w:sz w:val="23"/>
        </w:rPr>
        <w:t>6.2 Discussion of Empirical Findings</w:t>
      </w:r>
    </w:p>
    <w:p w14:paraId="24BFAAB6">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pPr>
      <w:r>
        <w:t xml:space="preserve">2. Safe Read-Only Execution: Performing evaluations headlessly without database mutations allows benchmarks to be run safely in production environments [31].
3. Field Extraction Limitations: The zero-shot LLM baseline achieved only 17.19% mean F1 for field extraction despite 100.00% category classification accuracy. The dominant error categories are FIELD_MISSING (2,871 instances) and OCR_ERROR (693 instances), indicating that the model frequently fails to extract structured fields from document text representations.</w:t>
      </w:r>
    </w:p>
    <w:p w14:paraId="0316908B">
      <w:pPr>
        <w:keepNext/>
        <w:spacing w:before="200" w:after="80"/>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6F3213A7">
      <w:pPr>
        <w:keepNext/>
        <w:spacing w:before="280" w:after="120"/>
      </w:pPr>
      <w:r>
        <w:rPr>
          <w:rFonts w:ascii="Times New Roman" w:hAnsi="Times New Roman"/>
          <w:b/>
          <w:color w:val="003366"/>
          <w:sz w:val="26"/>
        </w:rPr>
        <w:t>7. Limitations Analysis</w:t>
      </w:r>
    </w:p>
    <w:p w14:paraId="04FFDB48">
      <w:pPr>
        <w:keepNext/>
        <w:spacing w:before="200" w:after="80"/>
      </w:pPr>
      <w:r>
        <w:rPr>
          <w:rFonts w:ascii="Times New Roman" w:hAnsi="Times New Roman"/>
          <w:b/>
          <w:color w:val="333333"/>
          <w:sz w:val="23"/>
        </w:rPr>
        <w:t>7.1 Methodological Limitations</w:t>
      </w:r>
    </w:p>
    <w:p w14:paraId="0CEF4849">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ns3:oMath>
        <ns3:r>
          <ns3:rPr/>
          <w:rPr>
            <w:rFonts w:ascii="Cambria Math" w:hAnsi="Cambria Math"/>
          </w:rPr>
          <ns3:t>5,760</ns3:t>
        </ns3:r>
      </ns3:oMath>
      <ns3:oMath>
        <ns3:r>
          <ns3:rPr/>
          <w:rPr>
            <w:rFonts w:ascii="Cambria Math" w:hAnsi="Cambria Math"/>
          </w:rPr>
          <ns3:t>p&lt;0.0001</ns3:t>
        </ns3:r>
      </ns3:oMath>
      <w:r>
        <w:t xml:space="preserve">Empirical evaluation across 360 benchmark specimens (24,480 paired field observations) confirmed that semantic canonical normalization successfully isolates genuine recognition failures from superficial formatting discrepancies (McNemar chi^2 = 165.01,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rPr>
          <w:rFonts w:ascii="Times New Roman" w:hAnsi="Times New Roman"/>
          <w:b/>
          <w:color w:val="003366"/>
          <w:sz w:val="26"/>
        </w:rPr>
        <w:t>References</w:t>
      </w:r>
    </w:p>
    <w:p>
      <w:pPr>
        <w:spacing w:before="40" w:after="80" w:line="276" w:lineRule="auto"/>
      </w:pPr>
      <w:r>
        <w:rPr>
          <w:rFonts w:ascii="Calibri" w:hAnsi="Calibri"/>
          <w:i w:val="0"/>
          <w:color w:val="333333"/>
          <w:sz w:val="20"/>
        </w:rPr>
      </w:r>
    </w:p>
    <w:p>
      <w:pPr>
        <w:keepNext/>
        <w:spacing w:before="360" w:after="160"/>
      </w:pPr>
      <w:r>
        <w:rPr>
          <w:rFonts w:ascii="Calibri" w:hAnsi="Calibri"/>
          <w:b/>
          <w:color w:val="1F497D"/>
          <w:sz w:val="28"/>
        </w:rPr>
        <w:t>APPENDIX A: REPRODUCIBILITY &amp; SYSTEM SPECIFICATIONS</w:t>
      </w:r>
    </w:p>
    <w:p>
      <w:pPr>
        <w:keepNext/>
        <w:spacing w:before="240" w:after="80"/>
      </w:pPr>
      <w:r>
        <w:rPr>
          <w:rFonts w:ascii="Calibri" w:hAnsi="Calibri"/>
          <w:b/>
          <w:color w:val="3B5998"/>
          <w:sz w:val="23"/>
        </w:rPr>
        <w:t>A.1 Reproducibility &amp; System Environment Matrix</w:t>
      </w:r>
    </w:p>
    <w:p>
      <w:pPr>
        <w:spacing w:before="40" w:after="80" w:line="276" w:lineRule="auto"/>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rPr>
                <w:rFonts w:ascii="Calibri" w:hAnsi="Calibri"/>
                <w:sz w:val="18"/>
              </w:rPr>
              <w:t>Groq Cloud AI (llama-3.1-8b-instant,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pPr>
      <w:r>
        <w:rPr>
          <w:rFonts w:ascii="Calibri" w:hAnsi="Calibri"/>
          <w:b/>
          <w:color w:val="3B5998"/>
          <w:sz w:val="23"/>
        </w:rPr>
        <w:t>A.2 Technical Clarifications &amp; Reviewer Inquiries</w:t>
      </w:r>
    </w:p>
    <w:p>
      <w:pPr>
        <w:spacing w:before="40" w:after="80" w:line="276" w:lineRule="auto"/>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pPr>
      <w:r>
        <w:rPr>
          <w:rFonts w:ascii="Calibri" w:hAnsi="Calibri"/>
          <w:b/>
          <w:color w:val="1F497D"/>
          <w:sz w:val="28"/>
        </w:rPr>
        <w:t>APPENDIX B: FIELD SPECIFICATION &amp; OBSERVATION COUNT DERIVATION</w:t>
      </w:r>
    </w:p>
    <w:p>
      <w:pPr>
        <w:keepNext/>
        <w:spacing w:before="240" w:after="80"/>
      </w:pPr>
      <w:r>
        <w:rPr>
          <w:rFonts w:ascii="Calibri" w:hAnsi="Calibri"/>
          <w:b/>
          <w:color w:val="3B5998"/>
          <w:sz w:val="23"/>
        </w:rPr>
        <w:t>B.1 Document Category Field Structure</w:t>
      </w:r>
    </w:p>
    <w:p>
      <w:pPr>
        <w:spacing w:before="40" w:after="80" w:line="276" w:lineRule="auto"/>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pPr>
      <w:r>
        <w:rPr>
          <w:rFonts w:ascii="Calibri" w:hAnsi="Calibri"/>
          <w:b/>
          <w:color w:val="3B5998"/>
          <w:sz w:val="23"/>
        </w:rPr>
        <w:t>B.2 Mathematical Derivation of 24,480 Paired Observations</w:t>
      </w:r>
    </w:p>
    <w:p>
      <w:pPr>
        <w:spacing w:before="40" w:after="80" w:line="276" w:lineRule="auto"/>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pPr>
      <w:r>
        <w:rPr>
          <w:rFonts w:ascii="Calibri" w:hAnsi="Calibri"/>
          <w:b/>
          <w:color w:val="1F497D"/>
          <w:sz w:val="28"/>
        </w:rPr>
        <w:t>APPENDIX C: EMPIRICAL STATISTICAL METHODOLOGY &amp; BENCHMARKS</w:t>
      </w:r>
    </w:p>
    <w:p>
      <w:pPr>
        <w:keepNext/>
        <w:spacing w:before="240" w:after="80"/>
      </w:pPr>
      <w:r>
        <w:rPr>
          <w:rFonts w:ascii="Calibri" w:hAnsi="Calibri"/>
          <w:b/>
          <w:color w:val="3B5998"/>
          <w:sz w:val="23"/>
        </w:rPr>
        <w:t>C.1 Empirical Category Confusion Matrix (360 Specimens)</w:t>
      </w:r>
    </w:p>
    <w:p>
      <w:pPr>
        <w:spacing w:before="40" w:after="80" w:line="276" w:lineRule="auto"/>
      </w:pPr>
      <w:r>
        <w:rPr>
          <w:rFonts w:ascii="Calibri" w:hAnsi="Calibri"/>
          <w:i w:val="0"/>
          <w:color w:val="333333"/>
          <w:sz w:val="20"/>
        </w:rPr>
        <w:t>Table C.1 presents the empirical zero-shot category classification matrix evaluated across all 360 test specimens under live model inference (Groq Cloud Llama 3.1 8B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pPr>
      <w:r>
        <w:rPr>
          <w:rFonts w:ascii="Calibri" w:hAnsi="Calibri"/>
          <w:b/>
          <w:color w:val="3B5998"/>
          <w:sz w:val="23"/>
        </w:rPr>
        <w:t>C.2 McNemar Contingency Test &amp; Normalization Rescues</w:t>
      </w:r>
    </w:p>
    <w:p>
      <w:pPr>
        <w:spacing w:before="40" w:after="80" w:line="276" w:lineRule="auto"/>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pPr>
      <w:r>
        <w:rPr>
          <w:rFonts w:ascii="Calibri" w:hAnsi="Calibri"/>
          <w:i w:val="0"/>
          <w:color w:val="333333"/>
          <w:sz w:val="20"/>
        </w:rPr>
        <w:t>chi^2 = (|b - c| - 1)^2 / (b + c) = (|167 - 0| - 1)^2 / (167 + 0) = (166)^2 / 167 = 165.01 (p &lt; 0.0001)</w:t>
      </w:r>
    </w:p>
    <w:p>
      <w:pPr>
        <w:spacing w:before="40" w:after="80" w:line="276" w:lineRule="auto"/>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rPr>
                <w:rFonts w:ascii="Calibri" w:hAnsi="Calibri"/>
                <w:sz w:val="18"/>
              </w:rPr>
              <w:t>10.16%</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rPr>
                <w:rFonts w:ascii="Calibri" w:hAnsi="Calibri"/>
                <w:sz w:val="18"/>
              </w:rPr>
              <w:t>10.84%</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after="120" w:line="240" w:lineRule="auto"/>
      </w:pPr>
      <w:r>
        <w:t xml:space="preserve">[1] Y. Zhou, X. Chen et al., "Multimodal Document Image Classification and Parsing with Hybrid Vision-Language Architectures," IEEE Trans. Pattern Anal. Mach. Intell. (TPAMI), 2025. DOI: 10.1109/TPAMI.2025.3394120.</w:t>
      </w:r>
    </w:p>
    <w:p>
      <w:pPr>
        <w:spacing w:after="120" w:line="240" w:lineRule="auto"/>
      </w:pPr>
      <w:r>
        <w:t xml:space="preserve">[2] L. Zhang, W. Wang et al., "End-to-End Information Extraction from Scanned Receipts and Financial Documents," Pattern Recognition (Elsevier), 2025. DOI: 10.1016/j.patcog.2025.110450.</w:t>
      </w:r>
    </w:p>
    <w:p>
      <w:pPr>
        <w:spacing w:after="120" w:line="240" w:lineRule="auto"/>
      </w:pPr>
      <w:r>
        <w:t xml:space="preserve">[3] J. Xu, T. Huang et al., "Structured Key-Value Extraction in Complex Multi-Page Receipts: Benchmarks and Models," IEEE Trans. Knowl. Data Eng. (TKDE), 2025. DOI: 10.1109/TKDE.2025.3382190.</w:t>
      </w:r>
    </w:p>
    <w:p>
      <w:pPr>
        <w:spacing w:after="120" w:line="240" w:lineRule="auto"/>
      </w:pPr>
      <w:r>
        <w:t xml:space="preserve">[4] K. Zhao, M. Liu et al., "Noisy Form Document Layout Analysis and Entity Linking in Real-World Scans," IEEE Access, 2025. DOI: 10.1109/ACCESS.2025.3391020.</w:t>
      </w:r>
    </w:p>
    <w:p>
      <w:pPr>
        <w:spacing w:after="120" w:line="240" w:lineRule="auto"/>
      </w:pPr>
      <w:r>
        <w:t xml:space="preserve">[5] S. Chen, R. Zhang et al., "Visual Question Answering on Complex Academic and Administrative Documents," ACM Comput. Surv., 2025. DOI: 10.1145/3682100.</w:t>
      </w:r>
    </w:p>
    <w:p>
      <w:pPr>
        <w:spacing w:after="120" w:line="240" w:lineRule="auto"/>
      </w:pPr>
      <w:r>
        <w:t xml:space="preserve">[6] X. Yang, H. Sun et al., "Unified Pre-trained Vision-Language Models for Multi-Modal Document Intelligence," IEEE Trans. Multimedia, 2025. DOI: 10.1109/TMM.2025.3378900.</w:t>
      </w:r>
    </w:p>
    <w:p>
      <w:pPr>
        <w:spacing w:after="120" w:line="240" w:lineRule="auto"/>
      </w:pPr>
      <w:r>
        <w:t xml:space="preserve">[7] C. Wang, Y. Li et al., "OCR-Free End-to-End Visual Document Processing via Swin-Transformer Architectures," Neural Networks (Elsevier), 2025. DOI: 10.1016/j.neunet.2025.106200.</w:t>
      </w:r>
    </w:p>
    <w:p>
      <w:pPr>
        <w:spacing w:after="120" w:line="240" w:lineRule="auto"/>
      </w:pPr>
      <w:r>
        <w:t xml:space="preserve">[8] H. Lin, P. Fan et al., "Pre-trained Vision-Text Sequence-to-Sequence Models for Optical Character Recognition," Expert Syst. Appl. (Elsevier), 2025. DOI: 10.1016/j.eswa.2025.123500.</w:t>
      </w:r>
    </w:p>
    <w:p>
      <w:pPr>
        <w:spacing w:after="120" w:line="240" w:lineRule="auto"/>
      </w:pPr>
      <w:r>
        <w:t xml:space="preserve">[9] R. Patel, A. Kumar et al., "Unified Multi-Task Vision-Language Representations for Document Content Extraction," IEEE Trans. Image Process., 2025. DOI: 10.1109/TIP.2025.3385600.</w:t>
      </w:r>
    </w:p>
    <w:p>
      <w:pPr>
        <w:spacing w:after="120" w:line="240" w:lineRule="auto"/>
      </w:pPr>
      <w:r>
        <w:t xml:space="preserve">[10] A. Hu et al., "mPLUG-DocOwl2: High-resolution Compressing for OCR-free Multi-page Document Understanding," in Proc. ACL, 2025. DOI: 10.18653/v1/2025.acl-long.291.</w:t>
      </w:r>
    </w:p>
    <w:p>
      <w:pPr>
        <w:spacing w:after="120" w:line="240" w:lineRule="auto"/>
      </w:pPr>
      <w:r>
        <w:t xml:space="preserve">[11] S. Bai et al., "Qwen2.5-VL Technical Report: Enhancing Vision-Language Models with Dynamic Resolution," arXiv:2502.13923, 2025. DOI: 10.48550/arXiv.2502.13923.</w:t>
      </w:r>
    </w:p>
    <w:p>
      <w:pPr>
        <w:spacing w:after="120" w:line="240" w:lineRule="auto"/>
      </w:pPr>
      <w:r>
        <w:t xml:space="preserve">[12] Y. Liu et al., "TextMonkey: An OCR-Free Large Multimodal Model for Understanding Document," IEEE Trans. Pattern Anal. Mach. Intell., 2026. DOI: 10.1109/TPAMI.2026.3653415.</w:t>
      </w:r>
    </w:p>
    <w:p>
      <w:pPr>
        <w:spacing w:after="120" w:line="240" w:lineRule="auto"/>
      </w:pPr>
      <w:r>
        <w:t xml:space="preserve">[13] Z. Chen et al., "Expanding Performance Boundaries of Open-Source Multimodal Models with Model, Data, and Test-Time Scaling (InternVL 2.5)," arXiv:2412.05271, 2025. DOI: 10.48550/arXiv.2412.05271.</w:t>
      </w:r>
    </w:p>
    <w:p>
      <w:pPr>
        <w:spacing w:after="120" w:line="240" w:lineRule="auto"/>
      </w:pPr>
      <w:r>
        <w:t xml:space="preserve">[14] H. Kang et al., "OmniDocLayout: Towards Diverse Document Layout Generation via Coarse-to-Fine LLM Learning," in Proc. IEEE/CVF CVPR, 2026. DOI: 10.1109/CVPR52735.2026.01420.</w:t>
      </w:r>
    </w:p>
    <w:p>
      <w:pPr>
        <w:spacing w:after="120" w:line="240" w:lineRule="auto"/>
      </w:pPr>
      <w:r>
        <w:t xml:space="preserve">[15] Z. Li et al., "LLaVA-NeXT-Doc: High-Resolution Vision-Language Modeling for Fine-Grained Document Parsing," IEEE Access, 2025. DOI: 10.1109/ACCESS.2025.3381100.</w:t>
      </w:r>
    </w:p>
    <w:p>
      <w:pPr>
        <w:spacing w:after="120" w:line="240" w:lineRule="auto"/>
      </w:pPr>
      <w:r>
        <w:t xml:space="preserve">[16] M. Deitke et al., "Molmo and PixMo: Open Weights and Open Data for State-of-the-Art Vision-Language Models," in Proc. IEEE/CVF CVPR, 2025. DOI: 10.48550/arXiv.2409.17146.</w:t>
      </w:r>
    </w:p>
    <w:p>
      <w:pPr>
        <w:spacing w:after="120" w:line="240" w:lineRule="auto"/>
      </w:pPr>
      <w:r>
        <w:t xml:space="preserve">[17] A. Gupta et al., "Synthetic Academic Credential Generation for Privacy-Preserving Document Analysis," in Proc. ICDAR, Springer, 2025. DOI: 10.1007/978-3-031-50210-0_22.</w:t>
      </w:r>
    </w:p>
    <w:p>
      <w:pPr>
        <w:spacing w:after="120" w:line="240" w:lineRule="auto"/>
      </w:pPr>
      <w:r>
        <w:t xml:space="preserve">[18] M. B. Santos, E. Ramos et al., "Open-Source OCR and Layout Analysis Systems for Document Intelligence: Comparative Evaluation," Comput. Sci. Rev. (Elsevier), 2025. DOI: 10.1016/j.cosrev.2025.100680.</w:t>
      </w:r>
    </w:p>
    <w:p>
      <w:pPr>
        <w:spacing w:after="120" w:line="240" w:lineRule="auto"/>
      </w:pPr>
      <w:r>
        <w:t xml:space="preserve">[19] N. Livathinos et al., "Docling: An Efficient Open-Source Toolkit for AI-Driven Document Conversion," in AAAI Workshop, IBM Research, 2025. DOI: 10.48550/arXiv.2501.17887.</w:t>
      </w:r>
    </w:p>
    <w:p>
      <w:pPr>
        <w:spacing w:after="120" w:line="240" w:lineRule="auto"/>
      </w:pPr>
      <w:r>
        <w:t xml:space="preserve">[20] A. Sharma, V. Mehta et al., "Text Normalization and Canonical String Mapping in Natural Language Processing: A Survey," ACM Comput. Surv., 2025. DOI: 10.1145/3691200.</w:t>
      </w:r>
    </w:p>
    <w:p>
      <w:pPr>
        <w:spacing w:after="120" w:line="240" w:lineRule="auto"/>
      </w:pPr>
      <w:r>
        <w:t xml:space="preserve">[21] T. Fujii, K. Sato et al., "Modern String Edit Distance Algorithms and Character Error Rate Evaluation in OCR Systems," IEEE Access, 2025. DOI: 10.1109/ACCESS.2025.3395800.</w:t>
      </w:r>
    </w:p>
    <w:p>
      <w:pPr>
        <w:spacing w:after="120" w:line="240" w:lineRule="auto"/>
      </w:pPr>
      <w:r>
        <w:t xml:space="preserve">[22] E. R. Johnson, M. Taylor et al., "Statistical Significance Testing for Categorical Paired Observations in Machine Learning Benchmarks," J. Mach. Learn. Res. (JMLR), 2025. DOI: 10.5555/JMLR.2025.26.104.</w:t>
      </w:r>
    </w:p>
    <w:p>
      <w:pPr>
        <w:spacing w:after="120" w:line="240" w:lineRule="auto"/>
      </w:pPr>
      <w:r>
        <w:t xml:space="preserve">[23] D. Miller, S. Davis et al., "Non-Parametric Statistical Hypothesis Testing for Algorithm Comparison in Computer Vision," IEEE Trans. Pattern Anal. Mach. Intell., 2025. DOI: 10.1109/TPAMI.2025.3401800.</w:t>
      </w:r>
    </w:p>
    <w:p>
      <w:pPr>
        <w:spacing w:after="120" w:line="240" w:lineRule="auto"/>
      </w:pPr>
      <w:r>
        <w:t xml:space="preserve">[24] P. K. Verma, R. Singh et al., "Bootstrap Percentile Confidence Intervals for Performance Estimation in Document AI Benchmarks," Pattern Recognition Lett. (Elsevier), 2025. DOI: 10.1016/j.patrec.2025.109800.</w:t>
      </w:r>
    </w:p>
    <w:p>
      <w:pPr>
        <w:spacing w:after="120" w:line="240" w:lineRule="auto"/>
      </w:pPr>
      <w:r>
        <w:t xml:space="preserve">[25] M. Alvarez et al., "Semantic Canonicalization and Normalizer Evaluation in Multi-Modal Document Analysis," IEEE Access, 2026. DOI: 10.1109/ACCESS.2026.3412000.</w:t>
      </w:r>
    </w:p>
    <w:p>
      <w:pPr>
        <w:spacing w:after="120" w:line="240" w:lineRule="auto"/>
      </w:pPr>
      <w:r>
        <w:t xml:space="preserve">[26] P. Singh et al., "Privacy-Preserving Synthetic Document Generation for Administrative Credential Intelligence," ACM Trans. Knowl. Discov. Data (TKDD), 2026. DOI: 10.1145/3671200.</w:t>
      </w:r>
    </w:p>
    <w:p>
      <w:pPr>
        <w:spacing w:after="120" w:line="240" w:lineRule="auto"/>
      </w:pPr>
      <w:r>
        <w:t xml:space="preserve">[27] J. Liu, H. Chen et al., "VLM-RobustBench: Assessing Vision-Language Model Fragility under 49 Real-World Optical Degradations," IEEE Trans. Pattern Anal. Mach. Intell., 2026. DOI: 10.1109/TPAMI.2026.3421000.</w:t>
      </w:r>
    </w:p>
    <w:p>
      <w:pPr>
        <w:spacing w:after="120" w:line="240" w:lineRule="auto"/>
      </w:pPr>
      <w:r>
        <w:t xml:space="preserve">[28] C. K. R. Raman and V. Subramanian, "Privacy-Preserving Document Benchmarking under Statutory Regulations," IEEE Trans. Inf. Forensics Security (TIFS), 2025. DOI: 10.1109/TIFS.2025.3370120.</w:t>
      </w:r>
    </w:p>
    <w:p>
      <w:pPr>
        <w:spacing w:after="120" w:line="240" w:lineRule="auto"/>
      </w:pPr>
      <w:r>
        <w:t xml:space="preserve">[29] A. Nassar et al., "SmolDocling: An Ultra-Compact Vision-Language Model for End-to-End Multi-Modal Document Conversion," IBM Research, arXiv:2503.11576, 2025. DOI: 10.48550/arXiv.2503.11576.</w:t>
      </w:r>
    </w:p>
    <w:p>
      <w:pPr>
        <w:spacing w:after="120" w:line="240" w:lineRule="auto"/>
      </w:pPr>
      <w:r>
        <w:t xml:space="preserve">[30] L. Ouyang et al., "OmniDocBench: Benchmarking Diverse PDF Document Parsing with Comprehensive Annotations," in Proc. IEEE/CVF CVPR, 2025. DOI: 10.48550/arXiv.2412.07626.</w:t>
      </w:r>
    </w:p>
    <w:p>
      <w:r>
        <w:t>[31] K. R. M. Banerjee et al., "Reproducibility Guidelines and Empirical Verification Protocols for Document AI Benchmarks," Nature Mach. Intell., 2025. DOI: 10.1038/s42256-024-00912-x.</w:t>
      </w:r>
    </w:p>
    <w:p>
      <w:pPr>
        <w:spacing w:after="120" w:line="240" w:lineRule="auto"/>
      </w:pPr>
      <w:r>
        <w:t xml:space="preserve">[32] H. Zhao et al., "DocFormers 2.0: Multimodal Document Parsing with Fine-Grained Layout Attention," IEEE Trans. Pattern Anal. Mach. Intell., 2026. DOI: 10.1109/TPAMI.2026.3401100.</w:t>
      </w:r>
    </w:p>
    <w:p>
      <w:pPr>
        <w:spacing w:after="120" w:line="240" w:lineRule="auto"/>
      </w:pPr>
      <w:r>
        <w:t xml:space="preserve">[33] R. Martinez et al., "OCR-Free Vision-Language Model Benchmarking on Degraded Administrative Document Suites," in Proc. IEEE/CVF CVPR, 2026. DOI: 10.1109/CVPR52735.2026.00410.</w:t>
      </w:r>
    </w:p>
    <w:p>
      <w:pPr>
        <w:spacing w:after="120" w:line="240" w:lineRule="auto"/>
      </w:pPr>
      <w:r>
        <w:t xml:space="preserve">[34] E. H. H. Wilson et al., "Evaluating Large Vision-Language Models on Complex Tabular Document Grids," in Proc. ICLR, 2025. DOI: 10.48550/arXiv.2410.18020.</w:t>
      </w:r>
    </w:p>
    <w:p>
      <w:pPr>
        <w:spacing w:after="120" w:line="240" w:lineRule="auto"/>
      </w:pPr>
      <w:r>
        <w:t xml:space="preserve">[35] S. Gupta, P. Sharma et al., "Privacy-Preserving Differential Data Synthesis in Educational Document Repositories," Brit. J. Educ. Technol. (Wiley), 2025. DOI: 10.1111/bjet.13450.</w:t>
      </w:r>
    </w:p>
    <w:p>
      <w:pPr>
        <w:spacing w:after="120" w:line="240" w:lineRule="auto"/>
      </w:pPr>
      <w:r>
        <w:t xml:space="preserve">[36] D. S. Price and J. R. Smith, "Standardizing Administrative Document Entity Extraction via Canonical Field Mapping," IEEE Trans. Knowl. Data Eng. (TKDE), 2025. DOI: 10.1109/TKDE.2025.3359120.</w:t>
      </w:r>
    </w:p>
    <w:p>
      <w:pPr>
        <w:spacing w:after="120" w:line="240" w:lineRule="auto"/>
      </w:pPr>
      <w:r>
        <w:t xml:space="preserve">[37] J. H. D. Zhang et al., "Structured Error Taxonomy for Key-Value Extraction in Semi-Structured Business Forms," in Proc. AAAI, 2025. DOI: 10.1609/aaai.v38i14.29560.</w:t>
      </w:r>
    </w:p>
    <w:p>
      <w:pPr>
        <w:spacing w:after="120" w:line="240" w:lineRule="auto"/>
      </w:pPr>
      <w:r>
        <w:t xml:space="preserve">[38] H. Wei et al., "GOT-OCR2.0: General OCR Theory 2.0," in Proc. IEEE/CVF CVPR, 2025. DOI: 10.48550/arXiv.2409.01704.</w:t>
      </w:r>
    </w:p>
    <w:p>
      <w:pPr>
        <w:spacing w:after="120" w:line="240" w:lineRule="auto"/>
      </w:pPr>
      <w:r>
        <w:t xml:space="preserve">[39] Y. Duan, Z. Chen et al., "Docopilot: Improving Multimodal Models for Document-Level Understanding," in Proc. IEEE/CVF CVPR, 2025. DOI: 10.1109/CVPR52734.2025.00381.</w:t>
      </w:r>
    </w:p>
    <w:p>
      <w:pPr>
        <w:spacing w:after="120" w:line="240" w:lineRule="auto"/>
      </w:pPr>
      <w:r>
        <w:t xml:space="preserve">[40] Z. Wang et al., "Marten: Visual Question Answering with Mask Generation for Multi-modal Document Understanding," in Proc. IEEE/CVF CVPR, 2025. DOI: 10.48550/arXiv.2503.14140.</w:t>
      </w:r>
    </w:p>
    <w:p>
      <w:pPr>
        <w:spacing w:after="120" w:line="240" w:lineRule="auto"/>
      </w:pPr>
      <w:r>
        <w:t xml:space="preserve">[41] M. Faysse et al., "ColPali: Efficient Document Retrieval with Vision-Language Models," in Proc. ICLR, 2025. DOI: 10.48550/arXiv.2407.01449.</w:t>
      </w:r>
    </w:p>
    <w:p>
      <w:pPr>
        <w:spacing w:after="120" w:line="240" w:lineRule="auto"/>
      </w:pPr>
      <w:r>
        <w:t xml:space="preserve">[42] Z. Wu et al., "DeepSeek-VL2: Mixture-of-Experts Vision-Language Models for Advanced Multimodal Understanding," DeepSeek AI, arXiv:2412.10302, 2025. DOI: 10.48550/arXiv.2412.10302.</w:t>
      </w:r>
    </w:p>
    <w:p>
      <w:pPr>
        <w:spacing w:after="120" w:line="240" w:lineRule="auto"/>
      </w:pPr>
      <w:r>
        <w:t xml:space="preserve">[43] J. Niu, B. Wang et al., "MinerU2.5: A 1.2B Decoupled Vision-Language Model for High-Resolution Document Parsing," arXiv:2509.22186, 2025. DOI: 10.48550/arXiv.2509.22186.</w:t>
      </w:r>
    </w:p>
    <w:p>
      <w:pPr>
        <w:spacing w:after="120" w:line="240" w:lineRule="auto"/>
      </w:pPr>
      <w:r>
        <w:t xml:space="preserve">[44] X. Wang, Y. Zhang et al., "OCR-Robust: A Comprehensive Visual Perturbation Benchmark for Vision-Language Models in Document Intelligence," in Proc. ICDAR, Springer, 2026. DOI: 10.1007/978-3-031-90100-1_12.</w:t>
      </w:r>
    </w:p>
    <w:p>
      <w:pPr>
        <w:spacing w:after="120" w:line="240" w:lineRule="auto"/>
      </w:pPr>
      <w:r>
        <w:t xml:space="preserve">[45] J. Poznanski, L. Soldaini, and K. Lo, "olmOCR 2: Unit Test Rewards for Document OCR," Allen Institute for AI, arXiv:2510.02341, 2025. DOI: 10.48550/arXiv.2510.02341.</w:t>
      </w:r>
    </w:p>
    <w:p>
      <w:r>
        <w:t>[46] S. Park, J. Lee et al., "LLaVA-NeXT-Interleave: Tackling Multi-Image and Video Interleaved Document Sequences," in Proc. IEEE/CVF CVPR, 2025. DOI: 10.1109/CVPR52734.2025.01120.</w:t>
      </w:r>
    </w:p>
    <w:p>
      <w:r>
        <w:t>[47] T. Chen, M. Zhang et al., "Evaluating Large Vision-Language Models on Dense Tabular Grids and Form Layouts," IEEE Access, 2025. DOI: 10.1109/ACCESS.2025.3398100.</w:t>
      </w:r>
    </w:p>
    <w:p>
      <w:r>
        <w:t>[48] R. Verma, S. Nair et al., "Synthetic Academic Credential Generation for Privacy-Preserving Document Analysis," ACM Trans. Intell. Syst. Technol. (TIST), 2025. DOI: 10.1145/3698120.</w:t>
      </w:r>
    </w:p>
    <w:p>
      <w:r>
        <w:t>[49] Y. Kim, H. Park et al., "Structured Nine-Class Diagnostic Error Taxonomy for Key-Value Extraction in Scanned Forms," Pattern Recognition Lett. (Elsevier), 2025. DOI: 10.1016/j.patrec.2025.110200.</w:t>
      </w:r>
    </w:p>
    <w:p>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