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pPr>
        <w:spacing w:before="40" w:after="80" w:line="276" w:lineRule="auto"/>
      </w:pPr>
      <w:r>
        <w:rPr>
          <w:rFonts w:ascii="Times New Roman" w:hAnsi="Times New Roman"/>
          <w:b/>
          <w:sz w:val="20"/>
        </w:rPr>
        <w:t>Authors</w:t>
      </w:r>
      <w:r>
        <w:rPr>
          <w:rFonts w:ascii="Times New Roman" w:hAnsi="Times New Roman"/>
          <w:sz w:val="20"/>
        </w:rPr>
        <w:t>: AU DIC Research Team</w:t>
      </w:r>
    </w:p>
    <w:p>
      <w:pPr>
        <w:spacing w:before="40" w:after="80" w:line="276" w:lineRule="auto"/>
      </w:pPr>
      <w:r>
        <w:rPr>
          <w:rFonts w:ascii="Times New Roman" w:hAnsi="Times New Roman"/>
          <w:b/>
          <w:sz w:val="20"/>
        </w:rPr>
        <w:t>Target Publication Venue</w:t>
      </w:r>
      <w:r>
        <w:rPr>
          <w:rFonts w:ascii="Times New Roman" w:hAnsi="Times New Roman"/>
          <w:sz w:val="20"/>
        </w:rPr>
        <w:t>: IEEE Access / ICDAR 2026</w:t>
      </w:r>
    </w:p>
    <w:p>
      <w:pPr>
        <w:spacing w:before="40" w:after="80" w:line="276" w:lineRule="auto"/>
      </w:pPr>
      <w:r>
        <w:rPr>
          <w:rFonts w:ascii="Times New Roman" w:hAnsi="Times New Roman"/>
          <w:b/>
          <w:sz w:val="20"/>
        </w:rPr>
        <w:t>Repository &amp; Artifact Build</w:t>
      </w:r>
      <w:r>
        <w:rPr>
          <w:rFonts w:ascii="Times New Roman" w:hAnsi="Times New Roman"/>
          <w:sz w:val="20"/>
        </w:rPr>
        <w:t>: run_1785796639905 | Dataset Hash: 17c136ef76dd0f82 | Commit: 823334b</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Abstract</w:t>
      </w:r>
    </w:p>
    <w:p>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pPr>
        <w:spacing w:before="40" w:after="80" w:line="276" w:lineRule="auto"/>
      </w:pPr>
      <w:r>
        <w:rPr>
          <w:rFonts w:ascii="Times New Roman" w:hAnsi="Times New Roman"/>
          <w:sz w:val="20"/>
        </w:rPr>
        <w:t>We evaluate the benchmark suite across 360 specimens (</w:t>
      </w:r>
      <m:oMath>
        <m:r>
          <w:rPr>
            <w:rFonts w:ascii="Cambria Math" w:hAnsi="Cambria Math"/>
          </w:rPr>
          <m:t>3</m:t>
        </m:r>
        <m:r>
          <w:rPr>
            <w:rFonts w:ascii="Times New Roman" w:hAnsi="Times New Roman"/>
            <w:i w:val="0"/>
          </w:rPr>
          <m:t>categories</m:t>
        </m:r>
        <m:r>
          <w:rPr>
            <w:rFonts w:ascii="Cambria Math" w:hAnsi="Cambria Math"/>
          </w:rPr>
          <m:t>×</m:t>
        </m:r>
        <m:r>
          <w:rPr>
            <w:rFonts w:ascii="Cambria Math" w:hAnsi="Cambria Math"/>
          </w:rPr>
          <m:t>30</m:t>
        </m:r>
        <m:r>
          <w:rPr>
            <w:rFonts w:ascii="Times New Roman" w:hAnsi="Times New Roman"/>
            <w:i w:val="0"/>
          </w:rPr>
          <m:t>instances</m:t>
        </m:r>
        <m:r>
          <w:rPr>
            <w:rFonts w:ascii="Cambria Math" w:hAnsi="Cambria Math"/>
          </w:rPr>
          <m:t>×</m:t>
        </m:r>
        <m:r>
          <w:rPr>
            <w:rFonts w:ascii="Cambria Math" w:hAnsi="Cambria Math"/>
          </w:rPr>
          <m:t>4</m:t>
        </m:r>
        <m:r>
          <w:rPr>
            <w:rFonts w:ascii="Times New Roman" w:hAnsi="Times New Roman"/>
            <w:i w:val="0"/>
          </w:rPr>
          <m:t>degradation profiles</m:t>
        </m:r>
      </m:oMath>
      <w:r>
        <w:rPr>
          <w:rFonts w:ascii="Times New Roman" w:hAnsi="Times New Roman"/>
          <w:sz w:val="20"/>
        </w:rPr>
        <w:t xml:space="preserve">).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w:t>
      </w:r>
      <w:r>
        <w:rPr>
          <w:rFonts w:ascii="Times New Roman" w:hAnsi="Times New Roman"/>
          <w:b/>
          <w:sz w:val="20"/>
        </w:rPr>
        <w:t>100.00% Field Extraction F1 score</w:t>
      </w:r>
      <w:r>
        <w:rPr>
          <w:rFonts w:ascii="Times New Roman" w:hAnsi="Times New Roman"/>
          <w:sz w:val="20"/>
        </w:rPr>
        <w:t xml:space="preserve"> and </w:t>
      </w:r>
      <w:r>
        <w:rPr>
          <w:rFonts w:ascii="Times New Roman" w:hAnsi="Times New Roman"/>
          <w:b/>
          <w:sz w:val="20"/>
        </w:rPr>
        <w:t>0.00% Character Error Rate (CER)</w:t>
      </w:r>
      <w:r>
        <w:rPr>
          <w:rFonts w:ascii="Times New Roman" w:hAnsi="Times New Roman"/>
          <w:sz w:val="20"/>
        </w:rPr>
        <w:t xml:space="preserve">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The benchmark eliminates the need for real student records by using deterministic synthetic academic credential generation with complete ground-truth annotations. This work provides a reproducible, synthetic-data-based foundation for benchmarking academic document analysis systems.</w:t>
      </w:r>
    </w:p>
    <w:p>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1. Introduction</w:t>
      </w:r>
    </w:p>
    <w:p>
      <w:pPr>
        <w:keepNext/>
        <w:spacing w:before="200" w:after="80"/>
      </w:pPr>
      <w:r>
        <w:rPr>
          <w:rFonts w:ascii="Times New Roman" w:hAnsi="Times New Roman"/>
          <w:b/>
          <w:color w:val="333333"/>
          <w:sz w:val="23"/>
        </w:rPr>
        <w:t>1.1 Background &amp; Motivation</w:t>
      </w:r>
    </w:p>
    <w:p>
      <w:pPr>
        <w:spacing w:before="40" w:after="80" w:line="276" w:lineRule="auto"/>
      </w:pPr>
      <w:r>
        <w:rPr>
          <w:rFonts w:ascii="Times New Roman" w:hAnsi="Times New Roman"/>
          <w:sz w:val="20"/>
        </w:rPr>
        <w:t>Document Intelligence Systems (DIS) process semi-structured administrative documents across financial, legal, and educational domains. In higher education administration, verifying academic degree certificates, semester marksheets, official transcripts, and student identity cards is essential for automated admissions processing, credit transfers, and credential authentication.</w:t>
      </w:r>
    </w:p>
    <w:p>
      <w:pPr>
        <w:spacing w:before="40" w:after="80" w:line="276" w:lineRule="auto"/>
      </w:pPr>
      <w:r>
        <w:rPr>
          <w:rFonts w:ascii="Times New Roman" w:hAnsi="Times New Roman"/>
          <w:sz w:val="20"/>
        </w:rPr>
        <w:t>Despite recent advances in Large Language Models (LLMs) and Vision-Language Models (VLMs), benchmarking document extraction algorithms on academic records presents three fundamental methodological obstacles:</w:t>
      </w:r>
    </w:p>
    <w:p>
      <w:pPr>
        <w:spacing w:before="20" w:after="40"/>
        <w:ind w:left="360"/>
      </w:pPr>
      <w:r>
        <w:rPr>
          <w:rFonts w:ascii="Times New Roman" w:hAnsi="Times New Roman"/>
          <w:b/>
          <w:sz w:val="20"/>
        </w:rPr>
        <w:t xml:space="preserve">1. </w:t>
      </w:r>
      <w:r>
        <w:rPr>
          <w:rFonts w:ascii="Times New Roman" w:hAnsi="Times New Roman"/>
          <w:b/>
          <w:sz w:val="20"/>
        </w:rPr>
        <w:t>Privacy &amp; Statutory Regulatory Barriers</w:t>
      </w:r>
      <w:r>
        <w:rPr>
          <w:rFonts w:ascii="Times New Roman" w:hAnsi="Times New Roman"/>
          <w:sz w:val="20"/>
        </w:rPr>
        <w:t>: Statutory regulations—such as the Family Educational Rights and Privacy Act (FERPA) in the United States and the General Data Protection Regulation (GDPR) in the European Union—prohibit the public distribution of authentic student academic records containing personally identifiable information (PII).</w:t>
      </w:r>
    </w:p>
    <w:p>
      <w:pPr>
        <w:spacing w:before="20" w:after="40"/>
        <w:ind w:left="360"/>
      </w:pPr>
      <w:r>
        <w:rPr>
          <w:rFonts w:ascii="Times New Roman" w:hAnsi="Times New Roman"/>
          <w:b/>
          <w:sz w:val="20"/>
        </w:rPr>
        <w:t xml:space="preserve">2. </w:t>
      </w:r>
      <w:r>
        <w:rPr>
          <w:rFonts w:ascii="Times New Roman" w:hAnsi="Times New Roman"/>
          <w:b/>
          <w:sz w:val="20"/>
        </w:rPr>
        <w:t>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w:t>
      </w:r>
    </w:p>
    <w:p>
      <w:pPr>
        <w:spacing w:before="20" w:after="40"/>
        <w:ind w:left="360"/>
      </w:pPr>
      <w:r>
        <w:rPr>
          <w:rFonts w:ascii="Times New Roman" w:hAnsi="Times New Roman"/>
          <w:b/>
          <w:sz w:val="20"/>
        </w:rPr>
        <w:t xml:space="preserve">3. </w:t>
      </w:r>
      <w:r>
        <w:rPr>
          <w:rFonts w:ascii="Times New Roman" w:hAnsi="Times New Roman"/>
          <w:b/>
          <w:sz w:val="20"/>
        </w:rPr>
        <w:t>Superficial Formatting Discrepancies</w:t>
      </w:r>
      <w:r>
        <w:rPr>
          <w:rFonts w:ascii="Times New Roman" w:hAnsi="Times New Roman"/>
          <w:sz w:val="20"/>
        </w:rPr>
        <w:t>: Standard string comparison metrics (e.g., raw string matching) incorrectly penalize minor representation variations (e.g., 2026-08-04 vs August 4, 2026), distorting extraction accuracy evaluations.</w:t>
      </w:r>
    </w:p>
    <w:p>
      <w:pPr>
        <w:spacing w:before="40" w:after="80" w:line="276" w:lineRule="auto"/>
      </w:pPr>
      <w:r>
        <w:rPr>
          <w:rFonts w:ascii="Times New Roman" w:hAnsi="Times New Roman"/>
          <w:sz w:val="20"/>
        </w:rPr>
        <w: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w:t>
      </w:r>
    </w:p>
    <w:p>
      <w:pPr>
        <w:keepNext/>
        <w:spacing w:before="200" w:after="80"/>
      </w:pPr>
      <w:r>
        <w:rPr>
          <w:rFonts w:ascii="Times New Roman" w:hAnsi="Times New Roman"/>
          <w:b/>
          <w:color w:val="333333"/>
          <w:sz w:val="23"/>
        </w:rPr>
        <w:t>1.2 Research Objectives</w:t>
      </w:r>
    </w:p>
    <w:p>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Specifically, we focus on:</w:t>
      </w:r>
    </w:p>
    <w:p>
      <w:pPr>
        <w:pStyle w:val="ListBullet"/>
        <w:spacing w:before="20" w:after="40"/>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pPr>
        <w:pStyle w:val="ListBullet"/>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pPr>
        <w:pStyle w:val="ListBullet"/>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pPr>
        <w:keepNext/>
        <w:spacing w:before="200" w:after="80"/>
      </w:pPr>
      <w:r>
        <w:rPr>
          <w:rFonts w:ascii="Times New Roman" w:hAnsi="Times New Roman"/>
          <w:b/>
          <w:color w:val="333333"/>
          <w:sz w:val="23"/>
        </w:rPr>
        <w:t>1.3 Main Research Contributions</w:t>
      </w:r>
    </w:p>
    <w:p>
      <w:pPr>
        <w:spacing w:before="40" w:after="80" w:line="276" w:lineRule="auto"/>
      </w:pPr>
      <w:r>
        <w:rPr>
          <w:rFonts w:ascii="Times New Roman" w:hAnsi="Times New Roman"/>
          <w:sz w:val="20"/>
        </w:rPr>
        <w:t>The primary contributions of this work are summarized as follows:</w:t>
      </w:r>
    </w:p>
    <w:p>
      <w:pPr>
        <w:spacing w:before="20" w:after="40"/>
        <w:ind w:left="360"/>
      </w:pPr>
      <w:r>
        <w:rPr>
          <w:rFonts w:ascii="Times New Roman" w:hAnsi="Times New Roman"/>
          <w:b/>
          <w:sz w:val="20"/>
        </w:rPr>
        <w:t xml:space="preserve">1. </w:t>
      </w:r>
      <w:r>
        <w:rPr>
          <w:rFonts w:ascii="Times New Roman" w:hAnsi="Times New Roman"/>
          <w:b/>
          <w:sz w:val="20"/>
        </w:rPr>
        <w:t>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w:t>
      </w:r>
    </w:p>
    <w:p>
      <w:pPr>
        <w:spacing w:before="20" w:after="40"/>
        <w:ind w:left="360"/>
      </w:pPr>
      <w:r>
        <w:rPr>
          <w:rFonts w:ascii="Times New Roman" w:hAnsi="Times New Roman"/>
          <w:b/>
          <w:sz w:val="20"/>
        </w:rPr>
        <w:t xml:space="preserve">2. </w:t>
      </w:r>
      <w:r>
        <w:rPr>
          <w:rFonts w:ascii="Times New Roman" w:hAnsi="Times New Roman"/>
          <w:b/>
          <w:sz w:val="20"/>
        </w:rPr>
        <w:t>AU DIC Evaluation Subsystem</w:t>
      </w:r>
      <w:r>
        <w:rPr>
          <w:rFonts w:ascii="Times New Roman" w:hAnsi="Times New Roman"/>
          <w:sz w:val="20"/>
        </w:rPr>
        <w:t>: A decoupled, strictly read-only benchmark execution engine that evaluates document processing pipelines without modifying production data stores.</w:t>
      </w:r>
    </w:p>
    <w:p>
      <w:pPr>
        <w:spacing w:before="20" w:after="40"/>
        <w:ind w:left="360"/>
      </w:pPr>
      <w:r>
        <w:rPr>
          <w:rFonts w:ascii="Times New Roman" w:hAnsi="Times New Roman"/>
          <w:b/>
          <w:sz w:val="20"/>
        </w:rPr>
        <w:t xml:space="preserve">3. </w:t>
      </w:r>
      <w:r>
        <w:rPr>
          <w:rFonts w:ascii="Times New Roman" w:hAnsi="Times New Roman"/>
          <w:b/>
          <w:sz w:val="20"/>
        </w:rPr>
        <w:t>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w:t>
      </w:r>
    </w:p>
    <w:p>
      <w:pPr>
        <w:spacing w:before="20" w:after="40"/>
        <w:ind w:left="360"/>
      </w:pPr>
      <w:r>
        <w:rPr>
          <w:rFonts w:ascii="Times New Roman" w:hAnsi="Times New Roman"/>
          <w:b/>
          <w:sz w:val="20"/>
        </w:rPr>
        <w:t xml:space="preserve">4. </w:t>
      </w:r>
      <w:r>
        <w:rPr>
          <w:rFonts w:ascii="Times New Roman" w:hAnsi="Times New Roman"/>
          <w:b/>
          <w:sz w:val="20"/>
        </w:rPr>
        <w:t>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w:t>
      </w:r>
    </w:p>
    <w:p>
      <w:pPr>
        <w:spacing w:before="20" w:after="40"/>
        <w:ind w:left="360"/>
      </w:pPr>
      <w:r>
        <w:rPr>
          <w:rFonts w:ascii="Times New Roman" w:hAnsi="Times New Roman"/>
          <w:b/>
          <w:sz w:val="20"/>
        </w:rPr>
        <w:t xml:space="preserve">5. </w:t>
      </w:r>
      <w:r>
        <w:rPr>
          <w:rFonts w:ascii="Times New Roman" w:hAnsi="Times New Roman"/>
          <w:b/>
          <w:sz w:val="20"/>
        </w:rPr>
        <w:t>Quality Profile Robustness Framework</w:t>
      </w:r>
      <w:r>
        <w:rPr>
          <w:rFonts w:ascii="Times New Roman" w:hAnsi="Times New Roman"/>
          <w:sz w:val="20"/>
        </w:rPr>
        <w:t>: A systematic evaluation matrix measuring extraction decay across four standardized optical profiles (clean, scanner_copy, mobile_camera, rotated_90).</w:t>
      </w:r>
    </w:p>
    <w:p>
      <w:pPr>
        <w:keepNext/>
        <w:spacing w:before="200" w:after="80"/>
      </w:pPr>
      <w:r>
        <w:rPr>
          <w:rFonts w:ascii="Times New Roman" w:hAnsi="Times New Roman"/>
          <w:b/>
          <w:color w:val="333333"/>
          <w:sz w:val="23"/>
        </w:rPr>
        <w:t>1.4 Scientific Novelty Statement</w:t>
      </w:r>
    </w:p>
    <w:p>
      <w:pPr>
        <w:spacing w:before="40" w:after="80" w:line="276" w:lineRule="auto"/>
      </w:pPr>
      <w:r>
        <w:rPr>
          <w:rFonts w:ascii="Times New Roman" w:hAnsi="Times New Roman"/>
          <w:sz w:val="20"/>
        </w:rPr>
        <w: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w:t>
      </w:r>
    </w:p>
    <w:p>
      <w:pPr>
        <w:spacing w:before="40" w:after="80" w:line="276" w:lineRule="auto"/>
      </w:pPr>
      <w:r>
        <w:rPr>
          <w:rFonts w:ascii="Times New Roman" w:hAnsi="Times New Roman"/>
          <w:sz w:val="20"/>
        </w:rPr>
        <w:t>The primary scientific contribution of this work lies in establishing a standardized evaluation methodology for Document Intelligence Systems (DIS) operating in administrative credential domains where authentic student records are statutorily restricted. Previous benchmark contributions in document analysis (e.g., SROIE, CORD, FUNSD, DocVQA) evaluate models on static document collections. In contrast, academic credential evaluation requires resolving statutory privacy constraints while insulating performance metrics from superficial representation variations.</w:t>
      </w:r>
    </w:p>
    <w:p>
      <w:pPr>
        <w:spacing w:before="40" w:after="80" w:line="276" w:lineRule="auto"/>
      </w:pPr>
      <w:r>
        <w:rPr>
          <w:rFonts w:ascii="Times New Roman" w:hAnsi="Times New Roman"/>
          <w:sz w:val="20"/>
        </w:rPr>
        <w:t>By integrating five interdependent methodological components—seed-deterministic synthetic rendering, multi-profile optical degradation, decoupled read-only execution, multi-stage semantic canonicalization, and a structured diagnostic error taxonomy—into a single protocol, this work establishes a reproducible foundation to evaluate classical OCR engines, Large Language Models (LLMs), and Vision-Language Models (VLMs) under controlled experimental conditions.</w:t>
      </w:r>
    </w:p>
    <w:p>
      <w:pPr>
        <w:keepNext/>
        <w:spacing w:before="200" w:after="80"/>
      </w:pPr>
      <w:r>
        <w:rPr>
          <w:rFonts w:ascii="Times New Roman" w:hAnsi="Times New Roman"/>
          <w:b/>
          <w:color w:val="333333"/>
          <w:sz w:val="23"/>
        </w:rPr>
        <w:t>1.5 Paper Organization</w:t>
      </w:r>
    </w:p>
    <w:p>
      <w:pPr>
        <w:spacing w:before="40" w:after="80" w:line="276" w:lineRule="auto"/>
      </w:pPr>
      <w:r>
        <w:rPr>
          <w:rFonts w:ascii="Times New Roman" w:hAnsi="Times New Roman"/>
          <w:sz w:val="20"/>
        </w:rPr>
        <w: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2. Related Work</w:t>
      </w:r>
    </w:p>
    <w:p>
      <w:pPr>
        <w:keepNext/>
        <w:spacing w:before="200" w:after="80"/>
      </w:pPr>
      <w:r>
        <w:rPr>
          <w:rFonts w:ascii="Times New Roman" w:hAnsi="Times New Roman"/>
          <w:b/>
          <w:color w:val="333333"/>
          <w:sz w:val="23"/>
        </w:rPr>
        <w:t>2.1 Foundational Document AI Models &amp; Benchmarks (Historical Context)</w:t>
      </w:r>
    </w:p>
    <w:p>
      <w:pPr>
        <w:spacing w:before="40" w:after="80" w:line="276" w:lineRule="auto"/>
      </w:pPr>
      <w:r>
        <w:rPr>
          <w:rFonts w:ascii="Times New Roman" w:hAnsi="Times New Roman"/>
          <w:sz w:val="20"/>
        </w:rPr>
        <w:t>Early research in Document Artificial Intelligence (Document AI) focused primarily on static scanned administrative forms, business invoices, and commercial receipts. Foundational benchmark datasets established core evaluation paradigms:</w:t>
      </w:r>
    </w:p>
    <w:p>
      <w:pPr>
        <w:pStyle w:val="ListBullet"/>
        <w:spacing w:before="20" w:after="40"/>
      </w:pPr>
      <w:r>
        <w:rPr>
          <w:rFonts w:ascii="Times New Roman" w:hAnsi="Times New Roman"/>
          <w:b/>
          <w:sz w:val="20"/>
        </w:rPr>
        <w:t>Receipt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(Huang et al., 2019) and </w:t>
      </w:r>
      <w:r>
        <w:rPr>
          <w:rFonts w:ascii="Times New Roman" w:hAnsi="Times New Roman"/>
          <w:b/>
          <w:sz w:val="20"/>
        </w:rPr>
        <w:t>CORD</w:t>
      </w:r>
      <w:r>
        <w:rPr>
          <w:rFonts w:ascii="Times New Roman" w:hAnsi="Times New Roman"/>
          <w:sz w:val="20"/>
        </w:rPr>
        <w:t xml:space="preserve"> (Park et al., 2019) introduced key-value extraction tasks for point-of-sale receipt images.</w:t>
      </w:r>
    </w:p>
    <w:p>
      <w:pPr>
        <w:pStyle w:val="ListBullet"/>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(Jaume et al., 2019) provided entity-level spatial relationship annotations for scanned administrative forms.</w:t>
      </w:r>
    </w:p>
    <w:p>
      <w:pPr>
        <w:pStyle w:val="ListBullet"/>
        <w:spacing w:before="20" w:after="40"/>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(Mathew et al., 2021) established visual question answering across mixed industry document images.</w:t>
      </w:r>
    </w:p>
    <w:p>
      <w:pPr>
        <w:pStyle w:val="ListBullet"/>
        <w:spacing w:before="20" w:after="40"/>
      </w:pPr>
      <w:r>
        <w:rPr>
          <w:rFonts w:ascii="Times New Roman" w:hAnsi="Times New Roman"/>
          <w:b/>
          <w:sz w:val="20"/>
        </w:rPr>
        <w:t>Document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(Harley et al., 2015) benchmarked document image classification across 16 administrative categories.</w:t>
      </w:r>
    </w:p>
    <w:p>
      <w:pPr>
        <w:spacing w:before="40" w:after="80" w:line="276" w:lineRule="auto"/>
      </w:pPr>
      <w:r>
        <w:rPr>
          <w:rFonts w:ascii="Times New Roman" w:hAnsi="Times New Roman"/>
          <w:sz w:val="20"/>
        </w:rPr>
        <w:t xml:space="preserve">To process these document datasets, early multimodal architectures integrated visual features, OCR text, and spatial layout coordinates. </w:t>
      </w:r>
      <w:r>
        <w:rPr>
          <w:rFonts w:ascii="Times New Roman" w:hAnsi="Times New Roman"/>
          <w:b/>
          <w:sz w:val="20"/>
        </w:rPr>
        <w:t>LayoutLMv3</w:t>
      </w:r>
      <w:r>
        <w:rPr>
          <w:rFonts w:ascii="Times New Roman" w:hAnsi="Times New Roman"/>
          <w:sz w:val="20"/>
        </w:rPr>
        <w:t xml:space="preserve"> (Huang et al., 2022) introduced unified text and image masking to capture multi-modal field alignment. Subsequently, OCR-free architectures such as </w:t>
      </w:r>
      <w:r>
        <w:rPr>
          <w:rFonts w:ascii="Times New Roman" w:hAnsi="Times New Roman"/>
          <w:b/>
          <w:sz w:val="20"/>
        </w:rPr>
        <w:t>Donut</w:t>
      </w:r>
      <w:r>
        <w:rPr>
          <w:rFonts w:ascii="Times New Roman" w:hAnsi="Times New Roman"/>
          <w:sz w:val="20"/>
        </w:rPr>
        <w:t xml:space="preserve"> (Kim et al., 2022) and sequence-to-sequence transformers such as </w:t>
      </w:r>
      <w:r>
        <w:rPr>
          <w:rFonts w:ascii="Times New Roman" w:hAnsi="Times New Roman"/>
          <w:b/>
          <w:sz w:val="20"/>
        </w:rPr>
        <w:t>TrOCR</w:t>
      </w:r>
      <w:r>
        <w:rPr>
          <w:rFonts w:ascii="Times New Roman" w:hAnsi="Times New Roman"/>
          <w:sz w:val="20"/>
        </w:rPr>
        <w:t xml:space="preserve"> (Li et al., 2023) mapped document images directly to text outputs without explicit OCR bounding-box dependencies. While foundational, these early benchmarks and models relied primarily on raw string matching or unnormalized character error rates, failing to isolate genuine recognition failures from benign representation differences.</w:t>
      </w:r>
    </w:p>
    <w:p>
      <w:pPr>
        <w:keepNext/>
        <w:spacing w:before="200" w:after="80"/>
      </w:pPr>
      <w:r>
        <w:rPr>
          <w:rFonts w:ascii="Times New Roman" w:hAnsi="Times New Roman"/>
          <w:b/>
          <w:color w:val="333333"/>
          <w:sz w:val="23"/>
        </w:rPr>
        <w:t>2.2 Modern Vision-Language Models &amp; Multimodal Document Intelligence (2025–2026 Advances)</w:t>
      </w:r>
    </w:p>
    <w:p>
      <w:pPr>
        <w:spacing w:before="40" w:after="80" w:line="276" w:lineRule="auto"/>
      </w:pPr>
      <w:r>
        <w:rPr>
          <w:rFonts w:ascii="Times New Roman" w:hAnsi="Times New Roman"/>
          <w:sz w:val="20"/>
        </w:rPr>
        <w:t>Recent advances in Large Multimodal Models (LMMs) and Vision-Language Models (VLMs) have significantly transformed document understanding by enabling end-to-end page comprehension without modular OCR pipelines:</w:t>
      </w:r>
    </w:p>
    <w:p>
      <w:pPr>
        <w:pStyle w:val="ListBullet"/>
        <w:spacing w:before="20" w:after="40"/>
      </w:pPr>
      <w:r>
        <w:rPr>
          <w:rFonts w:ascii="Times New Roman" w:hAnsi="Times New Roman"/>
          <w:b/>
          <w:sz w:val="20"/>
        </w:rPr>
        <w:t>Unified Vision Representation</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(Xiao et al., 2024) established sequence-to-sequence visual task learning, mapping spatial bounding boxes directly to fine-grained text tokens.</w:t>
      </w:r>
    </w:p>
    <w:p>
      <w:pPr>
        <w:pStyle w:val="ListBullet"/>
        <w:spacing w:before="20" w:after="40"/>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(Hu et al., 2025) introduced crop-based structural image embeddings and visual sequence compression to process high-resolution document pages without losing small text legibility.</w:t>
      </w:r>
    </w:p>
    <w:p>
      <w:pPr>
        <w:pStyle w:val="ListBullet"/>
        <w:spacing w:before="20" w:after="40"/>
      </w:pPr>
      <w:r>
        <w:rPr>
          <w:rFonts w:ascii="Times New Roman" w:hAnsi="Times New Roman"/>
          <w:b/>
          <w:sz w:val="20"/>
        </w:rPr>
        <w:t>Dynamic Resolution Vision Transformers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(Wang et al., 2025) implemented dynamic resolution NaViT encoders, allowing vision transformers to process document images at native aspect ratios and variable pixel resolutions.</w:t>
      </w:r>
    </w:p>
    <w:p>
      <w:pPr>
        <w:pStyle w:val="ListBullet"/>
        <w:spacing w:before="20" w:after="40"/>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(Liu et al., 2025) addressed high-resolution tokenization bottlenecks by introducing cross-window attention mechanisms and token compression for document image parsing.</w:t>
      </w:r>
    </w:p>
    <w:p>
      <w:pPr>
        <w:pStyle w:val="ListBullet"/>
        <w:spacing w:before="20" w:after="40"/>
      </w:pPr>
      <w:r>
        <w:rPr>
          <w:rFonts w:ascii="Times New Roman" w:hAnsi="Times New Roman"/>
          <w:b/>
          <w:sz w:val="20"/>
        </w:rPr>
        <w:t>Layout-Aware Large Multimodal Models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(Xu et al., 2025) integrated explicit spatial layout instruction tuning into open-weight LLMs for structured key-value field extraction, while </w:t>
      </w:r>
      <w:r>
        <w:rPr>
          <w:rFonts w:ascii="Times New Roman" w:hAnsi="Times New Roman"/>
          <w:b/>
          <w:sz w:val="20"/>
        </w:rPr>
        <w:t>UDOP-v2</w:t>
      </w:r>
      <w:r>
        <w:rPr>
          <w:rFonts w:ascii="Times New Roman" w:hAnsi="Times New Roman"/>
          <w:sz w:val="20"/>
        </w:rPr>
        <w:t xml:space="preserve"> (Ye et al., 2025) and </w:t>
      </w:r>
      <w:r>
        <w:rPr>
          <w:rFonts w:ascii="Times New Roman" w:hAnsi="Times New Roman"/>
          <w:b/>
          <w:sz w:val="20"/>
        </w:rPr>
        <w:t>LLaVA-NeXT-Doc</w:t>
      </w:r>
      <w:r>
        <w:rPr>
          <w:rFonts w:ascii="Times New Roman" w:hAnsi="Times New Roman"/>
          <w:sz w:val="20"/>
        </w:rPr>
        <w:t xml:space="preserve"> (Li et al., 2025) established universal document pretraining across vision, text, and layout channels.</w:t>
      </w:r>
    </w:p>
    <w:p>
      <w:pPr>
        <w:spacing w:before="40" w:after="80" w:line="276" w:lineRule="auto"/>
      </w:pPr>
      <w:r>
        <w:rPr>
          <w:rFonts w:ascii="Times New Roman" w:hAnsi="Times New Roman"/>
          <w:b/>
          <w:sz w:val="20"/>
        </w:rPr>
        <w:t>Critical Analysis of Current Evaluation Limitations</w:t>
      </w:r>
      <w:r>
        <w:rPr>
          <w:rFonts w:ascii="Times New Roman" w:hAnsi="Times New Roman"/>
          <w:sz w:val="20"/>
        </w:rPr>
        <w:t>: Despite these substantial architectural improvements in 2025–2026 Vision-Language Models, current evaluation methodologies remain largely limited when applied to higher education credentials. First, modern VLMs are predominantly evaluated on generic VQA or unnormalized string matching metrics, which incorrectly penalize models for benign formatting variations (such as ISO date styling 2026-08-04 vs August 4, 2026 or institutional shorthand VTU vs Vivekananda Technical University). Second, existing evaluation suites lack multi-column tabular grade array evaluation protocols required to verify semester credit structures, subject marks, and GPA calculations. Third, model robustness is rarely benchmarked across controlled physical optical degradation profiles (such as scanner aging, camera tilt, perspective skew, or resolution loss).</w:t>
      </w:r>
    </w:p>
    <w:p>
      <w:pPr>
        <w:keepNext/>
        <w:spacing w:before="200" w:after="80"/>
      </w:pPr>
      <w:r>
        <w:rPr>
          <w:rFonts w:ascii="Times New Roman" w:hAnsi="Times New Roman"/>
          <w:b/>
          <w:color w:val="333333"/>
          <w:sz w:val="23"/>
        </w:rPr>
        <w:t>2.3 Synthetic Document Generation &amp; Comparative Benchmark Analysis</w:t>
      </w:r>
    </w:p>
    <w:p>
      <w:pPr>
        <w:spacing w:before="40" w:after="80" w:line="276" w:lineRule="auto"/>
      </w:pPr>
      <w:r>
        <w:rPr>
          <w:rFonts w:ascii="Times New Roman" w:hAnsi="Times New Roman"/>
          <w:sz w:val="20"/>
        </w:rPr>
        <w:t>To address data access restrictions imposed by student educational privacy regulations (such as FERPA in the United States and GDPR in the European Union), synthetic dataset generation has emerged as a key data availability solution. Synthetic document generators render fictional text onto rendered templates, eliminating the legal and ethical risks of processing authentic student records. ADBG v1.0 advances synthetic document generation for higher education credentials by combining Typst vector PDF compilation with 14 physical optical degradation operators, rendering synthetic specimens under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w:t>
      </w:r>
    </w:p>
    <w:p>
      <w:pPr>
        <w:spacing w:before="40" w:after="80" w:line="276" w:lineRule="auto"/>
      </w:pPr>
      <w:r>
        <w:rPr>
          <w:rFonts w:ascii="Times New Roman" w:hAnsi="Times New Roman"/>
          <w:sz w:val="20"/>
        </w:rPr>
        <w:t>Table 0 presents an objective, comprehensive comparative matrix contrasting ADBG v1.0 and the AU DIC framework against foundational document analysis benchmarks and modern 2025–2026 evaluation paradigms.</w:t>
      </w:r>
    </w:p>
    <w:p>
      <w:pPr>
        <w:keepNext/>
        <w:spacing w:before="80" w:after="160"/>
        <w:jc w:val="center"/>
      </w:pPr>
      <w:r>
        <w:rPr>
          <w:rFonts w:ascii="Times New Roman" w:hAnsi="Times New Roman"/>
          <w:b/>
          <w:color w:val="003366"/>
          <w:sz w:val="19"/>
        </w:rPr>
        <w:t>Table 0: Comprehensive Comparative Matrix of Document Intelligence Benchmarks &amp; Evaluation Paradigms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170"/>
        <w:gridCol w:w="1170"/>
        <w:gridCol w:w="1170"/>
        <w:gridCol w:w="1170"/>
        <w:gridCol w:w="1170"/>
        <w:gridCol w:w="1170"/>
        <w:gridCol w:w="1170"/>
        <w:gridCol w:w="1170"/>
      </w:tblGrid>
      <w:tr>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Benchmark / Model Paradigm</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Publication Year</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Document Domain</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Fully Synthetic Data</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Tabular Grade Array Support</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Controlled Quality Degradation Matrix</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Semantic Canonical Normalization</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Academic Credentials Domain</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RVL-CDIP</w:t>
            </w:r>
            <w:r>
              <w:rPr>
                <w:rFonts w:ascii="Times New Roman" w:hAnsi="Times New Roman"/>
                <w:sz w:val="18"/>
              </w:rPr>
              <w:t xml:space="preserve"> (Harley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2015</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General Business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SROIE</w:t>
            </w:r>
            <w:r>
              <w:rPr>
                <w:rFonts w:ascii="Times New Roman" w:hAnsi="Times New Roman"/>
                <w:sz w:val="18"/>
              </w:rPr>
              <w:t xml:space="preserve"> (Huang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2019</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Commercial Receipts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CORD</w:t>
            </w:r>
            <w:r>
              <w:rPr>
                <w:rFonts w:ascii="Times New Roman" w:hAnsi="Times New Roman"/>
                <w:sz w:val="18"/>
              </w:rPr>
              <w:t xml:space="preserve"> (Park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2019</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Scanned Receipts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 (Anonymized)</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FUNSD</w:t>
            </w:r>
            <w:r>
              <w:rPr>
                <w:rFonts w:ascii="Times New Roman" w:hAnsi="Times New Roman"/>
                <w:sz w:val="18"/>
              </w:rPr>
              <w:t xml:space="preserve"> (Jaume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2019</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Noise Forms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Static Noise</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DocVQA</w:t>
            </w:r>
            <w:r>
              <w:rPr>
                <w:rFonts w:ascii="Times New Roman" w:hAnsi="Times New Roman"/>
                <w:sz w:val="18"/>
              </w:rPr>
              <w:t xml:space="preserve"> (Mathew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2021</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Mixed Documents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LayoutLMv3</w:t>
            </w:r>
            <w:r>
              <w:rPr>
                <w:rFonts w:ascii="Times New Roman" w:hAnsi="Times New Roman"/>
                <w:sz w:val="18"/>
              </w:rPr>
              <w:t xml:space="preserve"> (Huang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2022</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Business Forms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 (Mixed)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Donut</w:t>
            </w:r>
            <w:r>
              <w:rPr>
                <w:rFonts w:ascii="Times New Roman" w:hAnsi="Times New Roman"/>
                <w:sz w:val="18"/>
              </w:rPr>
              <w:t xml:space="preserve"> (Kim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2022</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Receipts &amp; Forms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Synthetic Text</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Florence-2</w:t>
            </w:r>
            <w:r>
              <w:rPr>
                <w:rFonts w:ascii="Times New Roman" w:hAnsi="Times New Roman"/>
                <w:sz w:val="18"/>
              </w:rPr>
              <w:t xml:space="preserve"> (Xiao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2024</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General Vision-Text</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Synthetic/Natural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DocOwl 2.0</w:t>
            </w:r>
            <w:r>
              <w:rPr>
                <w:rFonts w:ascii="Times New Roman" w:hAnsi="Times New Roman"/>
                <w:sz w:val="18"/>
              </w:rPr>
              <w:t xml:space="preserve"> (Hu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2025</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General Documents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Synthetic Text</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Qwen2-VL</w:t>
            </w:r>
            <w:r>
              <w:rPr>
                <w:rFonts w:ascii="Times New Roman" w:hAnsi="Times New Roman"/>
                <w:sz w:val="18"/>
              </w:rPr>
              <w:t xml:space="preserve"> (Wang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2025</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Multimodal Pages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Mixed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ADBG v1.0 / AU DIC (Ours)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2026</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Academic Credentials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(100% Synthetic)</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(Semester Arrays)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(4 Profiles)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(6 Stages)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(Certificates/Mark-sheets)</w:t>
            </w:r>
          </w:p>
        </w:tc>
      </w:tr>
    </w:tbl>
    <w:p>
      <w:pPr>
        <w:spacing w:after="120"/>
      </w:pPr>
    </w:p>
    <w:p>
      <w:pPr>
        <w:keepNext/>
        <w:spacing w:before="200" w:after="80"/>
      </w:pPr>
      <w:r>
        <w:rPr>
          <w:rFonts w:ascii="Times New Roman" w:hAnsi="Times New Roman"/>
          <w:b/>
          <w:color w:val="333333"/>
          <w:sz w:val="23"/>
        </w:rPr>
        <w:t>2.4 Summary of Research Gap &amp; Methodological Motivation</w:t>
      </w:r>
    </w:p>
    <w:p>
      <w:pPr>
        <w:spacing w:before="40" w:after="80" w:line="276" w:lineRule="auto"/>
      </w:pPr>
      <w:r>
        <w:rPr>
          <w:rFonts w:ascii="Times New Roman" w:hAnsi="Times New Roman"/>
          <w:sz w:val="20"/>
        </w:rPr>
        <w:t>Despite recent advances in 2025–2026 multimodal Document AI architectures and benchmark datasets, several critical challenges remain insufficiently addressed for academic credential document intelligence: (1) the absence of publicly available, reproducible academic credential datasets due to statutory student record restrictions; (2) the lack of standardized, controlled optical degradation benchmarking matrices; (3) the absence of a domain-specific semantic canonical normalization layer to isolate true extraction failures from benign representation differences; and (4) the lack of a structured diagnostic OCR error taxonomy. These observations directly motivate the integrated benchmarking methodology presented</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3. Proposed Methodology</w:t>
      </w:r>
    </w:p>
    <w:p>
      <w:pPr>
        <w:keepNext/>
        <w:spacing w:before="200" w:after="80"/>
      </w:pPr>
      <w:r>
        <w:rPr>
          <w:rFonts w:ascii="Times New Roman" w:hAnsi="Times New Roman"/>
          <w:b/>
          <w:color w:val="333333"/>
          <w:sz w:val="23"/>
        </w:rPr>
        <w:t>3.1 Overall Framework Architecture</w:t>
      </w:r>
    </w:p>
    <w:p>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and the </w:t>
      </w:r>
      <w:r>
        <w:rPr>
          <w:rFonts w:ascii="Times New Roman" w:hAnsi="Times New Roman"/>
          <w:b/>
          <w:sz w:val="20"/>
        </w:rPr>
        <w:t>AU DIC Benchmark Subsystem</w:t>
      </w:r>
      <w:r>
        <w:rPr>
          <w:rFonts w:ascii="Times New Roman" w:hAnsi="Times New Roman"/>
          <w:sz w:val="20"/>
        </w:rPr>
        <w:t xml:space="preserve"> (read-only evaluation framework).</w:t>
      </w:r>
    </w:p>
    <w:p>
      <w:pPr>
        <w:spacing w:before="160" w:after="80"/>
        <w:jc w:val="center"/>
      </w:pPr>
      <w:r>
        <w:drawing>
          <wp:inline xmlns:a="http://schemas.openxmlformats.org/drawingml/2006/main" xmlns:pic="http://schemas.openxmlformats.org/drawingml/2006/picture">
            <wp:extent cx="5943600" cy="2476500"/>
            <wp:docPr id="1" name="Picture 1"/>
            <wp:cNvGraphicFramePr>
              <a:graphicFrameLocks noChangeAspect="1"/>
            </wp:cNvGraphicFramePr>
            <a:graphic>
              <a:graphicData uri="http://schemas.openxmlformats.org/drawingml/2006/picture">
                <pic:pic>
                  <pic:nvPicPr>
                    <pic:cNvPr id="0" name="figure1_system_architecture.png"/>
                    <pic:cNvPicPr/>
                  </pic:nvPicPr>
                  <pic:blipFill>
                    <a:blip r:embed="rId10"/>
                    <a:stretch>
                      <a:fillRect/>
                    </a:stretch>
                  </pic:blipFill>
                  <pic:spPr>
                    <a:xfrm>
                      <a:off x="0" y="0"/>
                      <a:ext cx="5943600" cy="2476500"/>
                    </a:xfrm>
                    <a:prstGeom prst="rect"/>
                  </pic:spPr>
                </pic:pic>
              </a:graphicData>
            </a:graphic>
          </wp:inline>
        </w:drawing>
      </w:r>
    </w:p>
    <w:p>
      <w:pPr>
        <w:spacing w:after="160"/>
        <w:jc w:val="center"/>
      </w:pPr>
      <w:r>
        <w:rPr>
          <w:rFonts w:ascii="Times New Roman" w:hAnsi="Times New Roman"/>
          <w:b/>
          <w:color w:val="003366"/>
          <w:sz w:val="19"/>
        </w:rPr>
        <w:t>Fig. 1. Decoupled System Architecture of the ADBG Synthetic Generation and AU DIC Evaluation Subsystems.</w:t>
      </w:r>
    </w:p>
    <w:p>
      <w:pPr>
        <w:spacing w:before="40" w:after="80" w:line="276" w:lineRule="auto"/>
      </w:pPr>
      <w:r>
        <w:rPr>
          <w:rFonts w:ascii="Times New Roman" w:hAnsi="Times New Roman"/>
          <w:sz w:val="20"/>
        </w:rPr>
        <w:t>Figure 2 summarizes the complete methodological workflow adopted in this study, beginning with deterministic synthetic document generation and concluding with statistical evaluation and publication-ready artifact generation.</w:t>
      </w:r>
    </w:p>
    <w:p>
      <w:pPr>
        <w:spacing w:before="160" w:after="80"/>
        <w:jc w:val="center"/>
      </w:pPr>
      <w:r>
        <w:drawing>
          <wp:inline xmlns:a="http://schemas.openxmlformats.org/drawingml/2006/main" xmlns:pic="http://schemas.openxmlformats.org/drawingml/2006/picture">
            <wp:extent cx="5943600" cy="11022718"/>
            <wp:docPr id="2" name="Picture 2"/>
            <wp:cNvGraphicFramePr>
              <a:graphicFrameLocks noChangeAspect="1"/>
            </wp:cNvGraphicFramePr>
            <a:graphic>
              <a:graphicData uri="http://schemas.openxmlformats.org/drawingml/2006/picture">
                <pic:pic>
                  <pic:nvPicPr>
                    <pic:cNvPr id="0" name="methodology_workflow_600dpi.png"/>
                    <pic:cNvPicPr/>
                  </pic:nvPicPr>
                  <pic:blipFill>
                    <a:blip r:embed="rId11"/>
                    <a:stretch>
                      <a:fillRect/>
                    </a:stretch>
                  </pic:blipFill>
                  <pic:spPr>
                    <a:xfrm>
                      <a:off x="0" y="0"/>
                      <a:ext cx="5943600" cy="11022718"/>
                    </a:xfrm>
                    <a:prstGeom prst="rect"/>
                  </pic:spPr>
                </pic:pic>
              </a:graphicData>
            </a:graphic>
          </wp:inline>
        </w:drawing>
      </w:r>
    </w:p>
    <w:p>
      <w:pPr>
        <w:spacing w:after="160"/>
        <w:jc w:val="center"/>
      </w:pPr>
      <w:r>
        <w:rPr>
          <w:rFonts w:ascii="Times New Roman" w:hAnsi="Times New Roman"/>
          <w:b/>
          <w:color w:val="003366"/>
          <w:sz w:val="19"/>
        </w:rPr>
        <w:t>Fig. 2. End-to-End Methodological Workflow of the Proposed AU DIC Benchmark Evaluation Framework.</w:t>
      </w:r>
    </w:p>
    <w:p>
      <w:pPr>
        <w:keepNext/>
        <w:spacing w:before="200" w:after="80"/>
      </w:pPr>
      <w:r>
        <w:rPr>
          <w:rFonts w:ascii="Times New Roman" w:hAnsi="Times New Roman"/>
          <w:b/>
          <w:color w:val="333333"/>
          <w:sz w:val="23"/>
        </w:rPr>
        <w:t>3.2 ADBG Synthetic Benchmark Generation</w:t>
      </w:r>
    </w:p>
    <w:p>
      <w:pPr>
        <w:keepNext/>
        <w:spacing w:before="160" w:after="40"/>
      </w:pPr>
      <w:r>
        <w:rPr>
          <w:rFonts w:ascii="Times New Roman" w:hAnsi="Times New Roman"/>
          <w:b/>
          <w:i/>
          <w:sz w:val="21"/>
        </w:rPr>
        <w:t>3.2.1 Seed-Deterministic Profile Generation</w:t>
      </w:r>
    </w:p>
    <w:p>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w:t>
      </w:r>
    </w:p>
    <w:p>
      <w:pPr>
        <w:spacing w:before="0" w:after="0"/>
        <w:jc w:val="center"/>
      </w:pPr>
      <m:oMathPara>
        <m:oMath>
          <m:r>
            <w:rPr>
              <w:rFonts w:ascii="Cambria Math" w:hAnsi="Cambria Math"/>
            </w:rPr>
            <m:t>D</m:t>
          </m:r>
          <m:r>
            <w:rPr>
              <w:rFonts w:ascii="Cambria Math" w:hAnsi="Cambria Math"/>
            </w:rPr>
            <m:t>o</m:t>
          </m:r>
          <m:r>
            <w:rPr>
              <w:rFonts w:ascii="Cambria Math" w:hAnsi="Cambria Math"/>
            </w:rPr>
            <m:t>c</m:t>
          </m:r>
          <m:r>
            <w:rPr>
              <w:rFonts w:ascii="Cambria Math" w:hAnsi="Cambria Math"/>
            </w:rPr>
            <m:t>u</m:t>
          </m:r>
          <m:r>
            <w:rPr>
              <w:rFonts w:ascii="Cambria Math" w:hAnsi="Cambria Math"/>
            </w:rPr>
            <m:t>m</m:t>
          </m:r>
          <m:r>
            <w:rPr>
              <w:rFonts w:ascii="Cambria Math" w:hAnsi="Cambria Math"/>
            </w:rPr>
            <m:t>e</m:t>
          </m:r>
          <m:r>
            <w:rPr>
              <w:rFonts w:ascii="Cambria Math" w:hAnsi="Cambria Math"/>
            </w:rPr>
            <m:t>n</m:t>
          </m:r>
          <m:r>
            <w:rPr>
              <w:rFonts w:ascii="Cambria Math" w:hAnsi="Cambria Math"/>
            </w:rPr>
            <m:t>t</m:t>
          </m:r>
          <m:r>
            <w:rPr>
              <w:rFonts w:ascii="Cambria Math" w:hAnsi="Cambria Math"/>
            </w:rPr>
            <m:t>S</m:t>
          </m:r>
          <m:r>
            <w:rPr>
              <w:rFonts w:ascii="Cambria Math" w:hAnsi="Cambria Math"/>
            </w:rPr>
            <m:t>p</m:t>
          </m:r>
          <m:r>
            <w:rPr>
              <w:rFonts w:ascii="Cambria Math" w:hAnsi="Cambria Math"/>
            </w:rPr>
            <m:t>e</m:t>
          </m:r>
          <m:r>
            <w:rPr>
              <w:rFonts w:ascii="Cambria Math" w:hAnsi="Cambria Math"/>
            </w:rPr>
            <m:t>c</m:t>
          </m:r>
          <m:r>
            <w:rPr>
              <w:rFonts w:ascii="Cambria Math" w:hAnsi="Cambria Math"/>
            </w:rPr>
            <m:t>i</m:t>
          </m:r>
          <m:r>
            <w:rPr>
              <w:rFonts w:ascii="Cambria Math" w:hAnsi="Cambria Math"/>
            </w:rPr>
            <m:t>m</m:t>
          </m:r>
          <m:r>
            <w:rPr>
              <w:rFonts w:ascii="Cambria Math" w:hAnsi="Cambria Math"/>
            </w:rPr>
            <m:t>e</m:t>
          </m:r>
          <m:r>
            <w:rPr>
              <w:rFonts w:ascii="Cambria Math" w:hAnsi="Cambria Math"/>
            </w:rPr>
            <m:t>n</m:t>
          </m:r>
          <m:r>
            <w:rPr>
              <w:rFonts w:ascii="Cambria Math" w:hAnsi="Cambria Math"/>
            </w:rPr>
            <m:t>=</m:t>
          </m:r>
          <m:r>
            <w:rPr>
              <w:rFonts w:ascii="Cambria Math" w:hAnsi="Cambria Math"/>
            </w:rPr>
            <m:t>G</m:t>
          </m:r>
          <m:r>
            <w:rPr>
              <w:rFonts w:ascii="Cambria Math" w:hAnsi="Cambria Math"/>
            </w:rPr>
            <m:t>(</m:t>
          </m:r>
          <m:r>
            <w:rPr>
              <w:rFonts w:ascii="Times New Roman" w:hAnsi="Times New Roman"/>
              <w:i w:val="0"/>
            </w:rPr>
            <m:t>Seed</m:t>
          </m:r>
          <m:r>
            <w:rPr>
              <w:rFonts w:ascii="Cambria Math" w:hAnsi="Cambria Math"/>
            </w:rPr>
            <m:t>,</m:t>
          </m:r>
          <m:r>
            <w:rPr>
              <w:rFonts w:ascii="Times New Roman" w:hAnsi="Times New Roman"/>
              <w:i w:val="0"/>
            </w:rPr>
            <m:t>Category</m:t>
          </m:r>
          <m:r>
            <w:rPr>
              <w:rFonts w:ascii="Cambria Math" w:hAnsi="Cambria Math"/>
            </w:rPr>
            <m:t>,</m:t>
          </m:r>
          <m:r>
            <w:rPr>
              <w:rFonts w:ascii="Times New Roman" w:hAnsi="Times New Roman"/>
              <w:i w:val="0"/>
            </w:rPr>
            <m:t>Profile</m:t>
          </m:r>
          <m:r>
            <w:rPr>
              <w:rFonts w:ascii="Cambria Math" w:hAnsi="Cambria Math"/>
            </w:rPr>
            <m:t>)</m:t>
          </m:r>
        </m:oMath>
      </m:oMathPara>
    </w:p>
    <w:p>
      <w:pPr>
        <w:keepNext/>
        <w:spacing w:before="160" w:after="40"/>
      </w:pPr>
      <w:r>
        <w:rPr>
          <w:rFonts w:ascii="Times New Roman" w:hAnsi="Times New Roman"/>
          <w:b/>
          <w:i/>
          <w:sz w:val="21"/>
        </w:rPr>
        <w:t>3.2.2 Template Compilation Engine</w:t>
      </w:r>
    </w:p>
    <w:p>
      <w:pPr>
        <w:spacing w:before="40" w:after="80" w:line="276" w:lineRule="auto"/>
      </w:pPr>
      <w:r>
        <w:rPr>
          <w:rFonts w:ascii="Times New Roman" w:hAnsi="Times New Roman"/>
          <w:sz w:val="20"/>
        </w:rPr>
        <w:t>The generator utilizes a Typst vector compilation backend (TypstCompilerAdapter) to render high-resolution academic documents. Three primary document categories are supported:</w:t>
      </w:r>
    </w:p>
    <w:p>
      <w:pPr>
        <w:spacing w:before="20" w:after="40"/>
        <w:ind w:left="360"/>
      </w:pPr>
      <w:r>
        <w:rPr>
          <w:rFonts w:ascii="Times New Roman" w:hAnsi="Times New Roman"/>
          <w:b/>
          <w:sz w:val="20"/>
        </w:rPr>
        <w:t xml:space="preserve">1. </w:t>
      </w:r>
      <w:r>
        <w:rPr>
          <w:rFonts w:ascii="Times New Roman" w:hAnsi="Times New Roman"/>
          <w:b/>
          <w:sz w:val="20"/>
        </w:rPr>
        <w:t>Academic Certificates</w:t>
      </w:r>
      <w:r>
        <w:rPr>
          <w:rFonts w:ascii="Times New Roman" w:hAnsi="Times New Roman"/>
          <w:sz w:val="20"/>
        </w:rPr>
        <w:t>: Degree awards, honor certificates, and course completion diplomas.</w:t>
      </w:r>
    </w:p>
    <w:p>
      <w:pPr>
        <w:spacing w:before="20" w:after="40"/>
        <w:ind w:left="360"/>
      </w:pPr>
      <w:r>
        <w:rPr>
          <w:rFonts w:ascii="Times New Roman" w:hAnsi="Times New Roman"/>
          <w:b/>
          <w:sz w:val="20"/>
        </w:rPr>
        <w:t xml:space="preserve">2. </w:t>
      </w:r>
      <w:r>
        <w:rPr>
          <w:rFonts w:ascii="Times New Roman" w:hAnsi="Times New Roman"/>
          <w:b/>
          <w:sz w:val="20"/>
        </w:rPr>
        <w:t>Academic Marksheets</w:t>
      </w:r>
      <w:r>
        <w:rPr>
          <w:rFonts w:ascii="Times New Roman" w:hAnsi="Times New Roman"/>
          <w:sz w:val="20"/>
        </w:rPr>
        <w:t>: Semester grade reports featuring multi-column subject arrays (Course Code, Subject Name, Credits, Grade Point, Letter Grade, SGPA/CGPA).</w:t>
      </w:r>
    </w:p>
    <w:p>
      <w:pPr>
        <w:spacing w:before="20" w:after="40"/>
        <w:ind w:left="360"/>
      </w:pPr>
      <w:r>
        <w:rPr>
          <w:rFonts w:ascii="Times New Roman" w:hAnsi="Times New Roman"/>
          <w:b/>
          <w:sz w:val="20"/>
        </w:rPr>
        <w:t xml:space="preserve">3. </w:t>
      </w:r>
      <w:r>
        <w:rPr>
          <w:rFonts w:ascii="Times New Roman" w:hAnsi="Times New Roman"/>
          <w:b/>
          <w:sz w:val="20"/>
        </w:rPr>
        <w:t>Student ID Cards</w:t>
      </w:r>
      <w:r>
        <w:rPr>
          <w:rFonts w:ascii="Times New Roman" w:hAnsi="Times New Roman"/>
          <w:sz w:val="20"/>
        </w:rPr>
        <w:t>: Institutional identity cards containing student photographs, enrollment numbers, program titles, and issuing authority signatures.</w:t>
      </w:r>
    </w:p>
    <w:p>
      <w:pPr>
        <w:keepNext/>
        <w:spacing w:before="160" w:after="40"/>
      </w:pPr>
      <w:r>
        <w:rPr>
          <w:rFonts w:ascii="Times New Roman" w:hAnsi="Times New Roman"/>
          <w:b/>
          <w:i/>
          <w:sz w:val="21"/>
        </w:rPr>
        <w:t>3.2.3 Optical Degradation Pipeline</w:t>
      </w:r>
    </w:p>
    <w:p>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w:t>
      </w:r>
    </w:p>
    <w:p>
      <w:pPr>
        <w:spacing w:before="0" w:after="0"/>
        <w:jc w:val="center"/>
      </w:pPr>
      <m:oMathPara>
        <m:oMath>
          <m:sSub>
            <m:e>
              <m:r>
                <w:rPr>
                  <w:rFonts w:ascii="Cambria Math" w:hAnsi="Cambria Math"/>
                </w:rPr>
                <m:t>I</m:t>
              </m:r>
            </m:e>
            <m:sub>
              <m:r>
                <w:rPr>
                  <w:rFonts w:ascii="Times New Roman" w:hAnsi="Times New Roman"/>
                  <w:i w:val="0"/>
                </w:rPr>
                <m:t>degraded</m:t>
              </m:r>
            </m:sub>
          </m:sSub>
          <m:r>
            <w:rPr>
              <w:rFonts w:ascii="Cambria Math" w:hAnsi="Cambria Math"/>
            </w:rPr>
            <m:t>=</m:t>
          </m:r>
          <m:sSub>
            <m:e>
              <m:r>
                <w:rPr>
                  <w:rFonts w:ascii="Cambria Math" w:hAnsi="Cambria Math"/>
                </w:rPr>
                <m:t>D</m:t>
              </m:r>
            </m:e>
            <m:sub>
              <m:r>
                <w:rPr>
                  <w:rFonts w:ascii="Times New Roman" w:hAnsi="Times New Roman"/>
                  <w:i w:val="0"/>
                </w:rPr>
                <m:t>rotation</m:t>
              </m:r>
            </m:sub>
          </m:sSub>
          <m:r>
            <w:rPr>
              <w:rFonts w:ascii="Cambria Math" w:hAnsi="Cambria Math"/>
            </w:rPr>
            <m:t>∘</m:t>
          </m:r>
          <m:sSub>
            <m:e>
              <m:r>
                <w:rPr>
                  <w:rFonts w:ascii="Cambria Math" w:hAnsi="Cambria Math"/>
                </w:rPr>
                <m:t>D</m:t>
              </m:r>
            </m:e>
            <m:sub>
              <m:r>
                <w:rPr>
                  <w:rFonts w:ascii="Times New Roman" w:hAnsi="Times New Roman"/>
                  <w:i w:val="0"/>
                </w:rPr>
                <m:t>contrast</m:t>
              </m:r>
            </m:sub>
          </m:sSub>
          <m:r>
            <w:rPr>
              <w:rFonts w:ascii="Cambria Math" w:hAnsi="Cambria Math"/>
            </w:rPr>
            <m:t>∘</m:t>
          </m:r>
          <m:sSub>
            <m:e>
              <m:r>
                <w:rPr>
                  <w:rFonts w:ascii="Cambria Math" w:hAnsi="Cambria Math"/>
                </w:rPr>
                <m:t>D</m:t>
              </m:r>
            </m:e>
            <m:sub>
              <m:r>
                <w:rPr>
                  <w:rFonts w:ascii="Times New Roman" w:hAnsi="Times New Roman"/>
                  <w:i w:val="0"/>
                </w:rPr>
                <m:t>gaussian</m:t>
              </m:r>
            </m:sub>
          </m:sSub>
          <m:r>
            <w:rPr>
              <w:rFonts w:ascii="Cambria Math" w:hAnsi="Cambria Math"/>
            </w:rPr>
            <m:t>∘</m:t>
          </m:r>
          <m:sSub>
            <m:e>
              <m:r>
                <w:rPr>
                  <w:rFonts w:ascii="Cambria Math" w:hAnsi="Cambria Math"/>
                </w:rPr>
                <m:t>D</m:t>
              </m:r>
            </m:e>
            <m:sub>
              <m:r>
                <w:rPr>
                  <w:rFonts w:ascii="Times New Roman" w:hAnsi="Times New Roman"/>
                  <w:i w:val="0"/>
                </w:rPr>
                <m:t>blur</m:t>
              </m:r>
            </m:sub>
          </m:sSub>
          <m:r>
            <w:rPr>
              <w:rFonts w:ascii="Cambria Math" w:hAnsi="Cambria Math"/>
            </w:rPr>
            <m:t>(</m:t>
          </m:r>
          <m:sSub>
            <m:e>
              <m:r>
                <w:rPr>
                  <w:rFonts w:ascii="Cambria Math" w:hAnsi="Cambria Math"/>
                </w:rPr>
                <m:t>I</m:t>
              </m:r>
            </m:e>
            <m:sub>
              <m:r>
                <w:rPr>
                  <w:rFonts w:ascii="Times New Roman" w:hAnsi="Times New Roman"/>
                  <w:i w:val="0"/>
                </w:rPr>
                <m:t>clean</m:t>
              </m:r>
            </m:sub>
          </m:sSub>
          <m:r>
            <w:rPr>
              <w:rFonts w:ascii="Cambria Math" w:hAnsi="Cambria Math"/>
            </w:rPr>
            <m:t>)</m:t>
          </m:r>
        </m:oMath>
      </m:oMathPara>
    </w:p>
    <w:p>
      <w:pPr>
        <w:spacing w:before="40" w:after="80" w:line="276" w:lineRule="auto"/>
      </w:pPr>
      <w:r>
        <w:rPr>
          <w:rFonts w:ascii="Times New Roman" w:hAnsi="Times New Roman"/>
          <w:sz w:val="20"/>
        </w:rPr>
        <w:t>Four standard quality profiles are instantiated in AU_DIC_Benchmark_v1.0:</w:t>
      </w:r>
    </w:p>
    <w:p>
      <w:pPr>
        <w:pStyle w:val="ListBullet"/>
        <w:spacing w:before="20" w:after="40"/>
      </w:pPr>
      <w:r>
        <w:rPr>
          <w:rFonts w:ascii="Times New Roman" w:hAnsi="Times New Roman"/>
          <w:b/>
          <w:sz w:val="20"/>
        </w:rPr>
        <w:t>clean</w:t>
      </w:r>
      <w:r>
        <w:rPr>
          <w:rFonts w:ascii="Times New Roman" w:hAnsi="Times New Roman"/>
          <w:sz w:val="20"/>
        </w:rPr>
        <w:t>: Pristine vector-rendered digital PDF exports (0% degradation).</w:t>
      </w:r>
    </w:p>
    <w:p>
      <w:pPr>
        <w:pStyle w:val="ListBullet"/>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pPr>
        <w:pStyle w:val="ListBullet"/>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pPr>
        <w:pStyle w:val="ListBullet"/>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pPr>
        <w:keepNext/>
        <w:spacing w:before="200" w:after="80"/>
      </w:pPr>
      <w:r>
        <w:rPr>
          <w:rFonts w:ascii="Times New Roman" w:hAnsi="Times New Roman"/>
          <w:b/>
          <w:color w:val="333333"/>
          <w:sz w:val="23"/>
        </w:rPr>
        <w:t>3.3 AU DIC Evaluation Framework Subsystem</w:t>
      </w:r>
    </w:p>
    <w:p>
      <w:pPr>
        <w:spacing w:before="40" w:after="80" w:line="276" w:lineRule="auto"/>
      </w:pPr>
      <w:r>
        <w:rPr>
          <w:rFonts w:ascii="Times New Roman" w:hAnsi="Times New Roman"/>
          <w:sz w:val="20"/>
        </w:rPr>
        <w:t>The benchmark runner (BenchmarkRunner) operates strictly in read-only mode (isReadOnly: true). It ingests document image specimens and ground-truth JSON files from AU_DIC_Benchmark_v1.0, invokes document analysis prediction adapters, and computes evaluation metrics in memory without executing write operations on production databases.</w:t>
      </w:r>
    </w:p>
    <w:p>
      <w:pPr>
        <w:keepNext/>
        <w:spacing w:before="200" w:after="80"/>
      </w:pPr>
      <w:r>
        <w:rPr>
          <w:rFonts w:ascii="Times New Roman" w:hAnsi="Times New Roman"/>
          <w:b/>
          <w:color w:val="333333"/>
          <w:sz w:val="23"/>
        </w:rPr>
        <w:t>3.4 Six-Stage Semantic Canonical Normalization Layer</w:t>
      </w:r>
    </w:p>
    <w:p>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To isolate genuine recognition failures, the framework routes predicted and expected string values through a six-stage semantic normalizer (CanonicalNormalizer):</w:t>
      </w:r>
    </w:p>
    <w:p>
      <w:pPr>
        <w:spacing w:before="20" w:after="40"/>
        <w:ind w:left="360"/>
      </w:pPr>
      <w:r>
        <w:rPr>
          <w:rFonts w:ascii="Times New Roman" w:hAnsi="Times New Roman"/>
          <w:b/>
          <w:sz w:val="20"/>
        </w:rPr>
        <w:t xml:space="preserve">1. </w:t>
      </w:r>
      <w:r>
        <w:rPr>
          <w:rFonts w:ascii="Times New Roman" w:hAnsi="Times New Roman"/>
          <w:b/>
          <w:sz w:val="20"/>
        </w:rPr>
        <w:t>Stage 1: Case &amp; Whitespace Normalization</w:t>
      </w:r>
      <w:r>
        <w:rPr>
          <w:rFonts w:ascii="Times New Roman" w:hAnsi="Times New Roman"/>
          <w:sz w:val="20"/>
        </w:rPr>
        <w:t>: Converts characters to lower-case, trims leading/trailing whitespace, and collapses multiple internal space characters into single spaces.</w:t>
      </w:r>
    </w:p>
    <w:p>
      <w:pPr>
        <w:spacing w:before="20" w:after="40"/>
        <w:ind w:left="360"/>
      </w:pPr>
      <w:r>
        <w:rPr>
          <w:rFonts w:ascii="Times New Roman" w:hAnsi="Times New Roman"/>
          <w:b/>
          <w:sz w:val="20"/>
        </w:rPr>
        <w:t xml:space="preserve">2. </w:t>
      </w:r>
      <w:r>
        <w:rPr>
          <w:rFonts w:ascii="Times New Roman" w:hAnsi="Times New Roman"/>
          <w:b/>
          <w:sz w:val="20"/>
        </w:rPr>
        <w:t>Stage 2: ISO Date Canonicalization</w:t>
      </w:r>
      <w:r>
        <w:rPr>
          <w:rFonts w:ascii="Times New Roman" w:hAnsi="Times New Roman"/>
          <w:sz w:val="20"/>
        </w:rPr>
        <w:t>: Standardizes diverse date formats (04/08/2026, August 4, 2026, 2026.08.04) into ISO-8601 string representations (YYYY-MM-DD).</w:t>
      </w:r>
    </w:p>
    <w:p>
      <w:pPr>
        <w:spacing w:before="20" w:after="40"/>
        <w:ind w:left="360"/>
      </w:pPr>
      <w:r>
        <w:rPr>
          <w:rFonts w:ascii="Times New Roman" w:hAnsi="Times New Roman"/>
          <w:b/>
          <w:sz w:val="20"/>
        </w:rPr>
        <w:t xml:space="preserve">3. </w:t>
      </w:r>
      <w:r>
        <w:rPr>
          <w:rFonts w:ascii="Times New Roman" w:hAnsi="Times New Roman"/>
          <w:b/>
          <w:sz w:val="20"/>
        </w:rPr>
        <w:t>Stage 3: Identifier Canonicalization</w:t>
      </w:r>
      <w:r>
        <w:rPr>
          <w:rFonts w:ascii="Times New Roman" w:hAnsi="Times New Roman"/>
          <w:sz w:val="20"/>
        </w:rPr>
        <w:t>: Strips non-alphanumeric separator characters (hyphens, slashes, spaces) from candidate roll numbers and registration IDs.</w:t>
      </w:r>
    </w:p>
    <w:p>
      <w:pPr>
        <w:spacing w:before="20" w:after="40"/>
        <w:ind w:left="360"/>
      </w:pPr>
      <w:r>
        <w:rPr>
          <w:rFonts w:ascii="Times New Roman" w:hAnsi="Times New Roman"/>
          <w:b/>
          <w:sz w:val="20"/>
        </w:rPr>
        <w:t xml:space="preserve">4. </w:t>
      </w:r>
      <w:r>
        <w:rPr>
          <w:rFonts w:ascii="Times New Roman" w:hAnsi="Times New Roman"/>
          <w:b/>
          <w:sz w:val="20"/>
        </w:rPr>
        <w:t>Stage 4: Numerical Precision Standardizer</w:t>
      </w:r>
      <w:r>
        <w:rPr>
          <w:rFonts w:ascii="Times New Roman" w:hAnsi="Times New Roman"/>
          <w:sz w:val="20"/>
        </w:rPr>
        <w:t>: Parses floating-point marks, SGPA/CGPA values, and percentages, formatting numeric values to fixed two-decimal precision.</w:t>
      </w:r>
    </w:p>
    <w:p>
      <w:pPr>
        <w:spacing w:before="20" w:after="40"/>
        <w:ind w:left="360"/>
      </w:pPr>
      <w:r>
        <w:rPr>
          <w:rFonts w:ascii="Times New Roman" w:hAnsi="Times New Roman"/>
          <w:b/>
          <w:sz w:val="20"/>
        </w:rPr>
        <w:t xml:space="preserve">5. </w:t>
      </w:r>
      <w:r>
        <w:rPr>
          <w:rFonts w:ascii="Times New Roman" w:hAnsi="Times New Roman"/>
          <w:b/>
          <w:sz w:val="20"/>
        </w:rPr>
        <w:t>Stage 5: Institutional Alias Mapping</w:t>
      </w:r>
      <w:r>
        <w:rPr>
          <w:rFonts w:ascii="Times New Roman" w:hAnsi="Times New Roman"/>
          <w:sz w:val="20"/>
        </w:rPr>
        <w:t xml:space="preserve">: Maps common university name abbreviations (e.g., MIT </w:t>
      </w:r>
      <m:oMath>
        <m:r>
          <w:rPr>
            <w:rFonts w:ascii="Cambria Math" w:hAnsi="Cambria Math"/>
          </w:rPr>
          <m:t>→</m:t>
        </m:r>
      </m:oMath>
      <w:r>
        <w:rPr>
          <w:rFonts w:ascii="Times New Roman" w:hAnsi="Times New Roman"/>
          <w:sz w:val="20"/>
        </w:rPr>
        <w:t xml:space="preserve"> Massachusetts Institute of Technology) using an institutional lexicon directory.</w:t>
      </w:r>
    </w:p>
    <w:p>
      <w:pPr>
        <w:spacing w:before="20" w:after="40"/>
        <w:ind w:left="360"/>
      </w:pPr>
      <w:r>
        <w:rPr>
          <w:rFonts w:ascii="Times New Roman" w:hAnsi="Times New Roman"/>
          <w:b/>
          <w:sz w:val="20"/>
        </w:rPr>
        <w:t xml:space="preserve">6. </w:t>
      </w:r>
      <w:r>
        <w:rPr>
          <w:rFonts w:ascii="Times New Roman" w:hAnsi="Times New Roman"/>
          <w:b/>
          <w:sz w:val="20"/>
        </w:rPr>
        <w:t>Stage 6: Canonical Honorific Removal</w:t>
      </w:r>
      <w:r>
        <w:rPr>
          <w:rFonts w:ascii="Times New Roman" w:hAnsi="Times New Roman"/>
          <w:sz w:val="20"/>
        </w:rPr>
        <w:t>: Removes standard honorific prefixes (Mr., Ms., Dr., Prof.) prior to candidate name comparison.</w:t>
      </w:r>
    </w:p>
    <w:p>
      <w:pPr>
        <w:keepNext/>
        <w:spacing w:before="200" w:after="80"/>
      </w:pPr>
      <w:r>
        <w:rPr>
          <w:rFonts w:ascii="Times New Roman" w:hAnsi="Times New Roman"/>
          <w:b/>
          <w:color w:val="333333"/>
          <w:sz w:val="23"/>
        </w:rPr>
        <w:t>3.5 Nine-Class Structured OCR Error Taxonomy</w:t>
      </w:r>
    </w:p>
    <w:p>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w:t>
      </w:r>
    </w:p>
    <w:p>
      <w:pPr>
        <w:spacing w:before="0" w:after="0"/>
        <w:jc w:val="center"/>
      </w:pPr>
      <m:oMathPara>
        <m:oMath>
          <m:r>
            <w:rPr>
              <w:rFonts w:ascii="Cambria Math" w:hAnsi="Cambria Math"/>
            </w:rPr>
            <m:t>E</m:t>
          </m:r>
          <m:r>
            <w:rPr>
              <w:rFonts w:ascii="Cambria Math" w:hAnsi="Cambria Math"/>
            </w:rPr>
            <m:t>r</m:t>
          </m:r>
          <m:r>
            <w:rPr>
              <w:rFonts w:ascii="Cambria Math" w:hAnsi="Cambria Math"/>
            </w:rPr>
            <m:t>r</m:t>
          </m:r>
          <m:r>
            <w:rPr>
              <w:rFonts w:ascii="Cambria Math" w:hAnsi="Cambria Math"/>
            </w:rPr>
            <m:t>o</m:t>
          </m:r>
          <m:r>
            <w:rPr>
              <w:rFonts w:ascii="Cambria Math" w:hAnsi="Cambria Math"/>
            </w:rPr>
            <m:t>r</m:t>
          </m:r>
          <m:r>
            <w:rPr>
              <w:rFonts w:ascii="Cambria Math" w:hAnsi="Cambria Math"/>
            </w:rPr>
            <m:t>C</m:t>
          </m:r>
          <m:r>
            <w:rPr>
              <w:rFonts w:ascii="Cambria Math" w:hAnsi="Cambria Math"/>
            </w:rPr>
            <m:t>a</m:t>
          </m:r>
          <m:r>
            <w:rPr>
              <w:rFonts w:ascii="Cambria Math" w:hAnsi="Cambria Math"/>
            </w:rPr>
            <m:t>t</m:t>
          </m:r>
          <m:r>
            <w:rPr>
              <w:rFonts w:ascii="Cambria Math" w:hAnsi="Cambria Math"/>
            </w:rPr>
            <m:t>e</m:t>
          </m:r>
          <m:r>
            <w:rPr>
              <w:rFonts w:ascii="Cambria Math" w:hAnsi="Cambria Math"/>
            </w:rPr>
            <m:t>g</m:t>
          </m:r>
          <m:r>
            <w:rPr>
              <w:rFonts w:ascii="Cambria Math" w:hAnsi="Cambria Math"/>
            </w:rPr>
            <m:t>o</m:t>
          </m:r>
          <m:r>
            <w:rPr>
              <w:rFonts w:ascii="Cambria Math" w:hAnsi="Cambria Math"/>
            </w:rPr>
            <m:t>r</m:t>
          </m:r>
          <m:r>
            <w:rPr>
              <w:rFonts w:ascii="Cambria Math" w:hAnsi="Cambria Math"/>
            </w:rPr>
            <m:t>y</m:t>
          </m:r>
          <m:r>
            <w:rPr>
              <w:rFonts w:ascii="Cambria Math" w:hAnsi="Cambria Math"/>
            </w:rPr>
            <m:t>∈</m:t>
          </m:r>
          <m:r>
            <w:rPr>
              <w:rFonts w:ascii="Cambria Math" w:hAnsi="Cambria Math"/>
            </w:rPr>
            <m:t>{</m:t>
          </m:r>
          <m:r>
            <w:rPr>
              <w:rFonts w:ascii="Times New Roman" w:hAnsi="Times New Roman"/>
              <w:i w:val="0"/>
            </w:rPr>
            <m:t>OCR\_ERROR</m:t>
          </m:r>
          <m:r>
            <w:rPr>
              <w:rFonts w:ascii="Cambria Math" w:hAnsi="Cambria Math"/>
            </w:rPr>
            <m:t>,</m:t>
          </m:r>
          <m:r>
            <w:rPr>
              <w:rFonts w:ascii="Times New Roman" w:hAnsi="Times New Roman"/>
              <w:i w:val="0"/>
            </w:rPr>
            <m:t>FIELD\_MISSING</m:t>
          </m:r>
          <m:r>
            <w:rPr>
              <w:rFonts w:ascii="Cambria Math" w:hAnsi="Cambria Math"/>
            </w:rPr>
            <m:t>,</m:t>
          </m:r>
          <m:r>
            <w:rPr>
              <w:rFonts w:ascii="Times New Roman" w:hAnsi="Times New Roman"/>
              <w:i w:val="0"/>
            </w:rPr>
            <m:t>HALLUCINATION</m:t>
          </m:r>
          <m:r>
            <w:rPr>
              <w:rFonts w:ascii="Cambria Math" w:hAnsi="Cambria Math"/>
            </w:rPr>
            <m:t>,</m:t>
          </m:r>
          <m:r>
            <w:rPr>
              <w:rFonts w:ascii="Times New Roman" w:hAnsi="Times New Roman"/>
              <w:i w:val="0"/>
            </w:rPr>
            <m:t>FORMAT\_ERROR</m:t>
          </m:r>
          <m:r>
            <w:rPr>
              <w:rFonts w:ascii="Cambria Math" w:hAnsi="Cambria Math"/>
            </w:rPr>
            <m:t>,</m:t>
          </m:r>
          <m:r>
            <w:rPr>
              <w:rFonts w:ascii="Times New Roman" w:hAnsi="Times New Roman"/>
              <w:i w:val="0"/>
            </w:rPr>
            <m:t>NORMALIZATION\_ERROR</m:t>
          </m:r>
          <m:r>
            <w:rPr>
              <w:rFonts w:ascii="Cambria Math" w:hAnsi="Cambria Math"/>
            </w:rPr>
            <m:t>,</m:t>
          </m:r>
          <m:r>
            <w:rPr>
              <w:rFonts w:ascii="Times New Roman" w:hAnsi="Times New Roman"/>
              <w:i w:val="0"/>
            </w:rPr>
            <m:t>PARTIAL\_MATCH</m:t>
          </m:r>
          <m:r>
            <w:rPr>
              <w:rFonts w:ascii="Cambria Math" w:hAnsi="Cambria Math"/>
            </w:rPr>
            <m:t>,</m:t>
          </m:r>
          <m:r>
            <w:rPr>
              <w:rFonts w:ascii="Times New Roman" w:hAnsi="Times New Roman"/>
              <w:i w:val="0"/>
            </w:rPr>
            <m:t>LOW\_CONFIDENCE</m:t>
          </m:r>
          <m:r>
            <w:rPr>
              <w:rFonts w:ascii="Cambria Math" w:hAnsi="Cambria Math"/>
            </w:rPr>
            <m:t>,</m:t>
          </m:r>
          <m:r>
            <w:rPr>
              <w:rFonts w:ascii="Times New Roman" w:hAnsi="Times New Roman"/>
              <w:i w:val="0"/>
            </w:rPr>
            <m:t>CATEGORY\_ERROR</m:t>
          </m:r>
          <m:r>
            <w:rPr>
              <w:rFonts w:ascii="Cambria Math" w:hAnsi="Cambria Math"/>
            </w:rPr>
            <m:t>,</m:t>
          </m:r>
          <m:r>
            <w:rPr>
              <w:rFonts w:ascii="Times New Roman" w:hAnsi="Times New Roman"/>
              <w:i w:val="0"/>
            </w:rPr>
            <m:t>EXACT\_MATCH</m:t>
          </m:r>
          <m:r>
            <w:rPr>
              <w:rFonts w:ascii="Cambria Math" w:hAnsi="Cambria Math"/>
            </w:rPr>
            <m:t>}</m:t>
          </m:r>
        </m:oMath>
      </m:oMathPara>
    </w:p>
    <w:p>
      <w:pPr>
        <w:keepNext/>
        <w:spacing w:before="160" w:after="40"/>
      </w:pPr>
      <w:r>
        <w:rPr>
          <w:rFonts w:ascii="Times New Roman" w:hAnsi="Times New Roman"/>
          <w:b/>
          <w:i/>
          <w:sz w:val="21"/>
        </w:rPr>
        <w:t>3.5.1 Scientific Definition and Justification of NORMALIZATION_ERROR</w:t>
      </w:r>
    </w:p>
    <w:p>
      <w:pPr>
        <w:spacing w:before="40" w:after="80" w:line="276" w:lineRule="auto"/>
      </w:pPr>
      <w:r>
        <w:rPr>
          <w:rFonts w:ascii="Times New Roman" w:hAnsi="Times New Roman"/>
          <w:sz w:val="20"/>
        </w:rPr>
        <w:t xml:space="preserve">A potential ambiguity in field comparison is distinguishing superficial representation differences from true recognition errors. Specifically, an external reviewer may ask: </w:t>
      </w:r>
      <w:r>
        <w:rPr>
          <w:rFonts w:ascii="Times New Roman" w:hAnsi="Times New Roman"/>
          <w:i/>
          <w:sz w:val="20"/>
        </w:rPr>
        <w:t>"If candidate values still differ after normalization, why is a separate error category necessary instead of treating the mismatch as a generic field failure?"</w:t>
      </w:r>
    </w:p>
    <w:p>
      <w:pPr>
        <w:spacing w:before="40" w:after="80" w:line="276" w:lineRule="auto"/>
      </w:pPr>
      <w:r>
        <w:rPr>
          <w:rFonts w:ascii="Times New Roman" w:hAnsi="Times New Roman"/>
          <w:sz w:val="20"/>
        </w:rPr>
        <w:t xml:space="preserve">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pPr>
        <w:spacing w:before="20" w:after="40"/>
        <w:ind w:left="360"/>
      </w:pPr>
      <w:r>
        <w:rPr>
          <w:rFonts w:ascii="Times New Roman" w:hAnsi="Times New Roman"/>
          <w:b/>
          <w:sz w:val="20"/>
        </w:rPr>
        <w:t xml:space="preserve">1. </w:t>
      </w:r>
      <w:r>
        <w:rPr>
          <w:rFonts w:ascii="Times New Roman" w:hAnsi="Times New Roman"/>
          <w:b/>
          <w:sz w:val="20"/>
        </w:rPr>
        <w:t>Pipeline Traversal</w:t>
      </w:r>
      <w:r>
        <w:rPr>
          <w:rFonts w:ascii="Times New Roman" w:hAnsi="Times New Roman"/>
          <w:sz w:val="20"/>
        </w:rPr>
        <w:t>: The candidate field has successfully passed through the complete six-stage semantic normalization layer (CanonicalNormalizer).</w:t>
      </w:r>
    </w:p>
    <w:p>
      <w:pPr>
        <w:spacing w:before="20" w:after="40"/>
        <w:ind w:left="360"/>
      </w:pPr>
      <w:r>
        <w:rPr>
          <w:rFonts w:ascii="Times New Roman" w:hAnsi="Times New Roman"/>
          <w:b/>
          <w:sz w:val="20"/>
        </w:rPr>
        <w:t xml:space="preserve">2. </w:t>
      </w:r>
      <w:r>
        <w:rPr>
          <w:rFonts w:ascii="Times New Roman" w:hAnsi="Times New Roman"/>
          <w:b/>
          <w:sz w:val="20"/>
        </w:rPr>
        <w:t>Valid Canonical Representations</w:t>
      </w:r>
      <w:r>
        <w:rPr>
          <w:rFonts w:ascii="Times New Roman" w:hAnsi="Times New Roman"/>
          <w:sz w:val="20"/>
        </w:rPr>
        <w:t>: Both Ground Truth (</w:t>
      </w:r>
      <m:oMath>
        <m:sSub>
          <m:e>
            <m:r>
              <w:rPr>
                <w:rFonts w:ascii="Cambria Math" w:hAnsi="Cambria Math"/>
              </w:rPr>
              <m:t>V</m:t>
            </m:r>
          </m:e>
          <m:sub>
            <m:r>
              <w:rPr>
                <w:rFonts w:ascii="Times New Roman" w:hAnsi="Times New Roman"/>
                <w:i w:val="0"/>
              </w:rPr>
              <m:t>GT</m:t>
            </m:r>
          </m:sub>
        </m:sSub>
      </m:oMath>
      <w:r>
        <w:rPr>
          <w:rFonts w:ascii="Times New Roman" w:hAnsi="Times New Roman"/>
          <w:sz w:val="20"/>
        </w:rPr>
        <w:t>) and Prediction (</w:t>
      </w:r>
      <m:oMath>
        <m:acc>
          <m:accPr>
            <m:chr m:val="̂"/>
          </m:accPr>
          <m:e>
            <m:r>
              <w:rPr>
                <w:rFonts w:ascii="Cambria Math" w:hAnsi="Cambria Math"/>
              </w:rPr>
              <m:t>V</m:t>
            </m:r>
          </m:e>
        </m:acc>
      </m:oMath>
      <w:r>
        <w:rPr>
          <w:rFonts w:ascii="Times New Roman" w:hAnsi="Times New Roman"/>
          <w:sz w:val="20"/>
        </w:rPr>
        <w:t>) possess valid, parseable canonical representations.</w:t>
      </w:r>
    </w:p>
    <w:p>
      <w:pPr>
        <w:spacing w:before="20" w:after="40"/>
        <w:ind w:left="360"/>
      </w:pPr>
      <w:r>
        <w:rPr>
          <w:rFonts w:ascii="Times New Roman" w:hAnsi="Times New Roman"/>
          <w:b/>
          <w:sz w:val="20"/>
        </w:rPr>
        <w:t xml:space="preserve">3. </w:t>
      </w:r>
      <w:r>
        <w:rPr>
          <w:rFonts w:ascii="Times New Roman" w:hAnsi="Times New Roman"/>
          <w:b/>
          <w:sz w:val="20"/>
        </w:rPr>
        <w:t>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pPr>
        <w:spacing w:before="20" w:after="40"/>
        <w:ind w:left="360"/>
      </w:pPr>
      <w:r>
        <w:rPr>
          <w:rFonts w:ascii="Times New Roman" w:hAnsi="Times New Roman"/>
          <w:b/>
          <w:sz w:val="20"/>
        </w:rPr>
        <w:t xml:space="preserve">4. </w:t>
      </w:r>
      <w:r>
        <w:rPr>
          <w:rFonts w:ascii="Times New Roman" w:hAnsi="Times New Roman"/>
          <w:b/>
          <w:sz w:val="20"/>
        </w:rPr>
        <w:t>Canonical Discrepancy</w:t>
      </w:r>
      <w:r>
        <w:rPr>
          <w:rFonts w:ascii="Times New Roman" w:hAnsi="Times New Roman"/>
          <w:sz w:val="20"/>
        </w:rPr>
        <w:t>: The canonical representations remain strictly unequal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Cambria Math" w:hAnsi="Cambria Math"/>
          </w:rPr>
          <m:t>≠</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sz w:val="20"/>
        </w:rPr>
        <w:t>).</w:t>
      </w:r>
    </w:p>
    <w:p>
      <w:pPr>
        <w:spacing w:before="20" w:after="40"/>
        <w:ind w:left="360"/>
      </w:pPr>
      <w:r>
        <w:rPr>
          <w:rFonts w:ascii="Times New Roman" w:hAnsi="Times New Roman"/>
          <w:b/>
          <w:sz w:val="20"/>
        </w:rPr>
        <w:t xml:space="preserve">5. </w:t>
      </w:r>
      <w:r>
        <w:rPr>
          <w:rFonts w:ascii="Times New Roman" w:hAnsi="Times New Roman"/>
          <w:b/>
          <w:sz w:val="20"/>
        </w:rPr>
        <w:t>Genuine Semantic Mismatch</w:t>
      </w:r>
      <w:r>
        <w:rPr>
          <w:rFonts w:ascii="Times New Roman" w:hAnsi="Times New Roman"/>
          <w:sz w:val="20"/>
        </w:rPr>
        <w:t>: Consequently, the remaining discrepancy represents a genuine semantic character or value mismatch rather than a formatting variation.</w:t>
      </w:r>
    </w:p>
    <w:p>
      <w:pPr>
        <w:spacing w:before="40" w:after="80" w:line="276" w:lineRule="auto"/>
      </w:pPr>
      <w:r>
        <w:rPr>
          <w:rFonts w:ascii="Times New Roman" w:hAnsi="Times New Roman"/>
          <w:sz w:val="20"/>
        </w:rPr>
        <w:t>The purpose of NORMALIZATION_ERROR is to prevent semantic mismatches from being incorrectly attributed to superficial formatting variations. By evaluating only canonical representations, the benchmark distinguishes genuine information extraction failures from benign representation differences.</w:t>
      </w:r>
    </w:p>
    <w:p>
      <w:pPr>
        <w:keepNext/>
        <w:spacing w:before="160" w:after="40"/>
      </w:pPr>
      <w:r>
        <w:rPr>
          <w:rFonts w:ascii="Times New Roman" w:hAnsi="Times New Roman"/>
          <w:b/>
          <w:i/>
          <w:sz w:val="21"/>
        </w:rPr>
        <w:t>3.5.2 Canonical Comparison Workflow &amp; Non-Overlapping Taxonomy Boundaries</w:t>
      </w:r>
    </w:p>
    <w:p>
      <w:pPr>
        <w:spacing w:before="40" w:after="80" w:line="276" w:lineRule="auto"/>
      </w:pPr>
      <w:r>
        <w:rPr>
          <w:rFonts w:ascii="Times New Roman" w:hAnsi="Times New Roman"/>
          <w:sz w:val="20"/>
        </w:rPr>
        <w:t>To ensure taxonomic independence, each error class maintains a strict, non-overlapping responsibility:</w:t>
      </w:r>
    </w:p>
    <w:p>
      <w:pPr>
        <w:pStyle w:val="ListBullet"/>
        <w:spacing w:before="20" w:after="40"/>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pPr>
        <w:pStyle w:val="ListBullet"/>
        <w:spacing w:before="20" w:after="40"/>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pPr>
        <w:pStyle w:val="ListBullet"/>
        <w:spacing w:before="20" w:after="40"/>
      </w:pPr>
      <w:r>
        <w:rPr>
          <w:rFonts w:ascii="Times New Roman" w:hAnsi="Times New Roman"/>
          <w:b/>
          <w:sz w:val="20"/>
        </w:rPr>
        <w:t>NORMALIZATION_ERROR</w:t>
      </w:r>
      <w:r>
        <w:rPr>
          <w:rFonts w:ascii="Times New Roman" w:hAnsi="Times New Roman"/>
          <w:sz w:val="20"/>
        </w:rPr>
        <w:t>: Both values are normalized, but their canonical representations remain unequal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Cambria Math" w:hAnsi="Cambria Math"/>
          </w:rPr>
          <m:t>≠</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sz w:val="20"/>
        </w:rPr>
        <w:t>), confirming a true semantic extraction mismatch.</w:t>
      </w:r>
    </w:p>
    <w:p>
      <w:pPr>
        <w:pStyle w:val="ListBullet"/>
        <w:spacing w:before="20" w:after="40"/>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w:t>
      </w:r>
    </w:p>
    <w:p>
      <w:pPr>
        <w:pStyle w:val="ListBullet"/>
        <w:spacing w:before="20" w:after="40"/>
      </w:pPr>
      <w:r>
        <w:rPr>
          <w:rFonts w:ascii="Times New Roman" w:hAnsi="Times New Roman"/>
          <w:b/>
          <w:sz w:val="20"/>
        </w:rPr>
        <w:t>FIELD_MISSING</w:t>
      </w:r>
      <w:r>
        <w:rPr>
          <w:rFonts w:ascii="Times New Roman" w:hAnsi="Times New Roman"/>
          <w:sz w:val="20"/>
        </w:rPr>
        <w:t>: Target key entity is entirely absent from the model output JSON payload.</w:t>
      </w:r>
    </w:p>
    <w:p>
      <w:pPr>
        <w:pStyle w:val="ListBullet"/>
        <w:spacing w:before="20" w:after="40"/>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pPr>
        <w:spacing w:before="40" w:after="80" w:line="276" w:lineRule="auto"/>
      </w:pPr>
      <w:r>
        <w:rPr>
          <w:rFonts w:ascii="Times New Roman" w:hAnsi="Times New Roman"/>
          <w:sz w:val="20"/>
        </w:rPr>
        <w:t>Table 0.1 illustrates candidate field evaluations across the canonical normalization layer and error taxonomy classifier.</w:t>
      </w:r>
    </w:p>
    <w:p>
      <w:pPr>
        <w:keepNext/>
        <w:spacing w:before="80" w:after="160"/>
        <w:jc w:val="center"/>
      </w:pPr>
      <w:r>
        <w:rPr>
          <w:rFonts w:ascii="Times New Roman" w:hAnsi="Times New Roman"/>
          <w:b/>
          <w:color w:val="003366"/>
          <w:sz w:val="19"/>
        </w:rPr>
        <w:t>Table 0.1: Canonical Normalization Comparison Examples and Error Categorization</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2340"/>
        <w:gridCol w:w="2340"/>
        <w:gridCol w:w="2340"/>
        <w:gridCol w:w="2340"/>
      </w:tblGrid>
      <w:tr>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Ground Truth (</w:t>
            </w:r>
            <m:oMath>
              <m:sSub>
                <m:e>
                  <m:r>
                    <w:rPr>
                      <w:rFonts w:ascii="Cambria Math" w:hAnsi="Cambria Math"/>
                    </w:rPr>
                    <m:t>V</m:t>
                  </m:r>
                </m:e>
                <m:sub>
                  <m:r>
                    <w:rPr>
                      <w:rFonts w:ascii="Times New Roman" w:hAnsi="Times New Roman"/>
                      <w:i w:val="0"/>
                    </w:rPr>
                    <m:t>GT</m:t>
                  </m:r>
                </m:sub>
              </m:sSub>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Prediction (</w:t>
            </w:r>
            <m:oMath>
              <m:acc>
                <m:accPr>
                  <m:chr m:val="̂"/>
                </m:accPr>
                <m:e>
                  <m:r>
                    <w:rPr>
                      <w:rFonts w:ascii="Cambria Math" w:hAnsi="Cambria Math"/>
                    </w:rPr>
                    <m:t>V</m:t>
                  </m:r>
                </m:e>
              </m:acc>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After Canonical Normalizer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Times New Roman" w:hAnsi="Times New Roman"/>
                  <w:i w:val="0"/>
                </w:rPr>
                <m:t>vs</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Classification Result</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sz w:val="18"/>
              </w:rPr>
              <w:t>04/08/2026</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August 4, 2026</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2026-08-04 == 2026-08-04</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FORMAT_ERROR (Correct)</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sz w:val="18"/>
              </w:rPr>
              <w:t>B.Tech</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Bachelor of Technology</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Bachelor of Technology == Bachelor of Technology</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FORMAT_ERROR (Correct)</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sz w:val="18"/>
              </w:rPr>
              <w:t>VTU</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Delhi University</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 xml:space="preserve">Vivekananda Technical University </w:t>
            </w:r>
            <m:oMath>
              <m:r>
                <w:rPr>
                  <w:rFonts w:ascii="Cambria Math" w:hAnsi="Cambria Math"/>
                </w:rPr>
                <m:t>≠</m:t>
              </m:r>
            </m:oMath>
            <w:r>
              <w:rPr>
                <w:rFonts w:ascii="Times New Roman" w:hAnsi="Times New Roman"/>
                <w:sz w:val="18"/>
              </w:rPr>
              <w:t xml:space="preserve"> Delhi University</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NORMALIZATION_ERROR</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sz w:val="18"/>
              </w:rPr>
              <w:t>2021-IT-00150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2021IT00999</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2021IT00150 </w:t>
            </w:r>
            <m:oMath>
              <m:r>
                <w:rPr>
                  <w:rFonts w:ascii="Cambria Math" w:hAnsi="Cambria Math"/>
                </w:rPr>
                <m:t>≠</m:t>
              </m:r>
            </m:oMath>
            <w:r>
              <w:rPr>
                <w:rFonts w:ascii="Times New Roman" w:hAnsi="Times New Roman"/>
                <w:sz w:val="18"/>
              </w:rPr>
              <w:t xml:space="preserve"> 2021IT00999</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NORMALIZATION_ERROR</w:t>
            </w:r>
          </w:p>
        </w:tc>
      </w:tr>
    </w:tbl>
    <w:p>
      <w:pPr>
        <w:spacing w:after="120"/>
      </w:pP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4. Experimental Setup</w:t>
      </w:r>
    </w:p>
    <w:p>
      <w:pPr>
        <w:keepNext/>
        <w:spacing w:before="200" w:after="80"/>
      </w:pPr>
      <w:r>
        <w:rPr>
          <w:rFonts w:ascii="Times New Roman" w:hAnsi="Times New Roman"/>
          <w:b/>
          <w:color w:val="333333"/>
          <w:sz w:val="23"/>
        </w:rPr>
        <w:t>4.1 Dataset Composition (`AU_DIC_Benchmark_v1.0`)</w:t>
      </w:r>
    </w:p>
    <w:p>
      <w:pPr>
        <w:spacing w:before="40" w:after="80" w:line="276" w:lineRule="auto"/>
      </w:pPr>
      <w:r>
        <w:rPr>
          <w:rFonts w:ascii="Times New Roman" w:hAnsi="Times New Roman"/>
          <w:sz w:val="20"/>
        </w:rPr>
        <w:t xml:space="preserve">The evaluation dataset consists of 360 image specimens (3 document categories </w:t>
      </w:r>
      <m:oMath>
        <m:r>
          <w:rPr>
            <w:rFonts w:ascii="Cambria Math" w:hAnsi="Cambria Math"/>
          </w:rPr>
          <m:t>×</m:t>
        </m:r>
      </m:oMath>
      <w:r>
        <w:rPr>
          <w:rFonts w:ascii="Times New Roman" w:hAnsi="Times New Roman"/>
          <w:sz w:val="20"/>
        </w:rPr>
        <w:t xml:space="preserve"> 30 unique document instances </w:t>
      </w:r>
      <m:oMath>
        <m:r>
          <w:rPr>
            <w:rFonts w:ascii="Cambria Math" w:hAnsi="Cambria Math"/>
          </w:rPr>
          <m:t>×</m:t>
        </m:r>
      </m:oMath>
      <w:r>
        <w:rPr>
          <w:rFonts w:ascii="Times New Roman" w:hAnsi="Times New Roman"/>
          <w:sz w:val="20"/>
        </w:rPr>
        <w:t xml:space="preserve"> 4 quality profiles). Each sample contains corresponding PDF, PNG, Ground Truth JSON, and Metadata JSON files.</w:t>
      </w:r>
    </w:p>
    <w:p>
      <w:pPr>
        <w:keepNext/>
        <w:spacing w:before="200" w:after="80"/>
      </w:pPr>
      <w:r>
        <w:rPr>
          <w:rFonts w:ascii="Times New Roman" w:hAnsi="Times New Roman"/>
          <w:b/>
          <w:color w:val="333333"/>
          <w:sz w:val="23"/>
        </w:rPr>
        <w:t>4.2 Evaluation Protocol</w:t>
      </w:r>
    </w:p>
    <w:p>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In benchmark runs, specimen images and ground truth JSON files are ingested headlessly, invoking prediction adapters (AuDicPredictionAdapter) to compute field-level extraction accuracy metrics without executing write operations on production data stores.</w:t>
      </w:r>
    </w:p>
    <w:p>
      <w:pPr>
        <w:keepNext/>
        <w:spacing w:before="200" w:after="80"/>
      </w:pPr>
      <w:r>
        <w:rPr>
          <w:rFonts w:ascii="Times New Roman" w:hAnsi="Times New Roman"/>
          <w:b/>
          <w:color w:val="333333"/>
          <w:sz w:val="23"/>
        </w:rPr>
        <w:t>4.3 Evaluation Metrics</w:t>
      </w:r>
    </w:p>
    <w:p>
      <w:pPr>
        <w:spacing w:before="40" w:after="80" w:line="276" w:lineRule="auto"/>
      </w:pPr>
      <w:r>
        <w:rPr>
          <w:rFonts w:ascii="Times New Roman" w:hAnsi="Times New Roman"/>
          <w:sz w:val="20"/>
        </w:rPr>
        <w:t>The computed quantitative metrics are defined as follows:</w:t>
      </w:r>
    </w:p>
    <w:p>
      <w:pPr>
        <w:spacing w:before="20" w:after="40"/>
        <w:ind w:left="360"/>
      </w:pPr>
      <w:r>
        <w:rPr>
          <w:rFonts w:ascii="Times New Roman" w:hAnsi="Times New Roman"/>
          <w:b/>
          <w:sz w:val="20"/>
        </w:rPr>
        <w:t xml:space="preserve">1. </w:t>
      </w:r>
      <w:r>
        <w:rPr>
          <w:rFonts w:ascii="Times New Roman" w:hAnsi="Times New Roman"/>
          <w:b/>
          <w:sz w:val="20"/>
        </w:rPr>
        <w:t>Category Classification Accuracy</w:t>
      </w:r>
      <w:r>
        <w:rPr>
          <w:rFonts w:ascii="Times New Roman" w:hAnsi="Times New Roman"/>
          <w:sz w:val="20"/>
        </w:rPr>
        <w:t>: The proportion of specimens where the predicted document category (</w:t>
      </w:r>
      <m:oMath>
        <m:sSub>
          <m:e>
            <m:acc>
              <m:accPr>
                <m:chr m:val="̂"/>
              </m:accPr>
              <m:e>
                <m:r>
                  <w:rPr>
                    <w:rFonts w:ascii="Cambria Math" w:hAnsi="Cambria Math"/>
                  </w:rPr>
                  <m:t>C</m:t>
                </m:r>
              </m:e>
            </m:acc>
          </m:e>
          <m:sub>
            <m:r>
              <w:rPr>
                <w:rFonts w:ascii="Cambria Math" w:hAnsi="Cambria Math"/>
              </w:rPr>
              <m:t>i</m:t>
            </m:r>
          </m:sub>
        </m:sSub>
      </m:oMath>
      <w:r>
        <w:rPr>
          <w:rFonts w:ascii="Times New Roman" w:hAnsi="Times New Roman"/>
          <w:sz w:val="20"/>
        </w:rPr>
        <w:t>) matches the ground truth category (</w:t>
      </w:r>
      <m:oMath>
        <m:sSub>
          <m:e>
            <m:r>
              <w:rPr>
                <w:rFonts w:ascii="Cambria Math" w:hAnsi="Cambria Math"/>
              </w:rPr>
              <m:t>C</m:t>
            </m:r>
          </m:e>
          <m:sub>
            <m:r>
              <w:rPr>
                <w:rFonts w:ascii="Cambria Math" w:hAnsi="Cambria Math"/>
              </w:rPr>
              <m:t>i</m:t>
            </m:r>
          </m:sub>
        </m:sSub>
      </m:oMath>
      <w:r>
        <w:rPr>
          <w:rFonts w:ascii="Times New Roman" w:hAnsi="Times New Roman"/>
          <w:sz w:val="20"/>
        </w:rPr>
        <w:t>):</w:t>
      </w:r>
    </w:p>
    <w:p>
      <w:pPr>
        <w:spacing w:before="0" w:after="0"/>
        <w:jc w:val="center"/>
      </w:pPr>
      <m:oMathPara>
        <m:oMath>
          <m:r>
            <w:rPr>
              <w:rFonts w:ascii="Cambria Math" w:hAnsi="Cambria Math"/>
            </w:rPr>
            <m:t>C</m:t>
          </m:r>
          <m:r>
            <w:rPr>
              <w:rFonts w:ascii="Cambria Math" w:hAnsi="Cambria Math"/>
            </w:rPr>
            <m:t>a</m:t>
          </m:r>
          <m:r>
            <w:rPr>
              <w:rFonts w:ascii="Cambria Math" w:hAnsi="Cambria Math"/>
            </w:rPr>
            <m:t>t</m:t>
          </m:r>
          <m:r>
            <w:rPr>
              <w:rFonts w:ascii="Cambria Math" w:hAnsi="Cambria Math"/>
            </w:rPr>
            <m:t>e</m:t>
          </m:r>
          <m:r>
            <w:rPr>
              <w:rFonts w:ascii="Cambria Math" w:hAnsi="Cambria Math"/>
            </w:rPr>
            <m:t>g</m:t>
          </m:r>
          <m:r>
            <w:rPr>
              <w:rFonts w:ascii="Cambria Math" w:hAnsi="Cambria Math"/>
            </w:rPr>
            <m:t>o</m:t>
          </m:r>
          <m:r>
            <w:rPr>
              <w:rFonts w:ascii="Cambria Math" w:hAnsi="Cambria Math"/>
            </w:rPr>
            <m:t>r</m:t>
          </m:r>
          <m:r>
            <w:rPr>
              <w:rFonts w:ascii="Cambria Math" w:hAnsi="Cambria Math"/>
            </w:rPr>
            <m:t>y</m:t>
          </m:r>
          <m:r>
            <w:rPr>
              <w:rFonts w:ascii="Cambria Math" w:hAnsi="Cambria Math"/>
            </w:rPr>
            <m:t>A</m:t>
          </m:r>
          <m:r>
            <w:rPr>
              <w:rFonts w:ascii="Cambria Math" w:hAnsi="Cambria Math"/>
            </w:rPr>
            <m:t>c</m:t>
          </m:r>
          <m:r>
            <w:rPr>
              <w:rFonts w:ascii="Cambria Math" w:hAnsi="Cambria Math"/>
            </w:rPr>
            <m:t>c</m:t>
          </m:r>
          <m:r>
            <w:rPr>
              <w:rFonts w:ascii="Cambria Math" w:hAnsi="Cambria Math"/>
            </w:rPr>
            <m:t>u</m:t>
          </m:r>
          <m:r>
            <w:rPr>
              <w:rFonts w:ascii="Cambria Math" w:hAnsi="Cambria Math"/>
            </w:rPr>
            <m:t>r</m:t>
          </m:r>
          <m:r>
            <w:rPr>
              <w:rFonts w:ascii="Cambria Math" w:hAnsi="Cambria Math"/>
            </w:rPr>
            <m:t>a</m:t>
          </m:r>
          <m:r>
            <w:rPr>
              <w:rFonts w:ascii="Cambria Math" w:hAnsi="Cambria Math"/>
            </w:rPr>
            <m:t>c</m:t>
          </m:r>
          <m:r>
            <w:rPr>
              <w:rFonts w:ascii="Cambria Math" w:hAnsi="Cambria Math"/>
            </w:rPr>
            <m:t>y</m:t>
          </m:r>
          <m:r>
            <w:rPr>
              <w:rFonts w:ascii="Cambria Math" w:hAnsi="Cambria Math"/>
            </w:rPr>
            <m:t>=</m:t>
          </m:r>
          <m:f>
            <m:num>
              <m:nary>
                <m:naryPr>
                  <m:chr m:val="∑"/>
                  <m:limLoc m:val="undOvr"/>
                </m:naryPr>
                <m:sub>
                  <m:r>
                    <w:rPr>
                      <w:rFonts w:ascii="Cambria Math" w:hAnsi="Cambria Math"/>
                    </w:rPr>
                    <m:t>i</m:t>
                  </m:r>
                  <m:r>
                    <w:rPr>
                      <w:rFonts w:ascii="Cambria Math" w:hAnsi="Cambria Math"/>
                    </w:rPr>
                    <m:t>=</m:t>
                  </m:r>
                  <m:r>
                    <w:rPr>
                      <w:rFonts w:ascii="Cambria Math" w:hAnsi="Cambria Math"/>
                    </w:rPr>
                    <m:t>1</m:t>
                  </m:r>
                </m:sub>
                <m:sup>
                  <m:r>
                    <w:rPr>
                      <w:rFonts w:ascii="Cambria Math" w:hAnsi="Cambria Math"/>
                    </w:rPr>
                    <m:t>N</m:t>
                  </m:r>
                </m:sup>
                <m:e/>
              </m:nary>
              <m:r>
                <w:rPr>
                  <w:rFonts w:ascii="Times New Roman" w:hAnsi="Times New Roman"/>
                  <w:i w:val="0"/>
                </w:rPr>
                <m:t>𝟙</m:t>
              </m:r>
              <m:r>
                <w:rPr>
                  <w:rFonts w:ascii="Cambria Math" w:hAnsi="Cambria Math"/>
                </w:rPr>
                <m:t>(</m:t>
              </m:r>
              <m:sSub>
                <m:e>
                  <m:acc>
                    <m:accPr>
                      <m:chr m:val="̂"/>
                    </m:accPr>
                    <m:e>
                      <m:r>
                        <w:rPr>
                          <w:rFonts w:ascii="Cambria Math" w:hAnsi="Cambria Math"/>
                        </w:rPr>
                        <m:t>C</m:t>
                      </m:r>
                    </m:e>
                  </m:acc>
                </m:e>
                <m:sub>
                  <m:r>
                    <w:rPr>
                      <w:rFonts w:ascii="Cambria Math" w:hAnsi="Cambria Math"/>
                    </w:rPr>
                    <m:t>i</m:t>
                  </m:r>
                </m:sub>
              </m:sSub>
              <m:r>
                <w:rPr>
                  <w:rFonts w:ascii="Cambria Math" w:hAnsi="Cambria Math"/>
                </w:rPr>
                <m:t>=</m:t>
              </m:r>
              <m:sSub>
                <m:e>
                  <m:r>
                    <w:rPr>
                      <w:rFonts w:ascii="Cambria Math" w:hAnsi="Cambria Math"/>
                    </w:rPr>
                    <m:t>C</m:t>
                  </m:r>
                </m:e>
                <m:sub>
                  <m:r>
                    <w:rPr>
                      <w:rFonts w:ascii="Cambria Math" w:hAnsi="Cambria Math"/>
                    </w:rPr>
                    <m:t>i</m:t>
                  </m:r>
                </m:sub>
              </m:sSub>
              <m:r>
                <w:rPr>
                  <w:rFonts w:ascii="Cambria Math" w:hAnsi="Cambria Math"/>
                </w:rPr>
                <m:t>)</m:t>
              </m:r>
            </m:num>
            <m:den>
              <m:r>
                <w:rPr>
                  <w:rFonts w:ascii="Cambria Math" w:hAnsi="Cambria Math"/>
                </w:rPr>
                <m:t>N</m:t>
              </m:r>
            </m:den>
          </m:f>
        </m:oMath>
      </m:oMathPara>
    </w:p>
    <w:p>
      <w:pPr>
        <w:spacing w:before="40" w:after="80" w:line="276" w:lineRule="auto"/>
      </w:pPr>
      <w:r>
        <w:rPr>
          <w:rFonts w:ascii="Times New Roman" w:hAnsi="Times New Roman"/>
          <w:sz w:val="20"/>
        </w:rPr>
        <w:t xml:space="preserve">where </w:t>
      </w:r>
      <m:oMath>
        <m:r>
          <w:rPr>
            <w:rFonts w:ascii="Cambria Math" w:hAnsi="Cambria Math"/>
          </w:rPr>
          <m:t>N</m:t>
        </m:r>
        <m:r>
          <w:rPr>
            <w:rFonts w:ascii="Cambria Math" w:hAnsi="Cambria Math"/>
          </w:rPr>
          <m:t>=</m:t>
        </m:r>
        <m:r>
          <w:rPr>
            <w:rFonts w:ascii="Cambria Math" w:hAnsi="Cambria Math"/>
          </w:rPr>
          <m:t>360</m:t>
        </m:r>
      </m:oMath>
      <w:r>
        <w:rPr>
          <w:rFonts w:ascii="Times New Roman" w:hAnsi="Times New Roman"/>
          <w:sz w:val="20"/>
        </w:rPr>
        <w:t xml:space="preserve"> total evaluated specimens.</w:t>
      </w:r>
    </w:p>
    <w:p>
      <w:pPr>
        <w:spacing w:before="20" w:after="40"/>
        <w:ind w:left="360"/>
      </w:pPr>
      <w:r>
        <w:rPr>
          <w:rFonts w:ascii="Times New Roman" w:hAnsi="Times New Roman"/>
          <w:b/>
          <w:sz w:val="20"/>
        </w:rPr>
        <w:t xml:space="preserve">2. </w:t>
      </w:r>
      <w:r>
        <w:rPr>
          <w:rFonts w:ascii="Times New Roman" w:hAnsi="Times New Roman"/>
          <w:b/>
          <w:sz w:val="20"/>
        </w:rPr>
        <w:t>Field Extraction Precision (</w:t>
      </w:r>
      <m:oMath>
        <m:r>
          <w:rPr>
            <w:rFonts w:ascii="Cambria Math" w:hAnsi="Cambria Math"/>
          </w:rPr>
          <m:t>P</m:t>
        </m:r>
      </m:oMath>
      <w:r>
        <w:rPr>
          <w:rFonts w:ascii="Times New Roman" w:hAnsi="Times New Roman"/>
          <w:b/>
          <w:sz w:val="20"/>
        </w:rPr>
        <w:t>)</w:t>
      </w:r>
      <w:r>
        <w:rPr>
          <w:rFonts w:ascii="Times New Roman" w:hAnsi="Times New Roman"/>
          <w:sz w:val="20"/>
        </w:rPr>
        <w:t xml:space="preserve">, </w:t>
      </w:r>
      <w:r>
        <w:rPr>
          <w:rFonts w:ascii="Times New Roman" w:hAnsi="Times New Roman"/>
          <w:b/>
          <w:sz w:val="20"/>
        </w:rPr>
        <w:t>Recall (</w:t>
      </w:r>
      <m:oMath>
        <m:r>
          <w:rPr>
            <w:rFonts w:ascii="Cambria Math" w:hAnsi="Cambria Math"/>
          </w:rPr>
          <m:t>R</m:t>
        </m:r>
      </m:oMath>
      <w:r>
        <w:rPr>
          <w:rFonts w:ascii="Times New Roman" w:hAnsi="Times New Roman"/>
          <w:b/>
          <w:sz w:val="20"/>
        </w:rPr>
        <w:t>)</w:t>
      </w:r>
      <w:r>
        <w:rPr>
          <w:rFonts w:ascii="Times New Roman" w:hAnsi="Times New Roman"/>
          <w:sz w:val="20"/>
        </w:rPr>
        <w:t xml:space="preserve">, and </w:t>
      </w:r>
      <w:r>
        <w:rPr>
          <w:rFonts w:ascii="Times New Roman" w:hAnsi="Times New Roman"/>
          <w:b/>
          <w:sz w:val="20"/>
        </w:rPr>
        <w:t>F1 Score (</w:t>
      </w:r>
      <m:oMath>
        <m:sSub>
          <m:e>
            <m:r>
              <w:rPr>
                <w:rFonts w:ascii="Cambria Math" w:hAnsi="Cambria Math"/>
              </w:rPr>
              <m:t>F</m:t>
            </m:r>
          </m:e>
          <m:sub>
            <m:r>
              <w:rPr>
                <w:rFonts w:ascii="Cambria Math" w:hAnsi="Cambria Math"/>
              </w:rPr>
              <m:t>1</m:t>
            </m:r>
          </m:sub>
        </m:sSub>
      </m:oMath>
      <w:r>
        <w:rPr>
          <w:rFonts w:ascii="Times New Roman" w:hAnsi="Times New Roman"/>
          <w:b/>
          <w:sz w:val="20"/>
        </w:rPr>
        <w:t>)</w:t>
      </w:r>
      <w:r>
        <w:rPr>
          <w:rFonts w:ascii="Times New Roman" w:hAnsi="Times New Roman"/>
          <w:sz w:val="20"/>
        </w:rPr>
        <w:t>: Macro-averaged key-value field extraction metrics across all extracted target entities:</w:t>
      </w:r>
    </w:p>
    <w:p>
      <w:pPr>
        <w:spacing w:before="0" w:after="0"/>
        <w:jc w:val="center"/>
      </w:pPr>
      <m:oMathPara>
        <m:oMath>
          <m:r>
            <w:rPr>
              <w:rFonts w:ascii="Cambria Math" w:hAnsi="Cambria Math"/>
            </w:rPr>
            <m:t>P</m:t>
          </m:r>
          <m:r>
            <w:rPr>
              <w:rFonts w:ascii="Cambria Math" w:hAnsi="Cambria Math"/>
            </w:rPr>
            <m:t>=</m:t>
          </m:r>
          <m:f>
            <m:num>
              <m:r>
                <w:rPr>
                  <w:rFonts w:ascii="Times New Roman" w:hAnsi="Times New Roman"/>
                  <w:i w:val="0"/>
                </w:rPr>
                <m:t>True Positive Fields</m:t>
              </m:r>
            </m:num>
            <m:den>
              <m:r>
                <w:rPr>
                  <w:rFonts w:ascii="Times New Roman" w:hAnsi="Times New Roman"/>
                  <w:i w:val="0"/>
                </w:rPr>
                <m:t>True Positive Fields</m:t>
              </m:r>
              <m:r>
                <w:rPr>
                  <w:rFonts w:ascii="Cambria Math" w:hAnsi="Cambria Math"/>
                </w:rPr>
                <m:t>+</m:t>
              </m:r>
              <m:r>
                <w:rPr>
                  <w:rFonts w:ascii="Times New Roman" w:hAnsi="Times New Roman"/>
                  <w:i w:val="0"/>
                </w:rPr>
                <m:t>False Positive Fields</m:t>
              </m:r>
            </m:den>
          </m:f>
          <m:r>
            <w:rPr>
              <w:rFonts w:ascii="Cambria Math" w:hAnsi="Cambria Math"/>
            </w:rPr>
            <m:t>,</m:t>
          </m:r>
          <m:r>
            <w:rPr>
              <w:rFonts w:ascii="Cambria Math" w:hAnsi="Cambria Math"/>
            </w:rPr>
            <m:t>R</m:t>
          </m:r>
          <m:r>
            <w:rPr>
              <w:rFonts w:ascii="Cambria Math" w:hAnsi="Cambria Math"/>
            </w:rPr>
            <m:t>=</m:t>
          </m:r>
          <m:f>
            <m:num>
              <m:r>
                <w:rPr>
                  <w:rFonts w:ascii="Times New Roman" w:hAnsi="Times New Roman"/>
                  <w:i w:val="0"/>
                </w:rPr>
                <m:t>True Positive Fields</m:t>
              </m:r>
            </m:num>
            <m:den>
              <m:r>
                <w:rPr>
                  <w:rFonts w:ascii="Times New Roman" w:hAnsi="Times New Roman"/>
                  <w:i w:val="0"/>
                </w:rPr>
                <m:t>True Positive Fields</m:t>
              </m:r>
              <m:r>
                <w:rPr>
                  <w:rFonts w:ascii="Cambria Math" w:hAnsi="Cambria Math"/>
                </w:rPr>
                <m:t>+</m:t>
              </m:r>
              <m:r>
                <w:rPr>
                  <w:rFonts w:ascii="Times New Roman" w:hAnsi="Times New Roman"/>
                  <w:i w:val="0"/>
                </w:rPr>
                <m:t>False Negative Fields</m:t>
              </m:r>
            </m:den>
          </m:f>
          <m:r>
            <w:rPr>
              <w:rFonts w:ascii="Cambria Math" w:hAnsi="Cambria Math"/>
            </w:rPr>
            <m:t>,</m:t>
          </m:r>
          <m:sSub>
            <m:e>
              <m:r>
                <w:rPr>
                  <w:rFonts w:ascii="Cambria Math" w:hAnsi="Cambria Math"/>
                </w:rPr>
                <m:t>F</m:t>
              </m:r>
            </m:e>
            <m:sub>
              <m:r>
                <w:rPr>
                  <w:rFonts w:ascii="Cambria Math" w:hAnsi="Cambria Math"/>
                </w:rPr>
                <m:t>1</m:t>
              </m:r>
            </m:sub>
          </m:sSub>
          <m:r>
            <w:rPr>
              <w:rFonts w:ascii="Cambria Math" w:hAnsi="Cambria Math"/>
            </w:rPr>
            <m:t>=</m:t>
          </m:r>
          <m:r>
            <w:rPr>
              <w:rFonts w:ascii="Cambria Math" w:hAnsi="Cambria Math"/>
            </w:rPr>
            <m:t>2</m:t>
          </m:r>
          <m:r>
            <w:rPr>
              <w:rFonts w:ascii="Cambria Math" w:hAnsi="Cambria Math"/>
            </w:rPr>
            <m:t>·</m:t>
          </m:r>
          <m:f>
            <m:num>
              <m:r>
                <w:rPr>
                  <w:rFonts w:ascii="Cambria Math" w:hAnsi="Cambria Math"/>
                </w:rPr>
                <m:t>P</m:t>
              </m:r>
              <m:r>
                <w:rPr>
                  <w:rFonts w:ascii="Cambria Math" w:hAnsi="Cambria Math"/>
                </w:rPr>
                <m:t>·</m:t>
              </m:r>
              <m:r>
                <w:rPr>
                  <w:rFonts w:ascii="Cambria Math" w:hAnsi="Cambria Math"/>
                </w:rPr>
                <m:t>R</m:t>
              </m:r>
            </m:num>
            <m:den>
              <m:r>
                <w:rPr>
                  <w:rFonts w:ascii="Cambria Math" w:hAnsi="Cambria Math"/>
                </w:rPr>
                <m:t>P</m:t>
              </m:r>
              <m:r>
                <w:rPr>
                  <w:rFonts w:ascii="Cambria Math" w:hAnsi="Cambria Math"/>
                </w:rPr>
                <m:t>+</m:t>
              </m:r>
              <m:r>
                <w:rPr>
                  <w:rFonts w:ascii="Cambria Math" w:hAnsi="Cambria Math"/>
                </w:rPr>
                <m:t>R</m:t>
              </m:r>
            </m:den>
          </m:f>
        </m:oMath>
      </m:oMathPara>
    </w:p>
    <w:p>
      <w:pPr>
        <w:spacing w:before="20" w:after="40"/>
        <w:ind w:left="360"/>
      </w:pPr>
      <w:r>
        <w:rPr>
          <w:rFonts w:ascii="Times New Roman" w:hAnsi="Times New Roman"/>
          <w:b/>
          <w:sz w:val="20"/>
        </w:rPr>
        <w:t xml:space="preserve">3. </w:t>
      </w:r>
      <w:r>
        <w:rPr>
          <w:rFonts w:ascii="Times New Roman" w:hAnsi="Times New Roman"/>
          <w:b/>
          <w:sz w:val="20"/>
        </w:rPr>
        <w:t>Character Error Rate (CER)</w:t>
      </w:r>
      <w:r>
        <w:rPr>
          <w:rFonts w:ascii="Times New Roman" w:hAnsi="Times New Roman"/>
          <w:sz w:val="20"/>
        </w:rPr>
        <w:t>: Levenshtein character edit distance between canonically normalized predicted field strings and expected ground truth field strings, normalized by the total ground truth character length (</w:t>
      </w:r>
      <m:oMath>
        <m:sSub>
          <m:e>
            <m:r>
              <w:rPr>
                <w:rFonts w:ascii="Cambria Math" w:hAnsi="Cambria Math"/>
              </w:rPr>
              <m:t>L</m:t>
            </m:r>
          </m:e>
          <m:sub>
            <m:r>
              <w:rPr>
                <w:rFonts w:ascii="Times New Roman" w:hAnsi="Times New Roman"/>
                <w:i w:val="0"/>
              </w:rPr>
              <m:t>GT</m:t>
            </m:r>
          </m:sub>
        </m:sSub>
      </m:oMath>
      <w:r>
        <w:rPr>
          <w:rFonts w:ascii="Times New Roman" w:hAnsi="Times New Roman"/>
          <w:sz w:val="20"/>
        </w:rPr>
        <w:t>):</w:t>
      </w:r>
    </w:p>
    <w:p>
      <w:pPr>
        <w:spacing w:before="0" w:after="0"/>
        <w:jc w:val="center"/>
      </w:pPr>
      <m:oMathPara>
        <m:oMath>
          <m:r>
            <w:rPr>
              <w:rFonts w:ascii="Times New Roman" w:hAnsi="Times New Roman"/>
              <w:i w:val="0"/>
            </w:rPr>
            <m:t>CER</m:t>
          </m:r>
          <m:r>
            <w:rPr>
              <w:rFonts w:ascii="Cambria Math" w:hAnsi="Cambria Math"/>
            </w:rPr>
            <m:t>=</m:t>
          </m:r>
          <m:f>
            <m:num>
              <m:sSub>
                <m:e>
                  <m:r>
                    <w:rPr>
                      <w:rFonts w:ascii="Cambria Math" w:hAnsi="Cambria Math"/>
                    </w:rPr>
                    <m:t>S</m:t>
                  </m:r>
                </m:e>
                <m:sub>
                  <m:r>
                    <w:rPr>
                      <w:rFonts w:ascii="Times New Roman" w:hAnsi="Times New Roman"/>
                      <w:i w:val="0"/>
                    </w:rPr>
                    <m:t>char</m:t>
                  </m:r>
                </m:sub>
              </m:sSub>
              <m:r>
                <w:rPr>
                  <w:rFonts w:ascii="Cambria Math" w:hAnsi="Cambria Math"/>
                </w:rPr>
                <m:t>+</m:t>
              </m:r>
              <m:sSub>
                <m:e>
                  <m:r>
                    <w:rPr>
                      <w:rFonts w:ascii="Cambria Math" w:hAnsi="Cambria Math"/>
                    </w:rPr>
                    <m:t>D</m:t>
                  </m:r>
                </m:e>
                <m:sub>
                  <m:r>
                    <w:rPr>
                      <w:rFonts w:ascii="Times New Roman" w:hAnsi="Times New Roman"/>
                      <w:i w:val="0"/>
                    </w:rPr>
                    <m:t>char</m:t>
                  </m:r>
                </m:sub>
              </m:sSub>
              <m:r>
                <w:rPr>
                  <w:rFonts w:ascii="Cambria Math" w:hAnsi="Cambria Math"/>
                </w:rPr>
                <m:t>+</m:t>
              </m:r>
              <m:sSub>
                <m:e>
                  <m:r>
                    <w:rPr>
                      <w:rFonts w:ascii="Cambria Math" w:hAnsi="Cambria Math"/>
                    </w:rPr>
                    <m:t>I</m:t>
                  </m:r>
                </m:e>
                <m:sub>
                  <m:r>
                    <w:rPr>
                      <w:rFonts w:ascii="Times New Roman" w:hAnsi="Times New Roman"/>
                      <w:i w:val="0"/>
                    </w:rPr>
                    <m:t>char</m:t>
                  </m:r>
                </m:sub>
              </m:sSub>
            </m:num>
            <m:den>
              <m:sSub>
                <m:e>
                  <m:r>
                    <w:rPr>
                      <w:rFonts w:ascii="Cambria Math" w:hAnsi="Cambria Math"/>
                    </w:rPr>
                    <m:t>L</m:t>
                  </m:r>
                </m:e>
                <m:sub>
                  <m:r>
                    <w:rPr>
                      <w:rFonts w:ascii="Times New Roman" w:hAnsi="Times New Roman"/>
                      <w:i w:val="0"/>
                    </w:rPr>
                    <m:t>GT</m:t>
                  </m:r>
                </m:sub>
              </m:sSub>
            </m:den>
          </m:f>
        </m:oMath>
      </m:oMathPara>
    </w:p>
    <w:p>
      <w:pPr>
        <w:spacing w:before="20" w:after="40"/>
        <w:ind w:left="360"/>
      </w:pPr>
      <w:r>
        <w:rPr>
          <w:rFonts w:ascii="Times New Roman" w:hAnsi="Times New Roman"/>
          <w:b/>
          <w:sz w:val="20"/>
        </w:rPr>
        <w:t xml:space="preserve">4. </w:t>
      </w:r>
      <w:r>
        <w:rPr>
          <w:rFonts w:ascii="Times New Roman" w:hAnsi="Times New Roman"/>
          <w:b/>
          <w:sz w:val="20"/>
        </w:rPr>
        <w:t>Word Error Rate (WER)</w:t>
      </w:r>
      <w:r>
        <w:rPr>
          <w:rFonts w:ascii="Times New Roman" w:hAnsi="Times New Roman"/>
          <w:sz w:val="20"/>
        </w:rPr>
        <w:t>: Tokenized word-level edit distance between predicted field strings and ground truth field strings, normalized by total ground truth word count (</w:t>
      </w:r>
      <m:oMath>
        <m:sSub>
          <m:e>
            <m:r>
              <w:rPr>
                <w:rFonts w:ascii="Cambria Math" w:hAnsi="Cambria Math"/>
              </w:rPr>
              <m:t>W</m:t>
            </m:r>
          </m:e>
          <m:sub>
            <m:r>
              <w:rPr>
                <w:rFonts w:ascii="Times New Roman" w:hAnsi="Times New Roman"/>
                <w:i w:val="0"/>
              </w:rPr>
              <m:t>GT</m:t>
            </m:r>
          </m:sub>
        </m:sSub>
      </m:oMath>
      <w:r>
        <w:rPr>
          <w:rFonts w:ascii="Times New Roman" w:hAnsi="Times New Roman"/>
          <w:sz w:val="20"/>
        </w:rPr>
        <w:t>):</w:t>
      </w:r>
    </w:p>
    <w:p>
      <w:pPr>
        <w:spacing w:before="0" w:after="0"/>
        <w:jc w:val="center"/>
      </w:pPr>
      <m:oMathPara>
        <m:oMath>
          <m:r>
            <w:rPr>
              <w:rFonts w:ascii="Times New Roman" w:hAnsi="Times New Roman"/>
              <w:i w:val="0"/>
            </w:rPr>
            <m:t>WER</m:t>
          </m:r>
          <m:r>
            <w:rPr>
              <w:rFonts w:ascii="Cambria Math" w:hAnsi="Cambria Math"/>
            </w:rPr>
            <m:t>=</m:t>
          </m:r>
          <m:f>
            <m:num>
              <m:sSub>
                <m:e>
                  <m:r>
                    <w:rPr>
                      <w:rFonts w:ascii="Cambria Math" w:hAnsi="Cambria Math"/>
                    </w:rPr>
                    <m:t>S</m:t>
                  </m:r>
                </m:e>
                <m:sub>
                  <m:r>
                    <w:rPr>
                      <w:rFonts w:ascii="Times New Roman" w:hAnsi="Times New Roman"/>
                      <w:i w:val="0"/>
                    </w:rPr>
                    <m:t>word</m:t>
                  </m:r>
                </m:sub>
              </m:sSub>
              <m:r>
                <w:rPr>
                  <w:rFonts w:ascii="Cambria Math" w:hAnsi="Cambria Math"/>
                </w:rPr>
                <m:t>+</m:t>
              </m:r>
              <m:sSub>
                <m:e>
                  <m:r>
                    <w:rPr>
                      <w:rFonts w:ascii="Cambria Math" w:hAnsi="Cambria Math"/>
                    </w:rPr>
                    <m:t>D</m:t>
                  </m:r>
                </m:e>
                <m:sub>
                  <m:r>
                    <w:rPr>
                      <w:rFonts w:ascii="Times New Roman" w:hAnsi="Times New Roman"/>
                      <w:i w:val="0"/>
                    </w:rPr>
                    <m:t>word</m:t>
                  </m:r>
                </m:sub>
              </m:sSub>
              <m:r>
                <w:rPr>
                  <w:rFonts w:ascii="Cambria Math" w:hAnsi="Cambria Math"/>
                </w:rPr>
                <m:t>+</m:t>
              </m:r>
              <m:sSub>
                <m:e>
                  <m:r>
                    <w:rPr>
                      <w:rFonts w:ascii="Cambria Math" w:hAnsi="Cambria Math"/>
                    </w:rPr>
                    <m:t>I</m:t>
                  </m:r>
                </m:e>
                <m:sub>
                  <m:r>
                    <w:rPr>
                      <w:rFonts w:ascii="Times New Roman" w:hAnsi="Times New Roman"/>
                      <w:i w:val="0"/>
                    </w:rPr>
                    <m:t>word</m:t>
                  </m:r>
                </m:sub>
              </m:sSub>
            </m:num>
            <m:den>
              <m:sSub>
                <m:e>
                  <m:r>
                    <w:rPr>
                      <w:rFonts w:ascii="Cambria Math" w:hAnsi="Cambria Math"/>
                    </w:rPr>
                    <m:t>W</m:t>
                  </m:r>
                </m:e>
                <m:sub>
                  <m:r>
                    <w:rPr>
                      <w:rFonts w:ascii="Times New Roman" w:hAnsi="Times New Roman"/>
                      <w:i w:val="0"/>
                    </w:rPr>
                    <m:t>GT</m:t>
                  </m:r>
                </m:sub>
              </m:sSub>
            </m:den>
          </m:f>
        </m:oMath>
      </m:oMathPara>
    </w:p>
    <w:p>
      <w:pPr>
        <w:spacing w:before="20" w:after="40"/>
        <w:ind w:left="360"/>
      </w:pPr>
      <w:r>
        <w:rPr>
          <w:rFonts w:ascii="Times New Roman" w:hAnsi="Times New Roman"/>
          <w:b/>
          <w:sz w:val="20"/>
        </w:rPr>
        <w:t xml:space="preserve">5. </w:t>
      </w:r>
      <w:r>
        <w:rPr>
          <w:rFonts w:ascii="Times New Roman" w:hAnsi="Times New Roman"/>
          <w:b/>
          <w:sz w:val="20"/>
        </w:rPr>
        <w:t>Joint Record Exact Match Rate (EM)</w:t>
      </w:r>
      <w:r>
        <w:rPr>
          <w:rFonts w:ascii="Times New Roman" w:hAnsi="Times New Roman"/>
          <w:sz w:val="20"/>
        </w:rPr>
        <w:t>: The percentage of specimens that achieve both 100% key-value field extraction AND correct top-level category classification simultaneously.</w:t>
      </w:r>
    </w:p>
    <w:p>
      <w:pPr>
        <w:spacing w:before="20" w:after="40"/>
        <w:ind w:left="360"/>
      </w:pPr>
      <w:r>
        <w:rPr>
          <w:rFonts w:ascii="Times New Roman" w:hAnsi="Times New Roman"/>
          <w:b/>
          <w:sz w:val="20"/>
        </w:rPr>
        <w:t xml:space="preserve">6. </w:t>
      </w:r>
      <w:r>
        <w:rPr>
          <w:rFonts w:ascii="Times New Roman" w:hAnsi="Times New Roman"/>
          <w:b/>
          <w:sz w:val="20"/>
        </w:rPr>
        <w:t>Latency &amp; Throughput</w:t>
      </w:r>
      <w:r>
        <w:rPr>
          <w:rFonts w:ascii="Times New Roman" w:hAnsi="Times New Roman"/>
          <w:sz w:val="20"/>
        </w:rPr>
        <w:t>: Execution latency per specimen (</w:t>
      </w:r>
      <m:oMath>
        <m:r>
          <w:rPr>
            <w:rFonts w:ascii="Times New Roman" w:hAnsi="Times New Roman"/>
            <w:i w:val="0"/>
          </w:rPr>
          <m:t>ms/sample</m:t>
        </m:r>
      </m:oMath>
      <w:r>
        <w:rPr>
          <w:rFonts w:ascii="Times New Roman" w:hAnsi="Times New Roman"/>
          <w:sz w:val="20"/>
        </w:rPr>
        <w:t>) and framework processing throughput (</w:t>
      </w:r>
      <m:oMath>
        <m:r>
          <w:rPr>
            <w:rFonts w:ascii="Times New Roman" w:hAnsi="Times New Roman"/>
            <w:i w:val="0"/>
          </w:rPr>
          <m:t>samples/sec</m:t>
        </m:r>
      </m:oMath>
      <w:r>
        <w:rPr>
          <w:rFonts w:ascii="Times New Roman" w:hAnsi="Times New Roman"/>
          <w:sz w:val="20"/>
        </w:rPr>
        <w:t>).</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5. Results &amp; Empirical Validation</w:t>
      </w:r>
    </w:p>
    <w:p>
      <w:pPr>
        <w:keepNext/>
        <w:spacing w:before="200" w:after="80"/>
      </w:pPr>
      <w:r>
        <w:rPr>
          <w:rFonts w:ascii="Times New Roman" w:hAnsi="Times New Roman"/>
          <w:b/>
          <w:color w:val="333333"/>
          <w:sz w:val="23"/>
        </w:rPr>
        <w:t>5.1 Distinction Between Framework Validation, Benchmark Validation, and Model Performance</w:t>
      </w:r>
    </w:p>
    <w:p>
      <w:pPr>
        <w:spacing w:before="40" w:after="80" w:line="276" w:lineRule="auto"/>
      </w:pPr>
      <w:r>
        <w:rPr>
          <w:rFonts w:ascii="Times New Roman" w:hAnsi="Times New Roman"/>
          <w:sz w:val="20"/>
        </w:rPr>
        <w:t>To ensure complete scientific integrity, we explicitly distinguish between three evaluation dimensions:</w:t>
      </w:r>
    </w:p>
    <w:p>
      <w:pPr>
        <w:spacing w:before="20" w:after="40"/>
        <w:ind w:left="360"/>
      </w:pPr>
      <w:r>
        <w:rPr>
          <w:rFonts w:ascii="Times New Roman" w:hAnsi="Times New Roman"/>
          <w:b/>
          <w:sz w:val="20"/>
        </w:rPr>
        <w:t xml:space="preserve">1. </w:t>
      </w:r>
      <w:r>
        <w:rPr>
          <w:rFonts w:ascii="Times New Roman" w:hAnsi="Times New Roman"/>
          <w:b/>
          <w:sz w:val="20"/>
        </w:rPr>
        <w:t>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w:t>
      </w:r>
    </w:p>
    <w:p>
      <w:pPr>
        <w:spacing w:before="20" w:after="40"/>
        <w:ind w:left="360"/>
      </w:pPr>
      <w:r>
        <w:rPr>
          <w:rFonts w:ascii="Times New Roman" w:hAnsi="Times New Roman"/>
          <w:b/>
          <w:sz w:val="20"/>
        </w:rPr>
        <w:t xml:space="preserve">2. </w:t>
      </w:r>
      <w:r>
        <w:rPr>
          <w:rFonts w:ascii="Times New Roman" w:hAnsi="Times New Roman"/>
          <w:b/>
          <w:sz w:val="20"/>
        </w:rPr>
        <w:t>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pPr>
        <w:spacing w:before="20" w:after="40"/>
        <w:ind w:left="360"/>
      </w:pPr>
      <w:r>
        <w:rPr>
          <w:rFonts w:ascii="Times New Roman" w:hAnsi="Times New Roman"/>
          <w:b/>
          <w:sz w:val="20"/>
        </w:rPr>
        <w:t xml:space="preserve">3. </w:t>
      </w:r>
      <w:r>
        <w:rPr>
          <w:rFonts w:ascii="Times New Roman" w:hAnsi="Times New Roman"/>
          <w:b/>
          <w:sz w:val="20"/>
        </w:rPr>
        <w:t>Model Extraction Performance (Model Evaluation)</w:t>
      </w:r>
      <w:r>
        <w:rPr>
          <w:rFonts w:ascii="Times New Roman" w:hAnsi="Times New Roman"/>
          <w:sz w:val="20"/>
        </w:rPr>
        <w:t>: Measures extraction performance metrics (Precision, Recall, F1, CER, WER) across live neural models.</w:t>
      </w:r>
    </w:p>
    <w:p>
      <w:pPr>
        <w:keepNext/>
        <w:spacing w:before="200" w:after="80"/>
      </w:pPr>
      <w:r>
        <w:rPr>
          <w:rFonts w:ascii="Times New Roman" w:hAnsi="Times New Roman"/>
          <w:b/>
          <w:color w:val="333333"/>
          <w:sz w:val="23"/>
        </w:rPr>
        <w:t>5.2 Framework Execution &amp; System Verification Metrics</w:t>
      </w:r>
    </w:p>
    <w:p>
      <w:pPr>
        <w:spacing w:before="40" w:after="80" w:line="276" w:lineRule="auto"/>
      </w:pPr>
      <w:r>
        <w:rPr>
          <w:rFonts w:ascii="Times New Roman" w:hAnsi="Times New Roman"/>
          <w:sz w:val="20"/>
        </w:rPr>
        <w:t>Table 1 summarizes the framework system verification metrics evaluated across the 360 benchmark specimens (AU_DIC_Benchmark_v1.0).</w:t>
      </w:r>
    </w:p>
    <w:p>
      <w:pPr>
        <w:keepNext/>
        <w:spacing w:before="80" w:after="160"/>
        <w:jc w:val="center"/>
      </w:pPr>
      <w:r>
        <w:rPr>
          <w:rFonts w:ascii="Times New Roman" w:hAnsi="Times New Roman"/>
          <w:b/>
          <w:color w:val="003366"/>
          <w:sz w:val="19"/>
        </w:rPr>
        <w:t>Table 1: Framework Execution Verification Metrics Across Quality Profiles on AU DIC Benchmark v1.0</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170"/>
        <w:gridCol w:w="1170"/>
        <w:gridCol w:w="1170"/>
        <w:gridCol w:w="1170"/>
        <w:gridCol w:w="1170"/>
        <w:gridCol w:w="1170"/>
        <w:gridCol w:w="1170"/>
        <w:gridCol w:w="1170"/>
      </w:tblGrid>
      <w:tr>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Quality Profile</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Evaluated Samples</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Accuracy</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Precision</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Recall</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F1 Score</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clean</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scanner_copy</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mobile_camera</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rotated_90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Overall Total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360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0.00%</w:t>
            </w:r>
            <w:r>
              <w:rPr>
                <w:rFonts w:ascii="Times New Roman" w:hAnsi="Times New Roman"/>
                <w:i/>
                <w:sz w:val="18"/>
              </w:rPr>
            </w:r>
          </w:p>
        </w:tc>
      </w:tr>
    </w:tbl>
    <w:p>
      <w:pPr>
        <w:spacing w:after="120"/>
      </w:pPr>
    </w:p>
    <w:p>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pPr>
        <w:keepNext/>
        <w:spacing w:before="200" w:after="80"/>
      </w:pPr>
      <w:r>
        <w:rPr>
          <w:rFonts w:ascii="Times New Roman" w:hAnsi="Times New Roman"/>
          <w:b/>
          <w:color w:val="333333"/>
          <w:sz w:val="23"/>
        </w:rPr>
        <w:t>5.3 System Throughput &amp; Execution Latency</w:t>
      </w:r>
    </w:p>
    <w:p>
      <w:pPr>
        <w:pStyle w:val="ListBullet"/>
        <w:spacing w:before="20" w:after="40"/>
      </w:pPr>
      <w:r>
        <w:rPr>
          <w:rFonts w:ascii="Times New Roman" w:hAnsi="Times New Roman"/>
          <w:b/>
          <w:sz w:val="20"/>
        </w:rPr>
        <w:t>Total Samples Evaluated</w:t>
      </w:r>
      <w:r>
        <w:rPr>
          <w:rFonts w:ascii="Times New Roman" w:hAnsi="Times New Roman"/>
          <w:sz w:val="20"/>
        </w:rPr>
        <w:t>: 360</w:t>
      </w:r>
    </w:p>
    <w:p>
      <w:pPr>
        <w:pStyle w:val="ListBullet"/>
        <w:spacing w:before="20" w:after="40"/>
      </w:pPr>
      <w:r>
        <w:rPr>
          <w:rFonts w:ascii="Times New Roman" w:hAnsi="Times New Roman"/>
          <w:b/>
          <w:sz w:val="20"/>
        </w:rPr>
        <w:t>Successful / Failed Ratio</w:t>
      </w:r>
      <w:r>
        <w:rPr>
          <w:rFonts w:ascii="Times New Roman" w:hAnsi="Times New Roman"/>
          <w:sz w:val="20"/>
        </w:rPr>
        <w:t>: 360 / 0</w:t>
      </w:r>
    </w:p>
    <w:p>
      <w:pPr>
        <w:pStyle w:val="ListBullet"/>
        <w:spacing w:before="20" w:after="40"/>
      </w:pPr>
      <w:r>
        <w:rPr>
          <w:rFonts w:ascii="Times New Roman" w:hAnsi="Times New Roman"/>
          <w:b/>
          <w:sz w:val="20"/>
        </w:rPr>
        <w:t>Total System Verification Execution Time</w:t>
      </w:r>
      <w:r>
        <w:rPr>
          <w:rFonts w:ascii="Times New Roman" w:hAnsi="Times New Roman"/>
          <w:sz w:val="20"/>
        </w:rPr>
        <w:t>: 1.48 seconds</w:t>
      </w:r>
    </w:p>
    <w:p>
      <w:pPr>
        <w:pStyle w:val="ListBullet"/>
        <w:spacing w:before="20" w:after="40"/>
      </w:pPr>
      <w:r>
        <w:rPr>
          <w:rFonts w:ascii="Times New Roman" w:hAnsi="Times New Roman"/>
          <w:b/>
          <w:sz w:val="20"/>
        </w:rPr>
        <w:t>System Verification Throughput</w:t>
      </w:r>
      <w:r>
        <w:rPr>
          <w:rFonts w:ascii="Times New Roman" w:hAnsi="Times New Roman"/>
          <w:sz w:val="20"/>
        </w:rPr>
        <w:t>: 242.59 samples/sec</w:t>
      </w:r>
    </w:p>
    <w:p>
      <w:pPr>
        <w:pStyle w:val="ListBullet"/>
        <w:spacing w:before="20" w:after="40"/>
      </w:pPr>
      <w:r>
        <w:rPr>
          <w:rFonts w:ascii="Times New Roman" w:hAnsi="Times New Roman"/>
          <w:b/>
          <w:sz w:val="20"/>
        </w:rPr>
        <w:t>Mean System Processing Latency</w:t>
      </w:r>
      <w:r>
        <w:rPr>
          <w:rFonts w:ascii="Times New Roman" w:hAnsi="Times New Roman"/>
          <w:sz w:val="20"/>
        </w:rPr>
        <w:t>: 4.12 ms/sample (</w:t>
      </w:r>
      <m:oMath>
        <m:r>
          <w:rPr>
            <w:rFonts w:ascii="Cambria Math" w:hAnsi="Cambria Math"/>
          </w:rPr>
          <m:t>σ</m:t>
        </m:r>
        <m:r>
          <w:rPr>
            <w:rFonts w:ascii="Cambria Math" w:hAnsi="Cambria Math"/>
          </w:rPr>
          <m:t>=</m:t>
        </m:r>
        <m:r>
          <w:rPr>
            <w:rFonts w:ascii="Cambria Math" w:hAnsi="Cambria Math"/>
          </w:rPr>
          <m:t>0.45</m:t>
        </m:r>
        <m:r>
          <w:rPr>
            <w:rFonts w:ascii="Times New Roman" w:hAnsi="Times New Roman"/>
            <w:i w:val="0"/>
          </w:rPr>
          <m:t>ms</m:t>
        </m:r>
      </m:oMath>
      <w:r>
        <w:rPr>
          <w:rFonts w:ascii="Times New Roman" w:hAnsi="Times New Roman"/>
          <w:sz w:val="20"/>
        </w:rPr>
        <w:t>)</w:t>
      </w:r>
    </w:p>
    <w:p>
      <w:pPr>
        <w:keepNext/>
        <w:spacing w:before="200" w:after="80"/>
      </w:pPr>
      <w:r>
        <w:rPr>
          <w:rFonts w:ascii="Times New Roman" w:hAnsi="Times New Roman"/>
          <w:b/>
          <w:color w:val="333333"/>
          <w:sz w:val="23"/>
        </w:rPr>
        <w:t>5.4 Empirical Live Neural Model Evaluation Results</w:t>
      </w:r>
    </w:p>
    <w:p>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pPr>
        <w:keepNext/>
        <w:spacing w:before="160" w:after="40"/>
      </w:pPr>
      <w:r>
        <w:rPr>
          <w:rFonts w:ascii="Times New Roman" w:hAnsi="Times New Roman"/>
          <w:b/>
          <w:i/>
          <w:sz w:val="21"/>
        </w:rPr>
        <w:t>5.4.1 Inference Pipeline Disambiguation (Option B)</w:t>
      </w:r>
    </w:p>
    <w:p>
      <w:pPr>
        <w:spacing w:before="40" w:after="80" w:line="276" w:lineRule="auto"/>
      </w:pPr>
      <w:r>
        <w:rPr>
          <w:rFonts w:ascii="Times New Roman" w:hAnsi="Times New Roman"/>
          <w:sz w:val="20"/>
        </w:rPr>
        <w:t xml:space="preserve">To ensure complete clarity regarding input modality, the evaluated live baseline operates under </w:t>
      </w:r>
      <w:r>
        <w:rPr>
          <w:rFonts w:ascii="Times New Roman" w:hAnsi="Times New Roman"/>
          <w:b/>
          <w:sz w:val="20"/>
        </w:rPr>
        <w:t>Option B</w:t>
      </w:r>
      <w:r>
        <w:rPr>
          <w:rFonts w:ascii="Times New Roman" w:hAnsi="Times New Roman"/>
          <w:sz w:val="20"/>
        </w:rPr>
        <w:t>:</w:t>
      </w:r>
    </w:p>
    <w:p>
      <w:pPr>
        <w:spacing w:before="160" w:after="80"/>
        <w:jc w:val="center"/>
      </w:pPr>
      <w:r>
        <w:drawing>
          <wp:inline xmlns:a="http://schemas.openxmlformats.org/drawingml/2006/main" xmlns:pic="http://schemas.openxmlformats.org/drawingml/2006/picture">
            <wp:extent cx="5943600" cy="2806700"/>
            <wp:docPr id="3" name="Picture 3"/>
            <wp:cNvGraphicFramePr>
              <a:graphicFrameLocks noChangeAspect="1"/>
            </wp:cNvGraphicFramePr>
            <a:graphic>
              <a:graphicData uri="http://schemas.openxmlformats.org/drawingml/2006/picture">
                <pic:pic>
                  <pic:nvPicPr>
                    <pic:cNvPr id="0" name="figure2_option_b_pipeline.png"/>
                    <pic:cNvPicPr/>
                  </pic:nvPicPr>
                  <pic:blipFill>
                    <a:blip r:embed="rId12"/>
                    <a:stretch>
                      <a:fillRect/>
                    </a:stretch>
                  </pic:blipFill>
                  <pic:spPr>
                    <a:xfrm>
                      <a:off x="0" y="0"/>
                      <a:ext cx="5943600" cy="2806700"/>
                    </a:xfrm>
                    <a:prstGeom prst="rect"/>
                  </pic:spPr>
                </pic:pic>
              </a:graphicData>
            </a:graphic>
          </wp:inline>
        </w:drawing>
      </w:r>
    </w:p>
    <w:p>
      <w:pPr>
        <w:spacing w:after="160"/>
        <w:jc w:val="center"/>
      </w:pPr>
      <w:r>
        <w:rPr>
          <w:rFonts w:ascii="Times New Roman" w:hAnsi="Times New Roman"/>
          <w:b/>
          <w:color w:val="003366"/>
          <w:sz w:val="19"/>
        </w:rPr>
        <w:t>Fig. 3. Option B Zero-Shot Text-Prompted Neural LLM Evaluation Pipeline Architecture.</w:t>
      </w:r>
    </w:p>
    <w:p>
      <w:pPr>
        <w:spacing w:before="40" w:after="80" w:line="276" w:lineRule="auto"/>
      </w:pPr>
      <w:r>
        <w:rPr>
          <w:rFonts w:ascii="Times New Roman" w:hAnsi="Times New Roman"/>
          <w:sz w:val="20"/>
        </w:rPr>
        <w:t xml:space="preserve">Because the live neural inference baseline evaluates text representations ingested into the zero-shot LLM prompt, field entity extraction achieves </w:t>
      </w:r>
      <w:r>
        <w:rPr>
          <w:rFonts w:ascii="Times New Roman" w:hAnsi="Times New Roman"/>
          <w:b/>
          <w:sz w:val="20"/>
        </w:rPr>
        <w:t>0.00% Character Error Rate (CER)</w:t>
      </w:r>
      <w:r>
        <w:rPr>
          <w:rFonts w:ascii="Times New Roman" w:hAnsi="Times New Roman"/>
          <w:sz w:val="20"/>
        </w:rPr>
        <w:t xml:space="preserve"> across all degradation profiles. This measures LLM key-value structuring robustness under degraded input text.</w:t>
      </w:r>
    </w:p>
    <w:p>
      <w:pPr>
        <w:keepNext/>
        <w:spacing w:before="80" w:after="160"/>
        <w:jc w:val="center"/>
      </w:pPr>
      <w:r>
        <w:rPr>
          <w:rFonts w:ascii="Times New Roman" w:hAnsi="Times New Roman"/>
          <w:b/>
          <w:color w:val="003366"/>
          <w:sz w:val="19"/>
        </w:rPr>
        <w:t>Table 2: Live Model Extraction &amp; Classification Performance (Groq Llama 3.1 8B Instant)</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040"/>
        <w:gridCol w:w="1040"/>
        <w:gridCol w:w="1040"/>
        <w:gridCol w:w="1040"/>
        <w:gridCol w:w="1040"/>
        <w:gridCol w:w="1040"/>
        <w:gridCol w:w="1040"/>
        <w:gridCol w:w="1040"/>
        <w:gridCol w:w="1040"/>
      </w:tblGrid>
      <w:tr>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Quality Profile</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Evaluated Samples</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Accuracy</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Precision</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Recall</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F1 Score</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Joint Record EM</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clean</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8F9FA"/>
          </w:tcPr>
          <w:p>
            <w:pPr>
              <w:spacing w:before="40" w:after="40"/>
              <w:jc w:val="left"/>
            </w:pPr>
            <w:r>
              <w:rPr>
                <w:rFonts w:ascii="Times New Roman" w:hAnsi="Times New Roman"/>
                <w:b/>
                <w:sz w:val="18"/>
              </w:rPr>
              <w:t>scanner_copy</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mobile_camera</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8F9FA"/>
          </w:tcPr>
          <w:p>
            <w:pPr>
              <w:spacing w:before="40" w:after="40"/>
              <w:jc w:val="left"/>
            </w:pPr>
            <w:r>
              <w:rPr>
                <w:rFonts w:ascii="Times New Roman" w:hAnsi="Times New Roman"/>
                <w:b/>
                <w:sz w:val="18"/>
              </w:rPr>
              <w:t>rotated_90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Overall Dataset</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360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r>
    </w:tbl>
    <w:p>
      <w:pPr>
        <w:spacing w:after="120"/>
      </w:pPr>
    </w:p>
    <w:p>
      <w:pPr>
        <w:keepNext/>
        <w:spacing w:before="160" w:after="40"/>
      </w:pPr>
      <w:r>
        <w:rPr>
          <w:rFonts w:ascii="Times New Roman" w:hAnsi="Times New Roman"/>
          <w:b/>
          <w:i/>
          <w:sz w:val="21"/>
        </w:rPr>
        <w:t>Empirical Analysis of Discovered Sub-Task Metrics:</w:t>
      </w:r>
    </w:p>
    <w:p>
      <w:pPr>
        <w:spacing w:before="20" w:after="40"/>
        <w:ind w:left="360"/>
      </w:pPr>
      <w:r>
        <w:rPr>
          <w:rFonts w:ascii="Times New Roman" w:hAnsi="Times New Roman"/>
          <w:b/>
          <w:sz w:val="20"/>
        </w:rPr>
        <w:t xml:space="preserve">1. </w:t>
      </w:r>
      <w:r>
        <w:rPr>
          <w:rFonts w:ascii="Times New Roman" w:hAnsi="Times New Roman"/>
          <w:b/>
          <w:sz w:val="20"/>
        </w:rPr>
        <w:t>Key-Value Entity Extraction Task (100.00% Field F1, 0.00% CER)</w:t>
      </w:r>
      <w:r>
        <w:rPr>
          <w:rFonts w:ascii="Times New Roman" w:hAnsi="Times New Roman"/>
          <w:sz w:val="20"/>
        </w:rPr>
        <w:t>: Under zero-shot key-value entity field extraction, Llama 3.1 8B achieved perfect field extraction precision (1.0000), recall (1.0000), and F1 score (100.00%) across all 360 specimens, demonstrating character-perfect field recognition (0.00% CER) across all visual quality degradation profiles.</w:t>
      </w:r>
    </w:p>
    <w:p>
      <w:pPr>
        <w:spacing w:before="20" w:after="40"/>
        <w:ind w:left="360"/>
      </w:pPr>
      <w:r>
        <w:rPr>
          <w:rFonts w:ascii="Times New Roman" w:hAnsi="Times New Roman"/>
          <w:b/>
          <w:sz w:val="20"/>
        </w:rPr>
        <w:t xml:space="preserve">2. </w:t>
      </w:r>
      <w:r>
        <w:rPr>
          <w:rFonts w:ascii="Times New Roman" w:hAnsi="Times New Roman"/>
          <w:b/>
          <w:sz w:val="20"/>
        </w:rPr>
        <w:t>Document Category Classification Task (66.67% Category Accuracy)</w:t>
      </w:r>
      <w:r>
        <w:rPr>
          <w:rFonts w:ascii="Times New Roman" w:hAnsi="Times New Roman"/>
          <w:sz w:val="20"/>
        </w:rPr>
        <w:t>: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pPr>
        <w:spacing w:before="20" w:after="40"/>
        <w:ind w:left="360"/>
      </w:pPr>
      <w:r>
        <w:rPr>
          <w:rFonts w:ascii="Times New Roman" w:hAnsi="Times New Roman"/>
          <w:b/>
          <w:sz w:val="20"/>
        </w:rPr>
        <w:t xml:space="preserve">3. </w:t>
      </w:r>
      <w:r>
        <w:rPr>
          <w:rFonts w:ascii="Times New Roman" w:hAnsi="Times New Roman"/>
          <w:b/>
          <w:sz w:val="20"/>
        </w:rPr>
        <w:t>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pPr>
        <w:keepNext/>
        <w:spacing w:before="200" w:after="80"/>
      </w:pPr>
      <w:r>
        <w:rPr>
          <w:rFonts w:ascii="Times New Roman" w:hAnsi="Times New Roman"/>
          <w:b/>
          <w:color w:val="333333"/>
          <w:sz w:val="23"/>
        </w:rPr>
        <w:t>5.5 Empirical Ablation Study of Semantic Canonical Normalization</w:t>
      </w:r>
    </w:p>
    <w:p>
      <w:pPr>
        <w:spacing w:before="40" w:after="80" w:line="276" w:lineRule="auto"/>
      </w:pPr>
      <w:r>
        <w:rPr>
          <w:rFonts w:ascii="Times New Roman" w:hAnsi="Times New Roman"/>
          <w:sz w:val="20"/>
        </w:rPr>
        <w:t>To empirically measure the scientific contribution of the Six-Stage Semantic Canonical Normalization Layer (CanonicalNormalizer), we executed a two-pass benchmark evaluation across all 360 specimens (5,760 total field comparisons). To guarantee that metric variations originate solely from the normalization layer, inference predictions were executed exactly once and reused across both passes.</w:t>
      </w:r>
    </w:p>
    <w:p>
      <w:pPr>
        <w:pStyle w:val="ListBullet"/>
        <w:spacing w:before="20" w:after="40"/>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pPr>
        <w:pStyle w:val="ListBullet"/>
        <w:spacing w:before="20" w:after="40"/>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pPr>
        <w:keepNext/>
        <w:spacing w:before="160" w:after="40"/>
      </w:pPr>
      <w:r>
        <w:rPr>
          <w:rFonts w:ascii="Times New Roman" w:hAnsi="Times New Roman"/>
          <w:b/>
          <w:i/>
          <w:sz w:val="21"/>
        </w:rPr>
        <w:t>5.5.1 Quantitative Ablation Metrics</w:t>
      </w:r>
    </w:p>
    <w:p>
      <w:pPr>
        <w:spacing w:before="40" w:after="80" w:line="276" w:lineRule="auto"/>
      </w:pPr>
      <w:r>
        <w:rPr>
          <w:rFonts w:ascii="Times New Roman" w:hAnsi="Times New Roman"/>
          <w:sz w:val="20"/>
        </w:rPr>
        <w:t>Table 3 summarizes the empirical metrics measured during the two-pass ablation study.</w:t>
      </w:r>
    </w:p>
    <w:p>
      <w:pPr>
        <w:keepNext/>
        <w:spacing w:before="80" w:after="160"/>
        <w:jc w:val="center"/>
      </w:pPr>
      <w:r>
        <w:rPr>
          <w:rFonts w:ascii="Times New Roman" w:hAnsi="Times New Roman"/>
          <w:b/>
          <w:color w:val="003366"/>
          <w:sz w:val="19"/>
        </w:rPr>
        <w:t>Table 3: Empirical Metric Impact of Semantic Canonical Normalization (360 Specimens / 5,760 Fields)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Evaluation Pipeline Pass</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Precision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Recall</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F1 Score</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Pass A: Without Normalization</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38.13%</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285.31%</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Pass B: With Normalization</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3.65%</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27.01%</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Net Absolute Improvement</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-34.48%</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-258.30%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Relative Metric Change</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+90.97%</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+90.97%</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+90.97%</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-90.42%</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-90.53%</w:t>
            </w:r>
          </w:p>
        </w:tc>
      </w:tr>
    </w:tbl>
    <w:p>
      <w:pPr>
        <w:spacing w:after="120"/>
      </w:pPr>
    </w:p>
    <w:p>
      <w:pPr>
        <w:keepNext/>
        <w:spacing w:before="160" w:after="40"/>
      </w:pPr>
      <w:r>
        <w:rPr>
          <w:rFonts w:ascii="Times New Roman" w:hAnsi="Times New Roman"/>
          <w:b/>
          <w:i/>
          <w:sz w:val="21"/>
        </w:rPr>
        <w:t>5.5.2 Rule-Wise Contribution &amp; Mismatch Correction Breakdown</w:t>
      </w:r>
    </w:p>
    <w:p>
      <w:pPr>
        <w:spacing w:before="40" w:after="80" w:line="276" w:lineRule="auto"/>
      </w:pPr>
      <w:r>
        <w:rPr>
          <w:rFonts w:ascii="Times New Roman" w:hAnsi="Times New Roman"/>
          <w:sz w:val="20"/>
        </w:rPr>
        <w:t>Without canonical normalization, 2,620 false-negative field mismatches occurred due to superficial representation differences. Table 4 quantifies the exact contribution of each domain normalizer rule in resolving these discrepancies.</w:t>
      </w:r>
    </w:p>
    <w:p>
      <w:pPr>
        <w:keepNext/>
        <w:spacing w:before="80" w:after="160"/>
        <w:jc w:val="center"/>
      </w:pPr>
      <w:r>
        <w:rPr>
          <w:rFonts w:ascii="Times New Roman" w:hAnsi="Times New Roman"/>
          <w:b/>
          <w:color w:val="003366"/>
          <w:sz w:val="19"/>
        </w:rPr>
        <w:t>Table 4: Mismatch Correction Contribution by Normalizer Rule</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2340"/>
        <w:gridCol w:w="2340"/>
        <w:gridCol w:w="2340"/>
        <w:gridCol w:w="2340"/>
      </w:tblGrid>
      <w:tr>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Domain Normalizer Rule</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Addressed Syntax Discrepancy</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Corrected Mismatches (Count)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Rule Contribution (%)</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Date Normalizer</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 xml:space="preserve">Text/DMY date syntax </w:t>
            </w:r>
            <m:oMath>
              <m:r>
                <w:rPr>
                  <w:rFonts w:ascii="Cambria Math" w:hAnsi="Cambria Math"/>
                </w:rPr>
                <m:t>→</m:t>
              </m:r>
            </m:oMath>
            <w:r>
              <w:rPr>
                <w:rFonts w:ascii="Times New Roman" w:hAnsi="Times New Roman"/>
                <w:sz w:val="18"/>
              </w:rPr>
              <w:t xml:space="preserve"> ISO 8601 (YYYY-MM-DD)</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720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27.48%</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b/>
                <w:sz w:val="18"/>
              </w:rPr>
              <w:t>Roll Number Normalizer</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Hyphen/slash separators </w:t>
            </w:r>
            <m:oMath>
              <m:r>
                <w:rPr>
                  <w:rFonts w:ascii="Cambria Math" w:hAnsi="Cambria Math"/>
                </w:rPr>
                <m:t>→</m:t>
              </m:r>
            </m:oMath>
            <w:r>
              <w:rPr>
                <w:rFonts w:ascii="Times New Roman" w:hAnsi="Times New Roman"/>
                <w:sz w:val="18"/>
              </w:rPr>
              <w:t xml:space="preserve"> Canonical uppercase</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720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27.48%</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Degree Alias Normalizer</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 xml:space="preserve">Shorthand titles (B.Tech) </w:t>
            </w:r>
            <m:oMath>
              <m:r>
                <w:rPr>
                  <w:rFonts w:ascii="Cambria Math" w:hAnsi="Cambria Math"/>
                </w:rPr>
                <m:t>→</m:t>
              </m:r>
            </m:oMath>
            <w:r>
              <w:rPr>
                <w:rFonts w:ascii="Times New Roman" w:hAnsi="Times New Roman"/>
                <w:sz w:val="18"/>
              </w:rPr>
              <w:t xml:space="preserve"> Full degree names</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360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13.74%</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b/>
                <w:sz w:val="18"/>
              </w:rPr>
              <w:t>Numeric Normalizer</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Trailing text/range tags </w:t>
            </w:r>
            <m:oMath>
              <m:r>
                <w:rPr>
                  <w:rFonts w:ascii="Cambria Math" w:hAnsi="Cambria Math"/>
                </w:rPr>
                <m:t>→</m:t>
              </m:r>
            </m:oMath>
            <w:r>
              <w:rPr>
                <w:rFonts w:ascii="Times New Roman" w:hAnsi="Times New Roman"/>
                <w:sz w:val="18"/>
              </w:rPr>
              <w:t xml:space="preserve"> 2-decimal floats</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360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13.74%</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Honorific / Whitespace</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Whitespace padding &amp; honorific prefixes (Mr.)</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360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13.74%</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b/>
                <w:sz w:val="18"/>
              </w:rPr>
              <w:t>University Alias Normalizer</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Acronyms (VTU) </w:t>
            </w:r>
            <m:oMath>
              <m:r>
                <w:rPr>
                  <w:rFonts w:ascii="Cambria Math" w:hAnsi="Cambria Math"/>
                </w:rPr>
                <m:t>→</m:t>
              </m:r>
            </m:oMath>
            <w:r>
              <w:rPr>
                <w:rFonts w:ascii="Times New Roman" w:hAnsi="Times New Roman"/>
                <w:sz w:val="18"/>
              </w:rPr>
              <w:t xml:space="preserve"> Canonical full university names</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100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3.82%</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Total Corrected Mismatches</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All Normalizer Rules Combined</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b/>
                <w:sz w:val="18"/>
              </w:rPr>
              <w:t>2,620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r>
    </w:tbl>
    <w:p>
      <w:pPr>
        <w:spacing w:after="120"/>
      </w:pPr>
    </w:p>
    <w:p>
      <w:pPr>
        <w:keepNext/>
        <w:spacing w:before="160" w:after="40"/>
      </w:pPr>
      <w:r>
        <w:rPr>
          <w:rFonts w:ascii="Times New Roman" w:hAnsi="Times New Roman"/>
          <w:b/>
          <w:i/>
          <w:sz w:val="21"/>
        </w:rPr>
        <w:t>5.5.3 Publication Figures</w:t>
      </w:r>
    </w:p>
    <w:p>
      <w:pPr>
        <w:spacing w:before="40" w:after="80" w:line="276" w:lineRule="auto"/>
      </w:pPr>
      <w:r>
        <w:rPr>
          <w:rFonts w:ascii="Times New Roman" w:hAnsi="Times New Roman"/>
          <w:sz w:val="20"/>
        </w:rPr>
        <w:t>The empirical ablation metrics and rule-wise contributions are visualized in Figures 4, 5, 6, and 7.</w:t>
      </w:r>
    </w:p>
    <w:p>
      <w:pPr>
        <w:spacing w:before="160" w:after="80"/>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figure_normalization_ablation.png"/>
                    <pic:cNvPicPr/>
                  </pic:nvPicPr>
                  <pic:blipFill>
                    <a:blip r:embed="rId13"/>
                    <a:stretch>
                      <a:fillRect/>
                    </a:stretch>
                  </pic:blipFill>
                  <pic:spPr>
                    <a:xfrm>
                      <a:off x="0" y="0"/>
                      <a:ext cx="5486400" cy="3657600"/>
                    </a:xfrm>
                    <a:prstGeom prst="rect"/>
                  </pic:spPr>
                </pic:pic>
              </a:graphicData>
            </a:graphic>
          </wp:inline>
        </w:drawing>
      </w:r>
    </w:p>
    <w:p>
      <w:pPr>
        <w:keepNext/>
        <w:spacing w:before="80" w:after="160"/>
        <w:jc w:val="center"/>
      </w:pPr>
      <w:r>
        <w:rPr>
          <w:rFonts w:ascii="Times New Roman" w:hAnsi="Times New Roman"/>
          <w:b/>
          <w:color w:val="003366"/>
          <w:sz w:val="19"/>
        </w:rPr>
        <w:t>Fig. 4. Accuracy Improvement after Semantic Canonical Normalization.</w:t>
      </w:r>
    </w:p>
    <w:p>
      <w:pPr>
        <w:spacing w:before="160" w:after="80"/>
        <w:jc w:val="center"/>
      </w:pPr>
      <w:r>
        <w:drawing>
          <wp:inline xmlns:a="http://schemas.openxmlformats.org/drawingml/2006/main" xmlns:pic="http://schemas.openxmlformats.org/drawingml/2006/picture">
            <wp:extent cx="5486400" cy="4389120"/>
            <wp:docPr id="5" name="Picture 5"/>
            <wp:cNvGraphicFramePr>
              <a:graphicFrameLocks noChangeAspect="1"/>
            </wp:cNvGraphicFramePr>
            <a:graphic>
              <a:graphicData uri="http://schemas.openxmlformats.org/drawingml/2006/picture">
                <pic:pic>
                  <pic:nvPicPr>
                    <pic:cNvPr id="0" name="figure_metric_improvement.png"/>
                    <pic:cNvPicPr/>
                  </pic:nvPicPr>
                  <pic:blipFill>
                    <a:blip r:embed="rId14"/>
                    <a:stretch>
                      <a:fillRect/>
                    </a:stretch>
                  </pic:blipFill>
                  <pic:spPr>
                    <a:xfrm>
                      <a:off x="0" y="0"/>
                      <a:ext cx="5486400" cy="4389120"/>
                    </a:xfrm>
                    <a:prstGeom prst="rect"/>
                  </pic:spPr>
                </pic:pic>
              </a:graphicData>
            </a:graphic>
          </wp:inline>
        </w:drawing>
      </w:r>
    </w:p>
    <w:p>
      <w:pPr>
        <w:keepNext/>
        <w:spacing w:before="80" w:after="160"/>
        <w:jc w:val="center"/>
      </w:pPr>
      <w:r>
        <w:rPr>
          <w:rFonts w:ascii="Times New Roman" w:hAnsi="Times New Roman"/>
          <w:b/>
          <w:color w:val="003366"/>
          <w:sz w:val="19"/>
        </w:rPr>
        <w:t>Fig. 5. Character Error Rate (CER) and Word Error Rate (WER) Reduction Resulting from Canonical Normalization.</w:t>
      </w:r>
    </w:p>
    <w:p>
      <w:pPr>
        <w:spacing w:before="160" w:after="80"/>
        <w:jc w:val="center"/>
      </w:pPr>
      <w:r>
        <w:drawing>
          <wp:inline xmlns:a="http://schemas.openxmlformats.org/drawingml/2006/main" xmlns:pic="http://schemas.openxmlformats.org/drawingml/2006/picture">
            <wp:extent cx="5486400" cy="3376246"/>
            <wp:docPr id="6" name="Picture 6"/>
            <wp:cNvGraphicFramePr>
              <a:graphicFrameLocks noChangeAspect="1"/>
            </wp:cNvGraphicFramePr>
            <a:graphic>
              <a:graphicData uri="http://schemas.openxmlformats.org/drawingml/2006/picture">
                <pic:pic>
                  <pic:nvPicPr>
                    <pic:cNvPr id="0" name="figure_rule_contribution.png"/>
                    <pic:cNvPicPr/>
                  </pic:nvPicPr>
                  <pic:blipFill>
                    <a:blip r:embed="rId15"/>
                    <a:stretch>
                      <a:fillRect/>
                    </a:stretch>
                  </pic:blipFill>
                  <pic:spPr>
                    <a:xfrm>
                      <a:off x="0" y="0"/>
                      <a:ext cx="5486400" cy="3376246"/>
                    </a:xfrm>
                    <a:prstGeom prst="rect"/>
                  </pic:spPr>
                </pic:pic>
              </a:graphicData>
            </a:graphic>
          </wp:inline>
        </w:drawing>
      </w:r>
    </w:p>
    <w:p>
      <w:pPr>
        <w:keepNext/>
        <w:spacing w:before="80" w:after="160"/>
        <w:jc w:val="center"/>
      </w:pPr>
      <w:r>
        <w:rPr>
          <w:rFonts w:ascii="Times New Roman" w:hAnsi="Times New Roman"/>
          <w:b/>
          <w:color w:val="003366"/>
          <w:sz w:val="19"/>
        </w:rPr>
        <w:t>Fig. 6. Total False-Negative Field Mismatches Resolved by Each Individual Domain Normalizer Rule.</w:t>
      </w:r>
    </w:p>
    <w:p>
      <w:pPr>
        <w:spacing w:before="160" w:after="8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figure_field_improvement.png"/>
                    <pic:cNvPicPr/>
                  </pic:nvPicPr>
                  <pic:blipFill>
                    <a:blip r:embed="rId16"/>
                    <a:stretch>
                      <a:fillRect/>
                    </a:stretch>
                  </pic:blipFill>
                  <pic:spPr>
                    <a:xfrm>
                      <a:off x="0" y="0"/>
                      <a:ext cx="5486400" cy="3086100"/>
                    </a:xfrm>
                    <a:prstGeom prst="rect"/>
                  </pic:spPr>
                </pic:pic>
              </a:graphicData>
            </a:graphic>
          </wp:inline>
        </w:drawing>
      </w:r>
    </w:p>
    <w:p>
      <w:pPr>
        <w:keepNext/>
        <w:spacing w:before="80" w:after="160"/>
        <w:jc w:val="center"/>
      </w:pPr>
      <w:r>
        <w:rPr>
          <w:rFonts w:ascii="Times New Roman" w:hAnsi="Times New Roman"/>
          <w:b/>
          <w:color w:val="003366"/>
          <w:sz w:val="19"/>
        </w:rPr>
        <w:t>Fig. 7. Field-by-Field Accuracy Improvement Comparing Raw String Matching Against Canonical Normalization.</w:t>
      </w:r>
    </w:p>
    <w:p>
      <w:pPr>
        <w:keepNext/>
        <w:spacing w:before="160" w:after="40"/>
      </w:pPr>
      <w:r>
        <w:rPr>
          <w:rFonts w:ascii="Times New Roman" w:hAnsi="Times New Roman"/>
          <w:b/>
          <w:i/>
          <w:sz w:val="21"/>
        </w:rPr>
        <w:t>5.5.4 Critical Discussion &amp; Scientific Validation</w:t>
      </w:r>
    </w:p>
    <w:p>
      <w:pPr>
        <w:spacing w:before="40" w:after="80" w:line="276" w:lineRule="auto"/>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w:t>
      </w:r>
    </w:p>
    <w:p>
      <w:pPr>
        <w:spacing w:before="40" w:after="80" w:line="276" w:lineRule="auto"/>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pPr>
        <w:spacing w:before="40" w:after="80" w:line="276" w:lineRule="auto"/>
      </w:pPr>
      <w:r>
        <w:rPr>
          <w:rFonts w:ascii="Times New Roman" w:hAnsi="Times New Roman"/>
          <w:sz w:val="20"/>
        </w:rPr>
        <w:t xml:space="preserve">Routing field extractions through the CanonicalNormalizer (Pass B) recovers true extraction performance, boosting the Field F1 score to </w:t>
      </w:r>
      <w:r>
        <w:rPr>
          <w:rFonts w:ascii="Times New Roman" w:hAnsi="Times New Roman"/>
          <w:b/>
          <w:sz w:val="20"/>
        </w:rPr>
        <w:t>95.49%</w:t>
      </w:r>
      <w:r>
        <w:rPr>
          <w:rFonts w:ascii="Times New Roman" w:hAnsi="Times New Roman"/>
          <w:sz w:val="20"/>
        </w:rPr>
        <w:t xml:space="preserve"> (a </w:t>
      </w:r>
      <w:r>
        <w:rPr>
          <w:rFonts w:ascii="Times New Roman" w:hAnsi="Times New Roman"/>
          <w:b/>
          <w:sz w:val="20"/>
        </w:rPr>
        <w:t>+45.49% absolute improvement</w:t>
      </w:r>
      <w:r>
        <w:rPr>
          <w:rFonts w:ascii="Times New Roman" w:hAnsi="Times New Roman"/>
          <w:sz w:val="20"/>
        </w:rPr>
        <w:t xml:space="preserve">) while reducing mean CER by </w:t>
      </w:r>
      <w:r>
        <w:rPr>
          <w:rFonts w:ascii="Times New Roman" w:hAnsi="Times New Roman"/>
          <w:b/>
          <w:sz w:val="20"/>
        </w:rPr>
        <w:t>90.42%</w:t>
      </w:r>
      <w:r>
        <w:rPr>
          <w:rFonts w:ascii="Times New Roman" w:hAnsi="Times New Roman"/>
          <w:sz w:val="20"/>
        </w:rPr>
        <w:t xml:space="preserve"> (from 38.13% down to 3.65%). Date and Roll Number normalizers contributed the largest share of corrections (27.48% each), demonstrating that domain-specific normalization is essential for unbiased evaluation of academic credential document processing engines.</w:t>
      </w:r>
    </w:p>
    <w:p>
      <w:pPr>
        <w:keepNext/>
        <w:spacing w:before="200" w:after="80"/>
      </w:pPr>
      <w:r>
        <w:rPr>
          <w:rFonts w:ascii="Times New Roman" w:hAnsi="Times New Roman"/>
          <w:b/>
          <w:color w:val="333333"/>
          <w:sz w:val="23"/>
        </w:rPr>
        <w:t>5.6 Statistical Significance Analysis ($p &lt; 0.0001$)</w:t>
      </w:r>
    </w:p>
    <w:p>
      <w:pPr>
        <w:spacing w:before="40" w:after="80" w:line="276" w:lineRule="auto"/>
      </w:pPr>
      <w:r>
        <w:rPr>
          <w:rFonts w:ascii="Times New Roman" w:hAnsi="Times New Roman"/>
          <w:sz w:val="20"/>
        </w:rPr>
        <w:t>To verify whether the observed metric improvements resulting from canonical normalization are statistically significant, we evaluated hypothesis tests across all 5,760 paired field observations (</w:t>
      </w:r>
      <m:oMath>
        <m:r>
          <w:rPr>
            <w:rFonts w:ascii="Cambria Math" w:hAnsi="Cambria Math"/>
          </w:rPr>
          <m:t>N</m:t>
        </m:r>
        <m:r>
          <w:rPr>
            <w:rFonts w:ascii="Cambria Math" w:hAnsi="Cambria Math"/>
          </w:rPr>
          <m:t>=</m:t>
        </m:r>
        <m:r>
          <w:rPr>
            <w:rFonts w:ascii="Cambria Math" w:hAnsi="Cambria Math"/>
          </w:rPr>
          <m:t>5</m:t>
        </m:r>
        <m:r>
          <w:rPr>
            <w:rFonts w:ascii="Cambria Math" w:hAnsi="Cambria Math"/>
          </w:rPr>
          <m:t>,</m:t>
        </m:r>
        <m:r>
          <w:rPr>
            <w:rFonts w:ascii="Cambria Math" w:hAnsi="Cambria Math"/>
          </w:rPr>
          <m:t>760</m:t>
        </m:r>
      </m:oMath>
      <w:r>
        <w:rPr>
          <w:rFonts w:ascii="Times New Roman" w:hAnsi="Times New Roman"/>
          <w:sz w:val="20"/>
        </w:rPr>
        <w:t>).</w:t>
      </w:r>
    </w:p>
    <w:p>
      <w:pPr>
        <w:keepNext/>
        <w:spacing w:before="80" w:after="160"/>
        <w:jc w:val="center"/>
      </w:pPr>
      <w:r>
        <w:rPr>
          <w:rFonts w:ascii="Times New Roman" w:hAnsi="Times New Roman"/>
          <w:b/>
          <w:color w:val="003366"/>
          <w:sz w:val="19"/>
        </w:rPr>
        <w:t>Table 5: Statistical Hypothesis Testing Summary (</w:t>
      </w:r>
      <m:oMath>
        <m:r>
          <w:rPr>
            <w:rFonts w:ascii="Cambria Math" w:hAnsi="Cambria Math"/>
          </w:rPr>
          <m:t>α</m:t>
        </m:r>
        <m:r>
          <w:rPr>
            <w:rFonts w:ascii="Cambria Math" w:hAnsi="Cambria Math"/>
          </w:rPr>
          <m:t>=</m:t>
        </m:r>
        <m:r>
          <w:rPr>
            <w:rFonts w:ascii="Cambria Math" w:hAnsi="Cambria Math"/>
          </w:rPr>
          <m:t>0.001</m:t>
        </m:r>
      </m:oMath>
      <w:r>
        <w:rPr>
          <w:rFonts w:ascii="Times New Roman" w:hAnsi="Times New Roman"/>
          <w:b/>
          <w:color w:val="003366"/>
          <w:sz w:val="19"/>
        </w:rPr>
        <w:t>)</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337"/>
        <w:gridCol w:w="1337"/>
        <w:gridCol w:w="1337"/>
        <w:gridCol w:w="1337"/>
        <w:gridCol w:w="1337"/>
        <w:gridCol w:w="1337"/>
        <w:gridCol w:w="1337"/>
      </w:tblGrid>
      <w:tr>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Statistical Test</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Tested Metric</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Null Hypothesis (</w:t>
            </w:r>
            <m:oMath>
              <m:sSub>
                <m:e>
                  <m:r>
                    <w:rPr>
                      <w:rFonts w:ascii="Cambria Math" w:hAnsi="Cambria Math"/>
                    </w:rPr>
                    <m:t>H</m:t>
                  </m:r>
                </m:e>
                <m:sub>
                  <m:r>
                    <w:rPr>
                      <w:rFonts w:ascii="Cambria Math" w:hAnsi="Cambria Math"/>
                    </w:rPr>
                    <m:t>0</m:t>
                  </m:r>
                </m:sub>
              </m:sSub>
            </m:oMath>
            <w:r>
              <w:rPr>
                <w:rFonts w:ascii="Times New Roman" w:hAnsi="Times New Roman"/>
                <w:b/>
                <w:color w:val="FFFFFF"/>
                <w:sz w:val="19"/>
              </w:rPr>
              <w:t>)</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Test Statistic</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 xml:space="preserve">Exact </w:t>
            </w:r>
            <m:oMath>
              <m:r>
                <w:rPr>
                  <w:rFonts w:ascii="Cambria Math" w:hAnsi="Cambria Math"/>
                </w:rPr>
                <m:t>p</m:t>
              </m:r>
            </m:oMath>
            <w:r>
              <w:rPr>
                <w:rFonts w:ascii="Times New Roman" w:hAnsi="Times New Roman"/>
                <w:b/>
                <w:color w:val="FFFFFF"/>
                <w:sz w:val="19"/>
              </w:rPr>
              <w:t>-value</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Decision</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Significance Level</w:t>
            </w:r>
          </w:p>
        </w:tc>
      </w:tr>
      <w:tr>
        <w:tc>
          <w:tcPr>
            <w:tcW w:type="dxa" w:w="1337"/>
            <w:tcMar>
              <w:top w:w="100" w:type="dxa"/>
              <w:bottom w:w="100" w:type="dxa"/>
              <w:left w:w="130" w:type="dxa"/>
              <w:right w:w="130" w:type="dxa"/>
            </w:tcMar>
            <w:shd w:fill="FFFFFF"/>
          </w:tcPr>
          <w:p>
            <w:pPr>
              <w:spacing w:before="40" w:after="40"/>
              <w:jc w:val="left"/>
            </w:pPr>
            <w:r>
              <w:rPr>
                <w:rFonts w:ascii="Times New Roman" w:hAnsi="Times New Roman"/>
                <w:b/>
                <w:sz w:val="18"/>
              </w:rPr>
              <w:t>McNemar Test</w:t>
            </w:r>
          </w:p>
        </w:tc>
        <w:tc>
          <w:tcPr>
            <w:tcW w:type="dxa" w:w="1337"/>
            <w:tcMar>
              <w:top w:w="100" w:type="dxa"/>
              <w:bottom w:w="100" w:type="dxa"/>
              <w:left w:w="130" w:type="dxa"/>
              <w:right w:w="130" w:type="dxa"/>
            </w:tcMar>
            <w:shd w:fill="FFFFFF"/>
          </w:tcPr>
          <w:p>
            <w:pPr>
              <w:spacing w:before="40" w:after="40"/>
              <w:jc w:val="center"/>
            </w:pPr>
            <w:r>
              <w:rPr>
                <w:rFonts w:ascii="Times New Roman" w:hAnsi="Times New Roman"/>
                <w:sz w:val="18"/>
              </w:rPr>
              <w:t>Binary Field Match Rate</w:t>
            </w:r>
          </w:p>
        </w:tc>
        <w:tc>
          <w:tcPr>
            <w:tcW w:type="dxa" w:w="1337"/>
            <w:tcMar>
              <w:top w:w="100" w:type="dxa"/>
              <w:bottom w:w="100" w:type="dxa"/>
              <w:left w:w="130" w:type="dxa"/>
              <w:right w:w="130" w:type="dxa"/>
            </w:tcMar>
            <w:shd w:fill="FFFFFF"/>
          </w:tcPr>
          <w:p>
            <w:pPr>
              <w:spacing w:before="40" w:after="40"/>
              <w:jc w:val="center"/>
            </w:pPr>
            <m:oMath>
              <m:sSub>
                <m:e>
                  <m:r>
                    <w:rPr>
                      <w:rFonts w:ascii="Times New Roman" w:hAnsi="Times New Roman"/>
                      <w:i w:val="0"/>
                    </w:rPr>
                    <m:t>Acc</m:t>
                  </m:r>
                </m:e>
                <m:sub>
                  <m:r>
                    <w:rPr>
                      <w:rFonts w:ascii="Times New Roman" w:hAnsi="Times New Roman"/>
                      <w:i w:val="0"/>
                    </w:rPr>
                    <m:t>Pass A</m:t>
                  </m:r>
                </m:sub>
              </m:sSub>
              <m:r>
                <w:rPr>
                  <w:rFonts w:ascii="Cambria Math" w:hAnsi="Cambria Math"/>
                </w:rPr>
                <m:t>=</m:t>
              </m:r>
              <m:sSub>
                <m:e>
                  <m:r>
                    <w:rPr>
                      <w:rFonts w:ascii="Times New Roman" w:hAnsi="Times New Roman"/>
                      <w:i w:val="0"/>
                    </w:rPr>
                    <m:t>Acc</m:t>
                  </m:r>
                </m:e>
                <m:sub>
                  <m:r>
                    <w:rPr>
                      <w:rFonts w:ascii="Times New Roman" w:hAnsi="Times New Roman"/>
                      <w:i w:val="0"/>
                    </w:rPr>
                    <m:t>Pass B</m:t>
                  </m:r>
                </m:sub>
              </m:sSub>
            </m:oMath>
          </w:p>
        </w:tc>
        <w:tc>
          <w:tcPr>
            <w:tcW w:type="dxa" w:w="1337"/>
            <w:tcMar>
              <w:top w:w="100" w:type="dxa"/>
              <w:bottom w:w="100" w:type="dxa"/>
              <w:left w:w="130" w:type="dxa"/>
              <w:right w:w="130" w:type="dxa"/>
            </w:tcMar>
            <w:shd w:fill="FFFFFF"/>
          </w:tcPr>
          <w:p>
            <w:pPr>
              <w:spacing w:before="40" w:after="40"/>
              <w:jc w:val="center"/>
            </w:pPr>
            <m:oMath>
              <m:sSup>
                <m:e>
                  <m:r>
                    <w:rPr>
                      <w:rFonts w:ascii="Cambria Math" w:hAnsi="Cambria Math"/>
                    </w:rPr>
                    <m:t>χ</m:t>
                  </m:r>
                </m:e>
                <m:sup>
                  <m:r>
                    <w:rPr>
                      <w:rFonts w:ascii="Cambria Math" w:hAnsi="Cambria Math"/>
                    </w:rPr>
                    <m:t>2</m:t>
                  </m:r>
                </m:sup>
              </m:sSup>
              <m:r>
                <w:rPr>
                  <w:rFonts w:ascii="Cambria Math" w:hAnsi="Cambria Math"/>
                </w:rPr>
                <m:t>=</m:t>
              </m:r>
              <m:r>
                <w:rPr>
                  <w:rFonts w:ascii="Cambria Math" w:hAnsi="Cambria Math"/>
                </w:rPr>
                <m:t>2618.00</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&lt;</m:t>
              </m:r>
              <m:r>
                <w:rPr>
                  <w:rFonts w:ascii="Cambria Math" w:hAnsi="Cambria Math"/>
                </w:rPr>
                <m:t>1.0</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15</m:t>
                  </m:r>
                </m:sup>
              </m:sSup>
            </m:oMath>
          </w:p>
        </w:tc>
        <w:tc>
          <w:tcPr>
            <w:tcW w:type="dxa" w:w="1337"/>
            <w:tcMar>
              <w:top w:w="100" w:type="dxa"/>
              <w:bottom w:w="100" w:type="dxa"/>
              <w:left w:w="130" w:type="dxa"/>
              <w:right w:w="130" w:type="dxa"/>
            </w:tcMar>
            <w:shd w:fill="FFFFFF"/>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8F9FA"/>
          </w:tcPr>
          <w:p>
            <w:pPr>
              <w:spacing w:before="40" w:after="40"/>
              <w:jc w:val="left"/>
            </w:pPr>
            <w:r>
              <w:rPr>
                <w:rFonts w:ascii="Times New Roman" w:hAnsi="Times New Roman"/>
                <w:b/>
                <w:sz w:val="18"/>
              </w:rPr>
              <w:t>Wilcoxon Signed-Rank</w:t>
            </w:r>
          </w:p>
        </w:tc>
        <w:tc>
          <w:tcPr>
            <w:tcW w:type="dxa" w:w="1337"/>
            <w:tcMar>
              <w:top w:w="100" w:type="dxa"/>
              <w:bottom w:w="100" w:type="dxa"/>
              <w:left w:w="130" w:type="dxa"/>
              <w:right w:w="130" w:type="dxa"/>
            </w:tcMar>
            <w:shd w:fill="F8F9FA"/>
          </w:tcPr>
          <w:p>
            <w:pPr>
              <w:spacing w:before="40" w:after="40"/>
              <w:jc w:val="center"/>
            </w:pPr>
            <w:r>
              <w:rPr>
                <w:rFonts w:ascii="Times New Roman" w:hAnsi="Times New Roman"/>
                <w:sz w:val="18"/>
              </w:rPr>
              <w:t>Per-Sample F1 Score</w:t>
            </w:r>
          </w:p>
        </w:tc>
        <w:tc>
          <w:tcPr>
            <w:tcW w:type="dxa" w:w="1337"/>
            <w:tcMar>
              <w:top w:w="100" w:type="dxa"/>
              <w:bottom w:w="100" w:type="dxa"/>
              <w:left w:w="130" w:type="dxa"/>
              <w:right w:w="130" w:type="dxa"/>
            </w:tcMar>
            <w:shd w:fill="F8F9FA"/>
          </w:tcPr>
          <w:p>
            <w:pPr>
              <w:spacing w:before="40" w:after="40"/>
              <w:jc w:val="center"/>
            </w:pPr>
            <m:oMath>
              <m:r>
                <w:rPr>
                  <w:rFonts w:ascii="Times New Roman" w:hAnsi="Times New Roman"/>
                  <w:i w:val="0"/>
                </w:rPr>
                <m:t>Median</m:t>
              </m:r>
              <m:r>
                <w:rPr>
                  <w:rFonts w:ascii="Cambria Math" w:hAnsi="Cambria Math"/>
                </w:rPr>
                <m:t>(</m:t>
              </m:r>
              <m:r>
                <w:rPr>
                  <w:rFonts w:ascii="Cambria Math" w:hAnsi="Cambria Math"/>
                </w:rPr>
                <m:t>Δ</m:t>
              </m:r>
              <m:r>
                <w:rPr>
                  <w:rFonts w:ascii="Times New Roman" w:hAnsi="Times New Roman"/>
                  <w:i w:val="0"/>
                </w:rPr>
                <m:t>F1</m:t>
              </m:r>
              <m:r>
                <w:rPr>
                  <w:rFonts w:ascii="Cambria Math" w:hAnsi="Cambria Math"/>
                </w:rPr>
                <m:t>)</m:t>
              </m:r>
              <m:r>
                <w:rPr>
                  <w:rFonts w:ascii="Cambria Math" w:hAnsi="Cambria Math"/>
                </w:rPr>
                <m:t>=</m:t>
              </m:r>
              <m:r>
                <w:rPr>
                  <w:rFonts w:ascii="Cambria Math" w:hAnsi="Cambria Math"/>
                </w:rPr>
                <m:t>0</m:t>
              </m:r>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W</m:t>
              </m:r>
              <m:r>
                <w:rPr>
                  <w:rFonts w:ascii="Cambria Math" w:hAnsi="Cambria Math"/>
                </w:rPr>
                <m:t>=</m:t>
              </m:r>
              <m:r>
                <w:rPr>
                  <w:rFonts w:ascii="Cambria Math" w:hAnsi="Cambria Math"/>
                </w:rPr>
                <m:t>64980.0</m:t>
              </m:r>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1.55</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67</m:t>
                  </m:r>
                </m:sup>
              </m:sSup>
            </m:oMath>
          </w:p>
        </w:tc>
        <w:tc>
          <w:tcPr>
            <w:tcW w:type="dxa" w:w="1337"/>
            <w:tcMar>
              <w:top w:w="100" w:type="dxa"/>
              <w:bottom w:w="100" w:type="dxa"/>
              <w:left w:w="130" w:type="dxa"/>
              <w:right w:w="130" w:type="dxa"/>
            </w:tcMar>
            <w:shd w:fill="F8F9FA"/>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FFFFF"/>
          </w:tcPr>
          <w:p>
            <w:pPr>
              <w:spacing w:before="40" w:after="40"/>
              <w:jc w:val="left"/>
            </w:pPr>
            <w:r>
              <w:rPr>
                <w:rFonts w:ascii="Times New Roman" w:hAnsi="Times New Roman"/>
                <w:b/>
                <w:sz w:val="18"/>
              </w:rPr>
              <w:t>Wilcoxon Signed-Rank</w:t>
            </w:r>
          </w:p>
        </w:tc>
        <w:tc>
          <w:tcPr>
            <w:tcW w:type="dxa" w:w="1337"/>
            <w:tcMar>
              <w:top w:w="100" w:type="dxa"/>
              <w:bottom w:w="100" w:type="dxa"/>
              <w:left w:w="130" w:type="dxa"/>
              <w:right w:w="130" w:type="dxa"/>
            </w:tcMar>
            <w:shd w:fill="FFFFFF"/>
          </w:tcPr>
          <w:p>
            <w:pPr>
              <w:spacing w:before="40" w:after="40"/>
              <w:jc w:val="center"/>
            </w:pPr>
            <w:r>
              <w:rPr>
                <w:rFonts w:ascii="Times New Roman" w:hAnsi="Times New Roman"/>
                <w:sz w:val="18"/>
              </w:rPr>
              <w:t>Per-Sample CER Reduction</w:t>
            </w:r>
          </w:p>
        </w:tc>
        <w:tc>
          <w:tcPr>
            <w:tcW w:type="dxa" w:w="1337"/>
            <w:tcMar>
              <w:top w:w="100" w:type="dxa"/>
              <w:bottom w:w="100" w:type="dxa"/>
              <w:left w:w="130" w:type="dxa"/>
              <w:right w:w="130" w:type="dxa"/>
            </w:tcMar>
            <w:shd w:fill="FFFFFF"/>
          </w:tcPr>
          <w:p>
            <w:pPr>
              <w:spacing w:before="40" w:after="40"/>
              <w:jc w:val="center"/>
            </w:pPr>
            <m:oMath>
              <m:r>
                <w:rPr>
                  <w:rFonts w:ascii="Times New Roman" w:hAnsi="Times New Roman"/>
                  <w:i w:val="0"/>
                </w:rPr>
                <m:t>Median</m:t>
              </m:r>
              <m:r>
                <w:rPr>
                  <w:rFonts w:ascii="Cambria Math" w:hAnsi="Cambria Math"/>
                </w:rPr>
                <m:t>(</m:t>
              </m:r>
              <m:r>
                <w:rPr>
                  <w:rFonts w:ascii="Cambria Math" w:hAnsi="Cambria Math"/>
                </w:rPr>
                <m:t>Δ</m:t>
              </m:r>
              <m:r>
                <w:rPr>
                  <w:rFonts w:ascii="Times New Roman" w:hAnsi="Times New Roman"/>
                  <w:i w:val="0"/>
                </w:rPr>
                <m:t>CER</m:t>
              </m:r>
              <m:r>
                <w:rPr>
                  <w:rFonts w:ascii="Cambria Math" w:hAnsi="Cambria Math"/>
                </w:rPr>
                <m:t>)</m:t>
              </m:r>
              <m:r>
                <w:rPr>
                  <w:rFonts w:ascii="Cambria Math" w:hAnsi="Cambria Math"/>
                </w:rPr>
                <m:t>=</m:t>
              </m:r>
              <m:r>
                <w:rPr>
                  <w:rFonts w:ascii="Cambria Math" w:hAnsi="Cambria Math"/>
                </w:rPr>
                <m:t>0</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W</m:t>
              </m:r>
              <m:r>
                <w:rPr>
                  <w:rFonts w:ascii="Cambria Math" w:hAnsi="Cambria Math"/>
                </w:rPr>
                <m:t>=</m:t>
              </m:r>
              <m:r>
                <w:rPr>
                  <w:rFonts w:ascii="Cambria Math" w:hAnsi="Cambria Math"/>
                </w:rPr>
                <m:t>64980.0</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4.68</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61</m:t>
                  </m:r>
                </m:sup>
              </m:sSup>
            </m:oMath>
          </w:p>
        </w:tc>
        <w:tc>
          <w:tcPr>
            <w:tcW w:type="dxa" w:w="1337"/>
            <w:tcMar>
              <w:top w:w="100" w:type="dxa"/>
              <w:bottom w:w="100" w:type="dxa"/>
              <w:left w:w="130" w:type="dxa"/>
              <w:right w:w="130" w:type="dxa"/>
            </w:tcMar>
            <w:shd w:fill="FFFFFF"/>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8F9FA"/>
          </w:tcPr>
          <w:p>
            <w:pPr>
              <w:spacing w:before="40" w:after="40"/>
              <w:jc w:val="left"/>
            </w:pPr>
            <w:r>
              <w:rPr>
                <w:rFonts w:ascii="Times New Roman" w:hAnsi="Times New Roman"/>
                <w:b/>
                <w:sz w:val="18"/>
              </w:rPr>
              <w:t>Paired Student's t-Test</w:t>
            </w:r>
          </w:p>
        </w:tc>
        <w:tc>
          <w:tcPr>
            <w:tcW w:type="dxa" w:w="1337"/>
            <w:tcMar>
              <w:top w:w="100" w:type="dxa"/>
              <w:bottom w:w="100" w:type="dxa"/>
              <w:left w:w="130" w:type="dxa"/>
              <w:right w:w="130" w:type="dxa"/>
            </w:tcMar>
            <w:shd w:fill="F8F9FA"/>
          </w:tcPr>
          <w:p>
            <w:pPr>
              <w:spacing w:before="40" w:after="40"/>
              <w:jc w:val="center"/>
            </w:pPr>
            <w:r>
              <w:rPr>
                <w:rFonts w:ascii="Times New Roman" w:hAnsi="Times New Roman"/>
                <w:sz w:val="18"/>
              </w:rPr>
              <w:t>Sample Mean F1 Score</w:t>
            </w:r>
          </w:p>
        </w:tc>
        <w:tc>
          <w:tcPr>
            <w:tcW w:type="dxa" w:w="1337"/>
            <w:tcMar>
              <w:top w:w="100" w:type="dxa"/>
              <w:bottom w:w="100" w:type="dxa"/>
              <w:left w:w="130" w:type="dxa"/>
              <w:right w:w="130" w:type="dxa"/>
            </w:tcMar>
            <w:shd w:fill="F8F9FA"/>
          </w:tcPr>
          <w:p>
            <w:pPr>
              <w:spacing w:before="40" w:after="40"/>
              <w:jc w:val="center"/>
            </w:pPr>
            <m:oMath>
              <m:sSub>
                <m:e>
                  <m:r>
                    <w:rPr>
                      <w:rFonts w:ascii="Cambria Math" w:hAnsi="Cambria Math"/>
                    </w:rPr>
                    <m:t>μ</m:t>
                  </m:r>
                </m:e>
                <m:sub>
                  <m:r>
                    <w:rPr>
                      <w:rFonts w:ascii="Times New Roman" w:hAnsi="Times New Roman"/>
                      <w:i w:val="0"/>
                    </w:rPr>
                    <m:t>Pass A</m:t>
                  </m:r>
                </m:sub>
              </m:sSub>
              <m:r>
                <w:rPr>
                  <w:rFonts w:ascii="Cambria Math" w:hAnsi="Cambria Math"/>
                </w:rPr>
                <m:t>=</m:t>
              </m:r>
              <m:sSub>
                <m:e>
                  <m:r>
                    <w:rPr>
                      <w:rFonts w:ascii="Cambria Math" w:hAnsi="Cambria Math"/>
                    </w:rPr>
                    <m:t>μ</m:t>
                  </m:r>
                </m:e>
                <m:sub>
                  <m:r>
                    <w:rPr>
                      <w:rFonts w:ascii="Times New Roman" w:hAnsi="Times New Roman"/>
                      <w:i w:val="0"/>
                    </w:rPr>
                    <m:t>Pass B</m:t>
                  </m:r>
                </m:sub>
              </m:sSub>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t</m:t>
              </m:r>
              <m:r>
                <w:rPr>
                  <w:rFonts w:ascii="Cambria Math" w:hAnsi="Cambria Math"/>
                </w:rPr>
                <m:t>=</m:t>
              </m:r>
              <m:r>
                <w:rPr>
                  <w:rFonts w:ascii="Cambria Math" w:hAnsi="Cambria Math"/>
                </w:rPr>
                <m:t>307.87</m:t>
              </m:r>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&lt;</m:t>
              </m:r>
              <m:r>
                <w:rPr>
                  <w:rFonts w:ascii="Cambria Math" w:hAnsi="Cambria Math"/>
                </w:rPr>
                <m:t>1.0</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15</m:t>
                  </m:r>
                </m:sup>
              </m:sSup>
            </m:oMath>
          </w:p>
        </w:tc>
        <w:tc>
          <w:tcPr>
            <w:tcW w:type="dxa" w:w="1337"/>
            <w:tcMar>
              <w:top w:w="100" w:type="dxa"/>
              <w:bottom w:w="100" w:type="dxa"/>
              <w:left w:w="130" w:type="dxa"/>
              <w:right w:w="130" w:type="dxa"/>
            </w:tcMar>
            <w:shd w:fill="F8F9FA"/>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FFFFF"/>
          </w:tcPr>
          <w:p>
            <w:pPr>
              <w:spacing w:before="40" w:after="40"/>
              <w:jc w:val="left"/>
            </w:pPr>
            <w:r>
              <w:rPr>
                <w:rFonts w:ascii="Times New Roman" w:hAnsi="Times New Roman"/>
                <w:b/>
                <w:sz w:val="18"/>
              </w:rPr>
              <w:t>Paired Student's t-Test</w:t>
            </w:r>
          </w:p>
        </w:tc>
        <w:tc>
          <w:tcPr>
            <w:tcW w:type="dxa" w:w="1337"/>
            <w:tcMar>
              <w:top w:w="100" w:type="dxa"/>
              <w:bottom w:w="100" w:type="dxa"/>
              <w:left w:w="130" w:type="dxa"/>
              <w:right w:w="130" w:type="dxa"/>
            </w:tcMar>
            <w:shd w:fill="FFFFFF"/>
          </w:tcPr>
          <w:p>
            <w:pPr>
              <w:spacing w:before="40" w:after="40"/>
              <w:jc w:val="center"/>
            </w:pPr>
            <w:r>
              <w:rPr>
                <w:rFonts w:ascii="Times New Roman" w:hAnsi="Times New Roman"/>
                <w:sz w:val="18"/>
              </w:rPr>
              <w:t>Sample Mean CER</w:t>
            </w:r>
          </w:p>
        </w:tc>
        <w:tc>
          <w:tcPr>
            <w:tcW w:type="dxa" w:w="1337"/>
            <w:tcMar>
              <w:top w:w="100" w:type="dxa"/>
              <w:bottom w:w="100" w:type="dxa"/>
              <w:left w:w="130" w:type="dxa"/>
              <w:right w:w="130" w:type="dxa"/>
            </w:tcMar>
            <w:shd w:fill="FFFFFF"/>
          </w:tcPr>
          <w:p>
            <w:pPr>
              <w:spacing w:before="40" w:after="40"/>
              <w:jc w:val="center"/>
            </w:pPr>
            <m:oMath>
              <m:sSub>
                <m:e>
                  <m:r>
                    <w:rPr>
                      <w:rFonts w:ascii="Cambria Math" w:hAnsi="Cambria Math"/>
                    </w:rPr>
                    <m:t>μ</m:t>
                  </m:r>
                </m:e>
                <m:sub>
                  <m:r>
                    <w:rPr>
                      <w:rFonts w:ascii="Times New Roman" w:hAnsi="Times New Roman"/>
                      <w:i w:val="0"/>
                    </w:rPr>
                    <m:t>Pass A</m:t>
                  </m:r>
                </m:sub>
              </m:sSub>
              <m:r>
                <w:rPr>
                  <w:rFonts w:ascii="Cambria Math" w:hAnsi="Cambria Math"/>
                </w:rPr>
                <m:t>=</m:t>
              </m:r>
              <m:sSub>
                <m:e>
                  <m:r>
                    <w:rPr>
                      <w:rFonts w:ascii="Cambria Math" w:hAnsi="Cambria Math"/>
                    </w:rPr>
                    <m:t>μ</m:t>
                  </m:r>
                </m:e>
                <m:sub>
                  <m:r>
                    <w:rPr>
                      <w:rFonts w:ascii="Times New Roman" w:hAnsi="Times New Roman"/>
                      <w:i w:val="0"/>
                    </w:rPr>
                    <m:t>Pass B</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t</m:t>
              </m:r>
              <m:r>
                <w:rPr>
                  <w:rFonts w:ascii="Cambria Math" w:hAnsi="Cambria Math"/>
                </w:rPr>
                <m:t>=</m:t>
              </m:r>
              <m:r>
                <w:rPr>
                  <w:rFonts w:ascii="Cambria Math" w:hAnsi="Cambria Math"/>
                </w:rPr>
                <m:t>262.36</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&lt;</m:t>
              </m:r>
              <m:r>
                <w:rPr>
                  <w:rFonts w:ascii="Cambria Math" w:hAnsi="Cambria Math"/>
                </w:rPr>
                <m:t>1.0</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15</m:t>
                  </m:r>
                </m:sup>
              </m:sSup>
            </m:oMath>
          </w:p>
        </w:tc>
        <w:tc>
          <w:tcPr>
            <w:tcW w:type="dxa" w:w="1337"/>
            <w:tcMar>
              <w:top w:w="100" w:type="dxa"/>
              <w:bottom w:w="100" w:type="dxa"/>
              <w:left w:w="130" w:type="dxa"/>
              <w:right w:w="130" w:type="dxa"/>
            </w:tcMar>
            <w:shd w:fill="FFFFFF"/>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bl>
    <w:p>
      <w:pPr>
        <w:spacing w:after="120"/>
      </w:pPr>
    </w:p>
    <w:p>
      <w:pPr>
        <w:spacing w:before="40" w:after="80" w:line="276" w:lineRule="auto"/>
      </w:pPr>
      <w:r>
        <w:rPr>
          <w:rFonts w:ascii="Times New Roman" w:hAnsi="Times New Roman"/>
          <w:sz w:val="20"/>
        </w:rPr>
        <w:t xml:space="preserve">McNemar's test over the </w:t>
      </w:r>
      <m:oMath>
        <m:r>
          <w:rPr>
            <w:rFonts w:ascii="Cambria Math" w:hAnsi="Cambria Math"/>
          </w:rPr>
          <m:t>2</m:t>
        </m:r>
        <m:r>
          <w:rPr>
            <w:rFonts w:ascii="Cambria Math" w:hAnsi="Cambria Math"/>
          </w:rPr>
          <m:t>×</m:t>
        </m:r>
        <m:r>
          <w:rPr>
            <w:rFonts w:ascii="Cambria Math" w:hAnsi="Cambria Math"/>
          </w:rPr>
          <m:t>2</m:t>
        </m:r>
      </m:oMath>
      <w:r>
        <w:rPr>
          <w:rFonts w:ascii="Times New Roman" w:hAnsi="Times New Roman"/>
          <w:sz w:val="20"/>
        </w:rPr>
        <w:t xml:space="preserve"> contingency matrix (</w:t>
      </w:r>
      <m:oMath>
        <m:r>
          <w:rPr>
            <w:rFonts w:ascii="Cambria Math" w:hAnsi="Cambria Math"/>
          </w:rPr>
          <m:t>a</m:t>
        </m:r>
        <m:r>
          <w:rPr>
            <w:rFonts w:ascii="Cambria Math" w:hAnsi="Cambria Math"/>
          </w:rPr>
          <m:t>=</m:t>
        </m:r>
        <m:r>
          <w:rPr>
            <w:rFonts w:ascii="Cambria Math" w:hAnsi="Cambria Math"/>
          </w:rPr>
          <m:t>2</m:t>
        </m:r>
        <m:r>
          <w:rPr>
            <w:rFonts w:ascii="Cambria Math" w:hAnsi="Cambria Math"/>
          </w:rPr>
          <m:t>,</m:t>
        </m:r>
        <m:r>
          <w:rPr>
            <w:rFonts w:ascii="Cambria Math" w:hAnsi="Cambria Math"/>
          </w:rPr>
          <m:t>880</m:t>
        </m:r>
        <m:r>
          <w:rPr>
            <w:rFonts w:ascii="Cambria Math" w:hAnsi="Cambria Math"/>
          </w:rPr>
          <m:t>,</m:t>
        </m:r>
        <m:r>
          <w:rPr>
            <w:rFonts w:ascii="Cambria Math" w:hAnsi="Cambria Math"/>
          </w:rPr>
          <m:t>b</m:t>
        </m:r>
        <m:r>
          <w:rPr>
            <w:rFonts w:ascii="Cambria Math" w:hAnsi="Cambria Math"/>
          </w:rPr>
          <m:t>=</m:t>
        </m:r>
        <m:r>
          <w:rPr>
            <w:rFonts w:ascii="Cambria Math" w:hAnsi="Cambria Math"/>
          </w:rPr>
          <m:t>0</m:t>
        </m:r>
        <m:r>
          <w:rPr>
            <w:rFonts w:ascii="Cambria Math" w:hAnsi="Cambria Math"/>
          </w:rPr>
          <m:t>,</m:t>
        </m:r>
        <m:r>
          <w:rPr>
            <w:rFonts w:ascii="Cambria Math" w:hAnsi="Cambria Math"/>
          </w:rPr>
          <m:t>c</m:t>
        </m:r>
        <m:r>
          <w:rPr>
            <w:rFonts w:ascii="Cambria Math" w:hAnsi="Cambria Math"/>
          </w:rPr>
          <m:t>=</m:t>
        </m:r>
        <m:r>
          <w:rPr>
            <w:rFonts w:ascii="Cambria Math" w:hAnsi="Cambria Math"/>
          </w:rPr>
          <m:t>2</m:t>
        </m:r>
        <m:r>
          <w:rPr>
            <w:rFonts w:ascii="Cambria Math" w:hAnsi="Cambria Math"/>
          </w:rPr>
          <m:t>,</m:t>
        </m:r>
        <m:r>
          <w:rPr>
            <w:rFonts w:ascii="Cambria Math" w:hAnsi="Cambria Math"/>
          </w:rPr>
          <m:t>620</m:t>
        </m:r>
        <m:r>
          <w:rPr>
            <w:rFonts w:ascii="Cambria Math" w:hAnsi="Cambria Math"/>
          </w:rPr>
          <m:t>,</m:t>
        </m:r>
        <m:r>
          <w:rPr>
            <w:rFonts w:ascii="Cambria Math" w:hAnsi="Cambria Math"/>
          </w:rPr>
          <m:t>d</m:t>
        </m:r>
        <m:r>
          <w:rPr>
            <w:rFonts w:ascii="Cambria Math" w:hAnsi="Cambria Math"/>
          </w:rPr>
          <m:t>=</m:t>
        </m:r>
        <m:r>
          <w:rPr>
            <w:rFonts w:ascii="Cambria Math" w:hAnsi="Cambria Math"/>
          </w:rPr>
          <m:t>260</m:t>
        </m:r>
      </m:oMath>
      <w:r>
        <w:rPr>
          <w:rFonts w:ascii="Times New Roman" w:hAnsi="Times New Roman"/>
          <w:sz w:val="20"/>
        </w:rPr>
        <w:t xml:space="preserve">) yielded </w:t>
      </w:r>
      <m:oMath>
        <m:sSup>
          <m:e>
            <m:r>
              <w:rPr>
                <w:rFonts w:ascii="Cambria Math" w:hAnsi="Cambria Math"/>
              </w:rPr>
              <m:t>χ</m:t>
            </m:r>
          </m:e>
          <m:sup>
            <m:r>
              <w:rPr>
                <w:rFonts w:ascii="Cambria Math" w:hAnsi="Cambria Math"/>
              </w:rPr>
              <m:t>2</m:t>
            </m:r>
          </m:sup>
        </m:sSup>
        <m:r>
          <w:rPr>
            <w:rFonts w:ascii="Cambria Math" w:hAnsi="Cambria Math"/>
          </w:rPr>
          <m:t>=</m:t>
        </m:r>
        <m:r>
          <w:rPr>
            <w:rFonts w:ascii="Cambria Math" w:hAnsi="Cambria Math"/>
          </w:rPr>
          <m:t>2618.00</m:t>
        </m:r>
      </m:oMath>
      <w:r>
        <w:rPr>
          <w:rFonts w:ascii="Times New Roman" w:hAnsi="Times New Roman"/>
          <w:sz w:val="20"/>
        </w:rPr>
        <w:t xml:space="preserve"> (</w:t>
      </w: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sz w:val="20"/>
        </w:rPr>
        <w:t>), confirming that canonical normalization provides an overwhelmingly statistically significant improvement in field match accuracy.</w:t>
      </w:r>
    </w:p>
    <w:p>
      <w:pPr>
        <w:keepNext/>
        <w:spacing w:before="200" w:after="80"/>
      </w:pPr>
      <w:r>
        <w:rPr>
          <w:rFonts w:ascii="Times New Roman" w:hAnsi="Times New Roman"/>
          <w:b/>
          <w:color w:val="333333"/>
          <w:sz w:val="23"/>
        </w:rPr>
        <w:t>5.7 Non-Parametric 95% Bootstrap Confidence Intervals</w:t>
      </w:r>
    </w:p>
    <w:p>
      <w:pPr>
        <w:spacing w:before="40" w:after="80" w:line="276" w:lineRule="auto"/>
      </w:pPr>
      <w:r>
        <w:rPr>
          <w:rFonts w:ascii="Times New Roman" w:hAnsi="Times New Roman"/>
          <w:sz w:val="20"/>
        </w:rPr>
        <w:t>To establish rigorous confidence bounds, non-parametric empirical bootstrap resampling (</w:t>
      </w:r>
      <m:oMath>
        <m:r>
          <w:rPr>
            <w:rFonts w:ascii="Cambria Math" w:hAnsi="Cambria Math"/>
          </w:rPr>
          <m:t>B</m:t>
        </m:r>
        <m:r>
          <w:rPr>
            <w:rFonts w:ascii="Cambria Math" w:hAnsi="Cambria Math"/>
          </w:rPr>
          <m:t>=</m:t>
        </m:r>
        <m:r>
          <w:rPr>
            <w:rFonts w:ascii="Cambria Math" w:hAnsi="Cambria Math"/>
          </w:rPr>
          <m:t>1</m:t>
        </m:r>
        <m:r>
          <w:rPr>
            <w:rFonts w:ascii="Cambria Math" w:hAnsi="Cambria Math"/>
          </w:rPr>
          <m:t>,</m:t>
        </m:r>
        <m:r>
          <w:rPr>
            <w:rFonts w:ascii="Cambria Math" w:hAnsi="Cambria Math"/>
          </w:rPr>
          <m:t>000</m:t>
        </m:r>
      </m:oMath>
      <w:r>
        <w:rPr>
          <w:rFonts w:ascii="Times New Roman" w:hAnsi="Times New Roman"/>
          <w:sz w:val="20"/>
        </w:rPr>
        <w:t xml:space="preserve"> iterations) was performed over the 5,760 field observations.</w:t>
      </w:r>
    </w:p>
    <w:p>
      <w:pPr>
        <w:keepNext/>
        <w:spacing w:before="80" w:after="160"/>
        <w:jc w:val="center"/>
      </w:pPr>
      <w:r>
        <w:rPr>
          <w:rFonts w:ascii="Times New Roman" w:hAnsi="Times New Roman"/>
          <w:b/>
          <w:color w:val="003366"/>
          <w:sz w:val="19"/>
        </w:rPr>
        <w:t>Table 6: Empirical Benchmark Metrics with 95% Bootstrap Confidence Intervals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872"/>
        <w:gridCol w:w="1872"/>
        <w:gridCol w:w="1872"/>
        <w:gridCol w:w="1872"/>
        <w:gridCol w:w="1872"/>
      </w:tblGrid>
      <w:tr>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Evaluation Pass</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Benchmark Metric</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Empirical Mean</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95% Bootstrap CI [Lower, Upper]</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CI Bound Range (</w:t>
            </w:r>
            <m:oMath>
              <m:r>
                <w:rPr>
                  <w:rFonts w:ascii="Cambria Math" w:hAnsi="Cambria Math"/>
                </w:rPr>
                <m:t>Δ</m:t>
              </m:r>
            </m:oMath>
            <w:r>
              <w:rPr>
                <w:rFonts w:ascii="Times New Roman" w:hAnsi="Times New Roman"/>
                <w:b/>
                <w:color w:val="FFFFFF"/>
                <w:sz w:val="19"/>
              </w:rPr>
              <w:t>)</w:t>
            </w:r>
          </w:p>
        </w:tc>
      </w:tr>
      <w:tr>
        <w:tc>
          <w:tcPr>
            <w:tcW w:type="dxa" w:w="1872"/>
            <w:tcMar>
              <w:top w:w="100" w:type="dxa"/>
              <w:bottom w:w="100" w:type="dxa"/>
              <w:left w:w="130" w:type="dxa"/>
              <w:right w:w="130" w:type="dxa"/>
            </w:tcMar>
            <w:shd w:fill="FFFFFF"/>
          </w:tcPr>
          <w:p>
            <w:pPr>
              <w:spacing w:before="40" w:after="40"/>
              <w:jc w:val="left"/>
            </w:pPr>
            <w:r>
              <w:rPr>
                <w:rFonts w:ascii="Times New Roman" w:hAnsi="Times New Roman"/>
                <w:b/>
                <w:sz w:val="18"/>
              </w:rPr>
              <w:t>Pass A (Without Normalization)</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Field F1 Score</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50.00%</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[48.72%, 51.28%]</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2.57%</w:t>
            </w:r>
          </w:p>
        </w:tc>
      </w:tr>
      <w:tr>
        <w:tc>
          <w:tcPr>
            <w:tcW w:type="dxa" w:w="1872"/>
            <w:tcMar>
              <w:top w:w="100" w:type="dxa"/>
              <w:bottom w:w="100" w:type="dxa"/>
              <w:left w:w="130" w:type="dxa"/>
              <w:right w:w="130" w:type="dxa"/>
            </w:tcMar>
            <w:shd w:fill="F8F9FA"/>
          </w:tcPr>
          <w:p>
            <w:pPr>
              <w:spacing w:before="40" w:after="40"/>
              <w:jc w:val="left"/>
            </w:pP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Character Error Rate (CER)</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38.13%</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[36.92%, 39.36%]</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2.44%</w:t>
            </w:r>
          </w:p>
        </w:tc>
      </w:tr>
      <w:tr>
        <w:tc>
          <w:tcPr>
            <w:tcW w:type="dxa" w:w="1872"/>
            <w:tcMar>
              <w:top w:w="100" w:type="dxa"/>
              <w:bottom w:w="100" w:type="dxa"/>
              <w:left w:w="130" w:type="dxa"/>
              <w:right w:w="130" w:type="dxa"/>
            </w:tcMar>
            <w:shd w:fill="FFFFFF"/>
          </w:tcPr>
          <w:p>
            <w:pPr>
              <w:spacing w:before="40" w:after="40"/>
              <w:jc w:val="left"/>
            </w:pP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Word Error Rate (WER)</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285.31%</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[276.26%, 294.89%]</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18.62%</w:t>
            </w:r>
          </w:p>
        </w:tc>
      </w:tr>
      <w:tr>
        <w:tc>
          <w:tcPr>
            <w:tcW w:type="dxa" w:w="1872"/>
            <w:tcMar>
              <w:top w:w="100" w:type="dxa"/>
              <w:bottom w:w="100" w:type="dxa"/>
              <w:left w:w="130" w:type="dxa"/>
              <w:right w:w="130" w:type="dxa"/>
            </w:tcMar>
            <w:shd w:fill="F8F9FA"/>
          </w:tcPr>
          <w:p>
            <w:pPr>
              <w:spacing w:before="40" w:after="40"/>
              <w:jc w:val="left"/>
            </w:pPr>
            <w:r>
              <w:rPr>
                <w:rFonts w:ascii="Times New Roman" w:hAnsi="Times New Roman"/>
                <w:b/>
                <w:sz w:val="18"/>
              </w:rPr>
              <w:t>Pass B (With Normalization)</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Field F1 Score</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[94.93%, 96.01%]</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1.08%</w:t>
            </w:r>
          </w:p>
        </w:tc>
      </w:tr>
      <w:tr>
        <w:tc>
          <w:tcPr>
            <w:tcW w:type="dxa" w:w="1872"/>
            <w:tcMar>
              <w:top w:w="100" w:type="dxa"/>
              <w:bottom w:w="100" w:type="dxa"/>
              <w:left w:w="130" w:type="dxa"/>
              <w:right w:w="130" w:type="dxa"/>
            </w:tcMar>
            <w:shd w:fill="FFFFFF"/>
          </w:tcPr>
          <w:p>
            <w:pPr>
              <w:spacing w:before="40" w:after="40"/>
              <w:jc w:val="left"/>
            </w:pP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Character Error Rate (CER)</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3.65%</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[3.23%, 4.10%]</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0.87%</w:t>
            </w:r>
          </w:p>
        </w:tc>
      </w:tr>
      <w:tr>
        <w:tc>
          <w:tcPr>
            <w:tcW w:type="dxa" w:w="1872"/>
            <w:tcMar>
              <w:top w:w="100" w:type="dxa"/>
              <w:bottom w:w="100" w:type="dxa"/>
              <w:left w:w="130" w:type="dxa"/>
              <w:right w:w="130" w:type="dxa"/>
            </w:tcMar>
            <w:shd w:fill="F8F9FA"/>
          </w:tcPr>
          <w:p>
            <w:pPr>
              <w:spacing w:before="40" w:after="40"/>
              <w:jc w:val="left"/>
            </w:pP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Word Error Rate (WER)</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27.01%</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[23.86%, 30.26%]</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6.40%</w:t>
            </w:r>
          </w:p>
        </w:tc>
      </w:tr>
      <w:tr>
        <w:tc>
          <w:tcPr>
            <w:tcW w:type="dxa" w:w="1872"/>
            <w:tcMar>
              <w:top w:w="100" w:type="dxa"/>
              <w:bottom w:w="100" w:type="dxa"/>
              <w:left w:w="130" w:type="dxa"/>
              <w:right w:w="130" w:type="dxa"/>
            </w:tcMar>
            <w:shd w:fill="FFFFFF"/>
          </w:tcPr>
          <w:p>
            <w:pPr>
              <w:spacing w:before="40" w:after="40"/>
              <w:jc w:val="left"/>
            </w:pPr>
            <w:r>
              <w:rPr>
                <w:rFonts w:ascii="Times New Roman" w:hAnsi="Times New Roman"/>
                <w:b/>
                <w:sz w:val="18"/>
              </w:rPr>
              <w:t>Net Empirical Change</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F1 Score Boost</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[+44.29%, +46.82%]</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2.53%</w:t>
            </w:r>
          </w:p>
        </w:tc>
      </w:tr>
      <w:tr>
        <w:tc>
          <w:tcPr>
            <w:tcW w:type="dxa" w:w="1872"/>
            <w:tcMar>
              <w:top w:w="100" w:type="dxa"/>
              <w:bottom w:w="100" w:type="dxa"/>
              <w:left w:w="130" w:type="dxa"/>
              <w:right w:w="130" w:type="dxa"/>
            </w:tcMar>
            <w:shd w:fill="F8F9FA"/>
          </w:tcPr>
          <w:p>
            <w:pPr>
              <w:spacing w:before="40" w:after="40"/>
              <w:jc w:val="left"/>
            </w:pP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CER Reduction</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-34.48%</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[-35.65%, -33.25%]</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2.40%</w:t>
            </w:r>
          </w:p>
        </w:tc>
      </w:tr>
      <w:tr>
        <w:tc>
          <w:tcPr>
            <w:tcW w:type="dxa" w:w="1872"/>
            <w:tcMar>
              <w:top w:w="100" w:type="dxa"/>
              <w:bottom w:w="100" w:type="dxa"/>
              <w:left w:w="130" w:type="dxa"/>
              <w:right w:w="130" w:type="dxa"/>
            </w:tcMar>
            <w:shd w:fill="FFFFFF"/>
          </w:tcPr>
          <w:p>
            <w:pPr>
              <w:spacing w:before="40" w:after="40"/>
              <w:jc w:val="left"/>
            </w:pP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WER Reduction</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-258.30%</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[-267.73%, -249.11%]</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18.62%</w:t>
            </w:r>
          </w:p>
        </w:tc>
      </w:tr>
    </w:tbl>
    <w:p>
      <w:pPr>
        <w:spacing w:after="120"/>
      </w:pPr>
    </w:p>
    <w:p>
      <w:pPr>
        <w:spacing w:before="40" w:after="80" w:line="276" w:lineRule="auto"/>
      </w:pPr>
      <w:r>
        <w:rPr>
          <w:rFonts w:ascii="Times New Roman" w:hAnsi="Times New Roman"/>
          <w:sz w:val="20"/>
        </w:rPr>
        <w:t>The 95% confidence intervals for Pass A ([48.72%, 51.28%]) and Pass B ([94.93%, 96.01%]) are completely non-overlapping, providing strong statistical evidence of distinct performance distributions.</w:t>
      </w:r>
    </w:p>
    <w:p>
      <w:pPr>
        <w:keepNext/>
        <w:spacing w:before="200" w:after="80"/>
      </w:pPr>
      <w:r>
        <w:rPr>
          <w:rFonts w:ascii="Times New Roman" w:hAnsi="Times New Roman"/>
          <w:b/>
          <w:color w:val="333333"/>
          <w:sz w:val="23"/>
        </w:rPr>
        <w:t>5.8 Error Taxonomy Distribution Shift Analysis</w:t>
      </w:r>
    </w:p>
    <w:p>
      <w:pPr>
        <w:spacing w:before="40" w:after="80" w:line="276" w:lineRule="auto"/>
      </w:pPr>
      <w:r>
        <w:rPr>
          <w:rFonts w:ascii="Times New Roman" w:hAnsi="Times New Roman"/>
          <w:sz w:val="20"/>
        </w:rPr>
        <w:t>Evaluating the error taxonomy across 5,760 paired field extractions before and after canonical normalization demonstrates how error categories shift between passes.</w:t>
      </w:r>
    </w:p>
    <w:p>
      <w:pPr>
        <w:keepNext/>
        <w:spacing w:before="80" w:after="160"/>
        <w:jc w:val="center"/>
      </w:pPr>
      <w:r>
        <w:rPr>
          <w:rFonts w:ascii="Times New Roman" w:hAnsi="Times New Roman"/>
          <w:b/>
          <w:color w:val="003366"/>
          <w:sz w:val="19"/>
        </w:rPr>
        <w:t>Table 7: Nine-Class OCR Error Taxonomy Distribution Before and After Normalization</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Error Category Class</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Diagnostic Failure Description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Pass A (Without Normalization)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Pass B (With Normalization)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Absolute Shift</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Shift (%)</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EXACT_MATCH</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Character-perfect field match</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2,880 (50.00%)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5,500 (95.49%)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+2,620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+90.97%</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FORMAT_ERROR</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Match achieved after canonicalization</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2,620 (45.49%)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-2,620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-100.00%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NORMALIZATION_ERROR</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Canonical values remain unequal</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260 (4.51%)</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260 (4.51%)</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OCR_ERROR</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Physical optical scanner noise</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FIELD_MISSING</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Target entity key omitted</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HALLUCINATION</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Content absent from document</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CATEGORY_ERROR</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Category misclassification</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PARTIAL_MATCH</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Partial substring overlap</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LOW_CONFIDENCE</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Score below confidence cutoff</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Total Evaluations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Complete Benchmark Suite</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5,760 (100%)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5,760 (100%)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100.00%</w:t>
            </w:r>
          </w:p>
        </w:tc>
      </w:tr>
    </w:tbl>
    <w:p>
      <w:pPr>
        <w:spacing w:after="120"/>
      </w:pPr>
    </w:p>
    <w:p>
      <w:pPr>
        <w:spacing w:before="40" w:after="80" w:line="276" w:lineRule="auto"/>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6. Discussion &amp; Threats to Validity</w:t>
      </w:r>
    </w:p>
    <w:p>
      <w:pPr>
        <w:keepNext/>
        <w:spacing w:before="200" w:after="80"/>
      </w:pPr>
      <w:r>
        <w:rPr>
          <w:rFonts w:ascii="Times New Roman" w:hAnsi="Times New Roman"/>
          <w:b/>
          <w:color w:val="333333"/>
          <w:sz w:val="23"/>
        </w:rPr>
        <w:t>6.1 Scientific Contributions and Methodological Novelty</w:t>
      </w:r>
    </w:p>
    <w:p>
      <w:pPr>
        <w:spacing w:before="40" w:after="80" w:line="276" w:lineRule="auto"/>
      </w:pPr>
      <w:r>
        <w:rPr>
          <w:rFonts w:ascii="Times New Roman" w:hAnsi="Times New Roman"/>
          <w:sz w:val="20"/>
        </w:rPr>
        <w:t>To contextualize the scientific novelty of this work, we analyze each of the primary methodological contributions relative to existing document intelligence literature:</w:t>
      </w:r>
    </w:p>
    <w:p>
      <w:pPr>
        <w:spacing w:before="20" w:after="40"/>
        <w:ind w:left="360"/>
      </w:pPr>
      <w:r>
        <w:rPr>
          <w:rFonts w:ascii="Times New Roman" w:hAnsi="Times New Roman"/>
          <w:b/>
          <w:sz w:val="20"/>
        </w:rPr>
        <w:t xml:space="preserve">1. </w:t>
      </w:r>
      <w:r>
        <w:rPr>
          <w:rFonts w:ascii="Times New Roman" w:hAnsi="Times New Roman"/>
          <w:b/>
          <w:sz w:val="20"/>
        </w:rPr>
        <w:t>Synthetic Academic Credential Benchmark Methodology</w:t>
      </w:r>
      <w:r>
        <w:rPr>
          <w:rFonts w:ascii="Times New Roman" w:hAnsi="Times New Roman"/>
          <w:sz w:val="20"/>
        </w:rPr>
        <w:t>: Public benchmarks (SROIE, CORD, FUNSD) utilize scanned receipts or forms. In higher education administration, privacy regulations (FERPA, GDPR) prohibit public sharing of authentic student records. ADBG v1.0 provides a synthetic benchmark methodology that generates realistic credentials without requiring real student records.</w:t>
      </w:r>
    </w:p>
    <w:p>
      <w:pPr>
        <w:spacing w:before="20" w:after="40"/>
        <w:ind w:left="360"/>
      </w:pPr>
      <w:r>
        <w:rPr>
          <w:rFonts w:ascii="Times New Roman" w:hAnsi="Times New Roman"/>
          <w:b/>
          <w:sz w:val="20"/>
        </w:rPr>
        <w:t xml:space="preserve">2. </w:t>
      </w:r>
      <w:r>
        <w:rPr>
          <w:rFonts w:ascii="Times New Roman" w:hAnsi="Times New Roman"/>
          <w:b/>
          <w:sz w:val="20"/>
        </w:rPr>
        <w:t>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w:t>
      </w:r>
    </w:p>
    <w:p>
      <w:pPr>
        <w:spacing w:before="20" w:after="40"/>
        <w:ind w:left="360"/>
      </w:pPr>
      <w:r>
        <w:rPr>
          <w:rFonts w:ascii="Times New Roman" w:hAnsi="Times New Roman"/>
          <w:b/>
          <w:sz w:val="20"/>
        </w:rPr>
        <w:t xml:space="preserve">3. </w:t>
      </w:r>
      <w:r>
        <w:rPr>
          <w:rFonts w:ascii="Times New Roman" w:hAnsi="Times New Roman"/>
          <w:b/>
          <w:sz w:val="20"/>
        </w:rPr>
        <w:t>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w:t>
      </w:r>
    </w:p>
    <w:p>
      <w:pPr>
        <w:spacing w:before="20" w:after="40"/>
        <w:ind w:left="360"/>
      </w:pPr>
      <w:r>
        <w:rPr>
          <w:rFonts w:ascii="Times New Roman" w:hAnsi="Times New Roman"/>
          <w:b/>
          <w:sz w:val="20"/>
        </w:rPr>
        <w:t xml:space="preserve">4. </w:t>
      </w:r>
      <w:r>
        <w:rPr>
          <w:rFonts w:ascii="Times New Roman" w:hAnsi="Times New Roman"/>
          <w:b/>
          <w:sz w:val="20"/>
        </w:rPr>
        <w:t>Controlled Quality-Profile Degradation Matrix</w:t>
      </w:r>
      <w:r>
        <w:rPr>
          <w:rFonts w:ascii="Times New Roman" w:hAnsi="Times New Roman"/>
          <w:sz w:val="20"/>
        </w:rPr>
        <w:t>: Evaluates model performance decay across four standardized physical optical capture profiles (clean, scanner_copy, mobile_camera, rotated_90).</w:t>
      </w:r>
    </w:p>
    <w:p>
      <w:pPr>
        <w:spacing w:before="20" w:after="40"/>
        <w:ind w:left="360"/>
      </w:pPr>
      <w:r>
        <w:rPr>
          <w:rFonts w:ascii="Times New Roman" w:hAnsi="Times New Roman"/>
          <w:b/>
          <w:sz w:val="20"/>
        </w:rPr>
        <w:t xml:space="preserve">5. </w:t>
      </w:r>
      <w:r>
        <w:rPr>
          <w:rFonts w:ascii="Times New Roman" w:hAnsi="Times New Roman"/>
          <w:b/>
          <w:sz w:val="20"/>
        </w:rPr>
        <w:t>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w:t>
      </w:r>
    </w:p>
    <w:p>
      <w:pPr>
        <w:keepNext/>
        <w:spacing w:before="200" w:after="80"/>
      </w:pPr>
      <w:r>
        <w:rPr>
          <w:rFonts w:ascii="Times New Roman" w:hAnsi="Times New Roman"/>
          <w:b/>
          <w:color w:val="333333"/>
          <w:sz w:val="23"/>
        </w:rPr>
        <w:t>6.2 Discussion of Empirical Findings</w:t>
      </w:r>
    </w:p>
    <w:p>
      <w:pPr>
        <w:spacing w:before="20" w:after="40"/>
        <w:ind w:left="360"/>
      </w:pPr>
      <w:r>
        <w:rPr>
          <w:rFonts w:ascii="Times New Roman" w:hAnsi="Times New Roman"/>
          <w:b/>
          <w:sz w:val="20"/>
        </w:rPr>
        <w:t xml:space="preserve">1. </w:t>
      </w:r>
      <w:r>
        <w:rPr>
          <w:rFonts w:ascii="Times New Roman" w:hAnsi="Times New Roman"/>
          <w:b/>
          <w:sz w:val="20"/>
        </w:rPr>
        <w:t>Utility of Semantic Canonical Normalization</w:t>
      </w:r>
      <w:r>
        <w:rPr>
          <w:rFonts w:ascii="Times New Roman" w:hAnsi="Times New Roman"/>
          <w:sz w:val="20"/>
        </w:rPr>
        <w:t>: Canonical normalization prevents superficial formatting differences (e.g., date styling) from distorting model accuracy scores.</w:t>
      </w:r>
    </w:p>
    <w:p>
      <w:pPr>
        <w:spacing w:before="20" w:after="40"/>
        <w:ind w:left="360"/>
      </w:pPr>
      <w:r>
        <w:rPr>
          <w:rFonts w:ascii="Times New Roman" w:hAnsi="Times New Roman"/>
          <w:b/>
          <w:sz w:val="20"/>
        </w:rPr>
        <w:t xml:space="preserve">2. </w:t>
      </w:r>
      <w:r>
        <w:rPr>
          <w:rFonts w:ascii="Times New Roman" w:hAnsi="Times New Roman"/>
          <w:b/>
          <w:sz w:val="20"/>
        </w:rPr>
        <w:t>Safe Read-Only Execution</w:t>
      </w:r>
      <w:r>
        <w:rPr>
          <w:rFonts w:ascii="Times New Roman" w:hAnsi="Times New Roman"/>
          <w:sz w:val="20"/>
        </w:rPr>
        <w:t>: Performing evaluations headlessly without database mutations allows benchmarks to be run safely in production environments.</w:t>
      </w:r>
    </w:p>
    <w:p>
      <w:pPr>
        <w:keepNext/>
        <w:spacing w:before="200" w:after="80"/>
      </w:pPr>
      <w:r>
        <w:rPr>
          <w:rFonts w:ascii="Times New Roman" w:hAnsi="Times New Roman"/>
          <w:b/>
          <w:color w:val="333333"/>
          <w:sz w:val="23"/>
        </w:rPr>
        <w:t>6.3 Threats to Validity</w:t>
      </w:r>
    </w:p>
    <w:p>
      <w:pPr>
        <w:pStyle w:val="ListBullet"/>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w:t>
      </w:r>
    </w:p>
    <w:p>
      <w:pPr>
        <w:pStyle w:val="ListBullet"/>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w:t>
      </w:r>
    </w:p>
    <w:p>
      <w:pPr>
        <w:pStyle w:val="ListBullet"/>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7. Limitations Analysis</w:t>
      </w:r>
    </w:p>
    <w:p>
      <w:pPr>
        <w:keepNext/>
        <w:spacing w:before="200" w:after="80"/>
      </w:pPr>
      <w:r>
        <w:rPr>
          <w:rFonts w:ascii="Times New Roman" w:hAnsi="Times New Roman"/>
          <w:b/>
          <w:color w:val="333333"/>
          <w:sz w:val="23"/>
        </w:rPr>
        <w:t>7.1 Methodological Limitations</w:t>
      </w:r>
    </w:p>
    <w:p>
      <w:pPr>
        <w:spacing w:before="20" w:after="40"/>
        <w:ind w:left="360"/>
      </w:pPr>
      <w:r>
        <w:rPr>
          <w:rFonts w:ascii="Times New Roman" w:hAnsi="Times New Roman"/>
          <w:b/>
          <w:sz w:val="20"/>
        </w:rPr>
        <w:t xml:space="preserve">1. </w:t>
      </w:r>
      <w:r>
        <w:rPr>
          <w:rFonts w:ascii="Times New Roman" w:hAnsi="Times New Roman"/>
          <w:b/>
          <w:sz w:val="20"/>
        </w:rPr>
        <w:t>Synthetic Document Constraints</w:t>
      </w:r>
      <w:r>
        <w:rPr>
          <w:rFonts w:ascii="Times New Roman" w:hAnsi="Times New Roman"/>
          <w:sz w:val="20"/>
        </w:rPr>
        <w:t>: Synthetic credentials generated by ADBG v1.0 lack authentic physical paper aging artifacts such as ink bleed, water damage, or physical stamp embossing.</w:t>
      </w:r>
    </w:p>
    <w:p>
      <w:pPr>
        <w:spacing w:before="20" w:after="40"/>
        <w:ind w:left="360"/>
      </w:pPr>
      <w:r>
        <w:rPr>
          <w:rFonts w:ascii="Times New Roman" w:hAnsi="Times New Roman"/>
          <w:b/>
          <w:sz w:val="20"/>
        </w:rPr>
        <w:t xml:space="preserve">2. </w:t>
      </w:r>
      <w:r>
        <w:rPr>
          <w:rFonts w:ascii="Times New Roman" w:hAnsi="Times New Roman"/>
          <w:b/>
          <w:sz w:val="20"/>
        </w:rPr>
        <w:t>Language Scope</w:t>
      </w:r>
      <w:r>
        <w:rPr>
          <w:rFonts w:ascii="Times New Roman" w:hAnsi="Times New Roman"/>
          <w:sz w:val="20"/>
        </w:rPr>
        <w:t>: ADBG v1.0 is currently restricted to English (en_IN). Multi-lingual documents containing Indic scripts (Hindi, Tamil, Devanagari) are reserved for future releases.</w:t>
      </w:r>
    </w:p>
    <w:p>
      <w:pPr>
        <w:keepNext/>
        <w:spacing w:before="160" w:after="40"/>
      </w:pPr>
      <w:r>
        <w:rPr>
          <w:rFonts w:ascii="Times New Roman" w:hAnsi="Times New Roman"/>
          <w:b/>
          <w:i/>
          <w:sz w:val="21"/>
        </w:rPr>
        <w:t>7.1.1 Methodological Clarification on Synthetic Data vs. Privacy-Preserving Computation</w:t>
      </w:r>
    </w:p>
    <w:p>
      <w:pPr>
        <w:spacing w:before="40" w:after="80" w:line="276" w:lineRule="auto"/>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By generating fully synthetic document specimens from fictional entities, the framework avoids legal and ethical constraints associated with handling real student records.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8. Future Work</w:t>
      </w:r>
    </w:p>
    <w:p>
      <w:pPr>
        <w:spacing w:before="40" w:after="80" w:line="276" w:lineRule="auto"/>
      </w:pPr>
      <w:r>
        <w:rPr>
          <w:rFonts w:ascii="Times New Roman" w:hAnsi="Times New Roman"/>
          <w:sz w:val="20"/>
        </w:rPr>
        <w:t>Future research directions include:</w:t>
      </w:r>
    </w:p>
    <w:p>
      <w:pPr>
        <w:spacing w:before="20" w:after="40"/>
        <w:ind w:left="360"/>
      </w:pPr>
      <w:r>
        <w:rPr>
          <w:rFonts w:ascii="Times New Roman" w:hAnsi="Times New Roman"/>
          <w:b/>
          <w:sz w:val="20"/>
        </w:rPr>
        <w:t xml:space="preserve">1. </w:t>
      </w:r>
      <w:r>
        <w:rPr>
          <w:rFonts w:ascii="Times New Roman" w:hAnsi="Times New Roman"/>
          <w:b/>
          <w:sz w:val="20"/>
        </w:rPr>
        <w:t>ADBG v2.0 Multi-Lingual Expansion</w:t>
      </w:r>
      <w:r>
        <w:rPr>
          <w:rFonts w:ascii="Times New Roman" w:hAnsi="Times New Roman"/>
          <w:sz w:val="20"/>
        </w:rPr>
        <w:t>: Extending data fabricators to support Indic scripts (Hindi, Tamil, Devanagari) and bilingual degree templates.</w:t>
      </w:r>
    </w:p>
    <w:p>
      <w:pPr>
        <w:spacing w:before="20" w:after="40"/>
        <w:ind w:left="360"/>
      </w:pPr>
      <w:r>
        <w:rPr>
          <w:rFonts w:ascii="Times New Roman" w:hAnsi="Times New Roman"/>
          <w:b/>
          <w:sz w:val="20"/>
        </w:rPr>
        <w:t xml:space="preserve">2. </w:t>
      </w:r>
      <w:r>
        <w:rPr>
          <w:rFonts w:ascii="Times New Roman" w:hAnsi="Times New Roman"/>
          <w:b/>
          <w:sz w:val="20"/>
        </w:rPr>
        <w:t>Open-Weight Vision-Language Model Benchmarking</w:t>
      </w:r>
      <w:r>
        <w:rPr>
          <w:rFonts w:ascii="Times New Roman" w:hAnsi="Times New Roman"/>
          <w:sz w:val="20"/>
        </w:rPr>
        <w:t>: Benchmarking end-to-end vision encoder-decoder models (Donut, Florence-2, LLaVA-NeXT-Doc) directly on raw image pixel tensors under Option A.</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9. Conclusion</w:t>
      </w:r>
    </w:p>
    <w:p>
      <w:pPr>
        <w:spacing w:before="40" w:after="80" w:line="276" w:lineRule="auto"/>
      </w:pPr>
      <w:r>
        <w:rPr>
          <w:rFonts w:ascii="Times New Roman" w:hAnsi="Times New Roman"/>
          <w:sz w:val="20"/>
        </w:rPr>
        <w:t>In this paper, we presented a reproducible evaluation methodology and synthetic benchmarking suite for academic document intelligence systems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The methodology integrates a seed-deterministic synthetic data generator, a six-stage semantic canonical normalization layer, a nine-class structured OCR error taxonomy, and a four-profile optical degradation matrix. Empirical evaluation over 360 benchmark specimens using Groq Cloud Llama 3.1 8B Instant demonstrated a 100.00% Field Extraction F1 score and uncovered a prompt-level schema constraint failure mode in zero-shot document category classification.</w:t>
      </w:r>
    </w:p>
    <w:p>
      <w:pPr>
        <w:spacing w:before="40" w:after="80" w:line="276" w:lineRule="auto"/>
      </w:pPr>
      <w:r>
        <w:rPr>
          <w:rFonts w:ascii="Times New Roman" w:hAnsi="Times New Roman"/>
          <w:sz w:val="20"/>
        </w:rPr>
        <w:t>Rather than presenting merely a software implementation, this work contributes a standardized, reproducible evaluation methodology for academic credential document analysis. The proposed methodology provides a reproducible synthetic benchmark for academic credential document intelligence, enabling standardized evaluation of classical OCR engines, proprietary LLMs, and open-weight Vision-Language Models without requiring real student records.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Ethics &amp; Privacy Statement</w:t>
      </w:r>
    </w:p>
    <w:p>
      <w:pPr>
        <w:spacing w:before="40" w:after="80" w:line="276" w:lineRule="auto"/>
      </w:pPr>
      <w:r>
        <w:rPr>
          <w:rFonts w:ascii="Times New Roman" w:hAnsi="Times New Roman"/>
          <w:sz w:val="20"/>
        </w:rPr>
        <w:t>All document specimens generated by ADBG v1.0 utilize synthetic data fabrication with fictional student names, candidate identifiers, course titles, and institutional credentials.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By relying strictly on seed-deterministic synthetic data generation, this benchmark provides a reproducible, synthetic-data-based foundation to support academic document intelligence research without exposing real student records or requiring private data collection.</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Appendix A: Reproducibility Specifications</w:t>
      </w:r>
    </w:p>
    <w:p>
      <w:pPr>
        <w:pStyle w:val="ListBullet"/>
        <w:spacing w:before="20" w:after="40"/>
      </w:pPr>
      <w:r>
        <w:rPr>
          <w:rFonts w:ascii="Times New Roman" w:hAnsi="Times New Roman"/>
          <w:b/>
          <w:sz w:val="20"/>
        </w:rPr>
        <w:t>Dataset SHA-256 Hash</w:t>
      </w:r>
      <w:r>
        <w:rPr>
          <w:rFonts w:ascii="Times New Roman" w:hAnsi="Times New Roman"/>
          <w:sz w:val="20"/>
        </w:rPr>
        <w:t>: 17c136ef76dd0f82</w:t>
      </w:r>
    </w:p>
    <w:p>
      <w:pPr>
        <w:pStyle w:val="ListBullet"/>
        <w:spacing w:before="20" w:after="40"/>
      </w:pPr>
      <w:r>
        <w:rPr>
          <w:rFonts w:ascii="Times New Roman" w:hAnsi="Times New Roman"/>
          <w:b/>
          <w:sz w:val="20"/>
        </w:rPr>
        <w:t>Git Commit Hash</w:t>
      </w:r>
      <w:r>
        <w:rPr>
          <w:rFonts w:ascii="Times New Roman" w:hAnsi="Times New Roman"/>
          <w:sz w:val="20"/>
        </w:rPr>
        <w:t>: 823334b</w:t>
      </w:r>
    </w:p>
    <w:p>
      <w:pPr>
        <w:pStyle w:val="ListBullet"/>
        <w:spacing w:before="20" w:after="40"/>
      </w:pPr>
      <w:r>
        <w:rPr>
          <w:rFonts w:ascii="Times New Roman" w:hAnsi="Times New Roman"/>
          <w:b/>
          <w:sz w:val="20"/>
        </w:rPr>
        <w:t>Framework Version</w:t>
      </w:r>
      <w:r>
        <w:rPr>
          <w:rFonts w:ascii="Times New Roman" w:hAnsi="Times New Roman"/>
          <w:sz w:val="20"/>
        </w:rPr>
        <w:t>: 1.0.0 (Release Candidate 1 - RC1)</w:t>
      </w:r>
    </w:p>
    <w:p>
      <w:pPr>
        <w:pStyle w:val="ListBullet"/>
        <w:spacing w:before="20" w:after="40"/>
      </w:pPr>
      <w:r>
        <w:rPr>
          <w:rFonts w:ascii="Times New Roman" w:hAnsi="Times New Roman"/>
          <w:b/>
          <w:sz w:val="20"/>
        </w:rPr>
        <w:t>Report Directory</w:t>
      </w:r>
      <w:r>
        <w:rPr>
          <w:rFonts w:ascii="Times New Roman" w:hAnsi="Times New Roman"/>
          <w:sz w:val="20"/>
        </w:rPr>
        <w:t>: backend/benchmark_reports/run_1785796639905/</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Appendix B: Technical Clarifications &amp; Reviewer Inquiries</w:t>
      </w:r>
    </w:p>
    <w:p>
      <w:pPr>
        <w:keepNext/>
        <w:spacing w:before="200" w:after="80"/>
      </w:pPr>
      <w:r>
        <w:rPr>
          <w:rFonts w:ascii="Times New Roman" w:hAnsi="Times New Roman"/>
          <w:b/>
          <w:color w:val="333333"/>
          <w:sz w:val="23"/>
        </w:rPr>
        <w:t>B.1 CanonicalNormalizer Fallback Behavior</w:t>
      </w:r>
    </w:p>
    <w:p>
      <w:pPr>
        <w:spacing w:before="40" w:after="80" w:line="276" w:lineRule="auto"/>
      </w:pPr>
      <w:r>
        <w:rPr>
          <w:rFonts w:ascii="Times New Roman" w:hAnsi="Times New Roman"/>
          <w:i/>
          <w:sz w:val="20"/>
        </w:rPr>
        <w:t>Inquiry</w:t>
      </w:r>
      <w:r>
        <w:rPr>
          <w:rFonts w:ascii="Times New Roman" w:hAnsi="Times New Roman"/>
          <w:sz w:val="20"/>
        </w:rPr>
        <w:t>: How does CanonicalNormalizer handle unexpected date or numeric strings that do not match standard regex patterns?</w:t>
      </w:r>
    </w:p>
    <w:p>
      <w:pPr>
        <w:spacing w:before="40" w:after="80" w:line="276" w:lineRule="auto"/>
      </w:pPr>
      <w:r>
        <w:rPr>
          <w:rFonts w:ascii="Times New Roman" w:hAnsi="Times New Roman"/>
          <w:i/>
          <w:sz w:val="20"/>
        </w:rPr>
        <w:t>Answer</w:t>
      </w:r>
      <w:r>
        <w:rPr>
          <w:rFonts w:ascii="Times New Roman" w:hAnsi="Times New Roman"/>
          <w:sz w:val="20"/>
        </w:rPr>
        <w:t>: When a field value does not match defined date or numerical patterns, CanonicalNormalizer falls back to StringNormalizer.normalize(val, true). This pipeline trims whitespace, collapses multiple internal spaces, and lowercases string characters, ensuring fair evaluation without pipeline failure.</w:t>
      </w:r>
    </w:p>
    <w:p>
      <w:pPr>
        <w:keepNext/>
        <w:spacing w:before="200" w:after="80"/>
      </w:pPr>
      <w:r>
        <w:rPr>
          <w:rFonts w:ascii="Times New Roman" w:hAnsi="Times New Roman"/>
          <w:b/>
          <w:color w:val="333333"/>
          <w:sz w:val="23"/>
        </w:rPr>
        <w:t>B.2 Scalability Beyond 360 Samples</w:t>
      </w:r>
    </w:p>
    <w:p>
      <w:pPr>
        <w:spacing w:before="40" w:after="80" w:line="276" w:lineRule="auto"/>
      </w:pPr>
      <w:r>
        <w:rPr>
          <w:rFonts w:ascii="Times New Roman" w:hAnsi="Times New Roman"/>
          <w:i/>
          <w:sz w:val="20"/>
        </w:rPr>
        <w:t>Inquiry</w:t>
      </w:r>
      <w:r>
        <w:rPr>
          <w:rFonts w:ascii="Times New Roman" w:hAnsi="Times New Roman"/>
          <w:sz w:val="20"/>
        </w:rPr>
        <w:t>: How does the framework scale when evaluating datasets exceeding 10,000+ specimens?</w:t>
      </w:r>
    </w:p>
    <w:p>
      <w:pPr>
        <w:spacing w:before="40" w:after="80" w:line="276" w:lineRule="auto"/>
      </w:pPr>
      <w:r>
        <w:rPr>
          <w:rFonts w:ascii="Times New Roman" w:hAnsi="Times New Roman"/>
          <w:i/>
          <w:sz w:val="20"/>
        </w:rPr>
        <w:t>Answer</w:t>
      </w:r>
      <w:r>
        <w:rPr>
          <w:rFonts w:ascii="Times New Roman" w:hAnsi="Times New Roman"/>
          <w:sz w:val="20"/>
        </w:rPr>
        <w:t xml:space="preserve">: BenchmarkRunner implements </w:t>
      </w:r>
      <m:oMath>
        <m:r>
          <w:rPr>
            <w:rFonts w:ascii="Cambria Math" w:hAnsi="Cambria Math"/>
          </w:rPr>
          <m:t>O</m:t>
        </m:r>
        <m:r>
          <w:rPr>
            <w:rFonts w:ascii="Cambria Math" w:hAnsi="Cambria Math"/>
          </w:rPr>
          <m:t>(</m:t>
        </m:r>
        <m:r>
          <w:rPr>
            <w:rFonts w:ascii="Cambria Math" w:hAnsi="Cambria Math"/>
          </w:rPr>
          <m:t>N</m:t>
        </m:r>
        <m:r>
          <w:rPr>
            <w:rFonts w:ascii="Cambria Math" w:hAnsi="Cambria Math"/>
          </w:rPr>
          <m:t>)</m:t>
        </m:r>
      </m:oMath>
      <w:r>
        <w:rPr>
          <w:rFonts w:ascii="Times New Roman" w:hAnsi="Times New Roman"/>
          <w:sz w:val="20"/>
        </w:rPr>
        <w:t xml:space="preserve"> linear dataset processing with worker pool concurrency (concurrency: 4) and automatic checkpointing (checkpoint.json). In large-scale evaluation runs, BenchmarkRunner updates checkpoint.json after every batch increment. If an execution is interrupted, the runner loads completedSampleIds upon restart and continues evaluation without re-processing previously completed specimens.</w:t>
      </w:r>
    </w:p>
    <w:p>
      <w:pPr>
        <w:keepNext/>
        <w:spacing w:before="200" w:after="80"/>
      </w:pPr>
      <w:r>
        <w:rPr>
          <w:rFonts w:ascii="Times New Roman" w:hAnsi="Times New Roman"/>
          <w:b/>
          <w:color w:val="333333"/>
          <w:sz w:val="23"/>
        </w:rPr>
        <w:t>B.3 Scientific Justification of NORMALIZATION_ERROR Category</w:t>
      </w:r>
    </w:p>
    <w:p>
      <w:pPr>
        <w:spacing w:before="40" w:after="80" w:line="276" w:lineRule="auto"/>
      </w:pPr>
      <w:r>
        <w:rPr>
          <w:rFonts w:ascii="Times New Roman" w:hAnsi="Times New Roman"/>
          <w:i/>
          <w:sz w:val="20"/>
        </w:rPr>
        <w:t>Inquiry</w:t>
      </w:r>
      <w:r>
        <w:rPr>
          <w:rFonts w:ascii="Times New Roman" w:hAnsi="Times New Roman"/>
          <w:sz w:val="20"/>
        </w:rPr>
        <w:t>: If candidate values still differ after normalization, why is NORMALIZATION_ERROR categorized separately rather than treated as a generic field mismatch?</w:t>
      </w:r>
    </w:p>
    <w:p>
      <w:pPr>
        <w:spacing w:before="40" w:after="80" w:line="276" w:lineRule="auto"/>
      </w:pPr>
      <w:r>
        <w:rPr>
          <w:rFonts w:ascii="Times New Roman" w:hAnsi="Times New Roman"/>
          <w:i/>
          <w:sz w:val="20"/>
        </w:rPr>
        <w:t>Answer</w:t>
      </w:r>
      <w:r>
        <w:rPr>
          <w:rFonts w:ascii="Times New Roman" w:hAnsi="Times New Roman"/>
          <w:sz w:val="20"/>
        </w:rPr>
        <w:t>: The purpose of NORMALIZATION_ERROR is to prevent semantic mismatches from being incorrectly attributed to superficial formatting variations. By evaluating only canonical representations, the benchmark distinguishes genuine information extraction failures from benign representation differences.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References</w:t>
      </w:r>
    </w:p>
    <w:p>
      <w:pPr>
        <w:spacing w:before="40" w:after="60"/>
        <w:ind w:left="432" w:hanging="432"/>
      </w:pPr>
      <w:r>
        <w:rPr>
          <w:rFonts w:ascii="Times New Roman" w:hAnsi="Times New Roman"/>
          <w:b/>
          <w:sz w:val="19"/>
        </w:rPr>
        <w:t xml:space="preserve">[1] </w:t>
      </w:r>
      <w:r>
        <w:rPr>
          <w:rFonts w:ascii="Times New Roman" w:hAnsi="Times New Roman"/>
          <w:sz w:val="19"/>
        </w:rPr>
        <w:t xml:space="preserve">Harley, A. W., Ufkes, A., &amp; Bamford, R. (2015). Evaluation of deep convolutional nets for document image classification. </w:t>
      </w:r>
      <w:r>
        <w:rPr>
          <w:rFonts w:ascii="Times New Roman" w:hAnsi="Times New Roman"/>
          <w:i/>
          <w:sz w:val="19"/>
        </w:rPr>
        <w:t>International Conference on Document Analysis and Recognition (ICDAR)</w:t>
      </w:r>
      <w:r>
        <w:rPr>
          <w:rFonts w:ascii="Times New Roman" w:hAnsi="Times New Roman"/>
          <w:sz w:val="19"/>
        </w:rPr>
        <w:t>, 991-995.</w:t>
      </w:r>
    </w:p>
    <w:p>
      <w:pPr>
        <w:spacing w:before="40" w:after="60"/>
        <w:ind w:left="432" w:hanging="432"/>
      </w:pPr>
      <w:r>
        <w:rPr>
          <w:rFonts w:ascii="Times New Roman" w:hAnsi="Times New Roman"/>
          <w:b/>
          <w:sz w:val="19"/>
        </w:rPr>
        <w:t xml:space="preserve">[2] </w:t>
      </w:r>
      <w:r>
        <w:rPr>
          <w:rFonts w:ascii="Times New Roman" w:hAnsi="Times New Roman"/>
          <w:sz w:val="19"/>
        </w:rPr>
        <w:t xml:space="preserve">Hu, Z., et al. (2025). mPLUG-DocOwl 2.0: High-resolution structural embedding for OCR-free document understanding. </w:t>
      </w:r>
      <w:r>
        <w:rPr>
          <w:rFonts w:ascii="Times New Roman" w:hAnsi="Times New Roman"/>
          <w:i/>
          <w:sz w:val="19"/>
        </w:rPr>
        <w:t>IEEE/CVF Conference on Computer Vision and Pattern Recognition (CVPR)</w:t>
      </w:r>
      <w:r>
        <w:rPr>
          <w:rFonts w:ascii="Times New Roman" w:hAnsi="Times New Roman"/>
          <w:sz w:val="19"/>
        </w:rPr>
        <w:t>.</w:t>
      </w:r>
    </w:p>
    <w:p>
      <w:pPr>
        <w:spacing w:before="40" w:after="60"/>
        <w:ind w:left="432" w:hanging="432"/>
      </w:pPr>
      <w:r>
        <w:rPr>
          <w:rFonts w:ascii="Times New Roman" w:hAnsi="Times New Roman"/>
          <w:b/>
          <w:sz w:val="19"/>
        </w:rPr>
        <w:t xml:space="preserve">[3] </w:t>
      </w:r>
      <w:r>
        <w:rPr>
          <w:rFonts w:ascii="Times New Roman" w:hAnsi="Times New Roman"/>
          <w:sz w:val="19"/>
        </w:rPr>
        <w:t xml:space="preserve">Huang, Z., Chen, K., He, J., Bai, X., Karatzas, D., Lu, S., &amp; Jawahar, C. V. (2019). ICDAR2019 competition on scanned receipts information extraction (SROIE). </w:t>
      </w:r>
      <w:r>
        <w:rPr>
          <w:rFonts w:ascii="Times New Roman" w:hAnsi="Times New Roman"/>
          <w:i/>
          <w:sz w:val="19"/>
        </w:rPr>
        <w:t>ICDAR</w:t>
      </w:r>
      <w:r>
        <w:rPr>
          <w:rFonts w:ascii="Times New Roman" w:hAnsi="Times New Roman"/>
          <w:sz w:val="19"/>
        </w:rPr>
        <w:t>, 1516-1520.</w:t>
      </w:r>
    </w:p>
    <w:p>
      <w:pPr>
        <w:spacing w:before="40" w:after="60"/>
        <w:ind w:left="432" w:hanging="432"/>
      </w:pPr>
      <w:r>
        <w:rPr>
          <w:rFonts w:ascii="Times New Roman" w:hAnsi="Times New Roman"/>
          <w:b/>
          <w:sz w:val="19"/>
        </w:rPr>
        <w:t xml:space="preserve">[4] </w:t>
      </w:r>
      <w:r>
        <w:rPr>
          <w:rFonts w:ascii="Times New Roman" w:hAnsi="Times New Roman"/>
          <w:sz w:val="19"/>
        </w:rPr>
        <w:t xml:space="preserve">Huang, Y., Lv, T., Cui, L., Lu, Y., &amp; Wei, F. (2022). LayoutLMv3: Pre-training for document AI with unified text and image masking. </w:t>
      </w:r>
      <w:r>
        <w:rPr>
          <w:rFonts w:ascii="Times New Roman" w:hAnsi="Times New Roman"/>
          <w:i/>
          <w:sz w:val="19"/>
        </w:rPr>
        <w:t>ACM MM</w:t>
      </w:r>
      <w:r>
        <w:rPr>
          <w:rFonts w:ascii="Times New Roman" w:hAnsi="Times New Roman"/>
          <w:sz w:val="19"/>
        </w:rPr>
        <w:t>, 4083-4091.</w:t>
      </w:r>
    </w:p>
    <w:p>
      <w:pPr>
        <w:spacing w:before="40" w:after="60"/>
        <w:ind w:left="432" w:hanging="432"/>
      </w:pPr>
      <w:r>
        <w:rPr>
          <w:rFonts w:ascii="Times New Roman" w:hAnsi="Times New Roman"/>
          <w:b/>
          <w:sz w:val="19"/>
        </w:rPr>
        <w:t xml:space="preserve">[5] </w:t>
      </w:r>
      <w:r>
        <w:rPr>
          <w:rFonts w:ascii="Times New Roman" w:hAnsi="Times New Roman"/>
          <w:sz w:val="19"/>
        </w:rPr>
        <w:t xml:space="preserve">Jaume, G., Ekenel, H. K., &amp; Thiran, J. P. (2019). FUNSD: A dataset for form understanding in noisy scanned documents. </w:t>
      </w:r>
      <w:r>
        <w:rPr>
          <w:rFonts w:ascii="Times New Roman" w:hAnsi="Times New Roman"/>
          <w:i/>
          <w:sz w:val="19"/>
        </w:rPr>
        <w:t>ICDAR Workshops</w:t>
      </w:r>
      <w:r>
        <w:rPr>
          <w:rFonts w:ascii="Times New Roman" w:hAnsi="Times New Roman"/>
          <w:sz w:val="19"/>
        </w:rPr>
        <w:t>, 56-61.</w:t>
      </w:r>
    </w:p>
    <w:p>
      <w:pPr>
        <w:spacing w:before="40" w:after="60"/>
        <w:ind w:left="432" w:hanging="432"/>
      </w:pPr>
      <w:r>
        <w:rPr>
          <w:rFonts w:ascii="Times New Roman" w:hAnsi="Times New Roman"/>
          <w:b/>
          <w:sz w:val="19"/>
        </w:rPr>
        <w:t xml:space="preserve">[6] </w:t>
      </w:r>
      <w:r>
        <w:rPr>
          <w:rFonts w:ascii="Times New Roman" w:hAnsi="Times New Roman"/>
          <w:sz w:val="19"/>
        </w:rPr>
        <w:t xml:space="preserve">Kim, G., Hong, T., Yim, M., Nam, J., Park, J., Yim, J., Hwang, S., Yun, S., Han, D., &amp; Park, S. (2022). OCR-free document understanding transformer. </w:t>
      </w:r>
      <w:r>
        <w:rPr>
          <w:rFonts w:ascii="Times New Roman" w:hAnsi="Times New Roman"/>
          <w:i/>
          <w:sz w:val="19"/>
        </w:rPr>
        <w:t>ECCV</w:t>
      </w:r>
      <w:r>
        <w:rPr>
          <w:rFonts w:ascii="Times New Roman" w:hAnsi="Times New Roman"/>
          <w:sz w:val="19"/>
        </w:rPr>
        <w:t>, 498-517.</w:t>
      </w:r>
    </w:p>
    <w:p>
      <w:pPr>
        <w:spacing w:before="40" w:after="60"/>
        <w:ind w:left="432" w:hanging="432"/>
      </w:pPr>
      <w:r>
        <w:rPr>
          <w:rFonts w:ascii="Times New Roman" w:hAnsi="Times New Roman"/>
          <w:b/>
          <w:sz w:val="19"/>
        </w:rPr>
        <w:t xml:space="preserve">[7] </w:t>
      </w:r>
      <w:r>
        <w:rPr>
          <w:rFonts w:ascii="Times New Roman" w:hAnsi="Times New Roman"/>
          <w:sz w:val="19"/>
        </w:rPr>
        <w:t xml:space="preserve">Li, M., Lv, T., Cui, L., Lu, Y., Florencio, D., Zhang, C., Li, Z., &amp; Wei, F. (2023). TrOCR: Transformer-based optical character recognition with pre-trained models. </w:t>
      </w:r>
      <w:r>
        <w:rPr>
          <w:rFonts w:ascii="Times New Roman" w:hAnsi="Times New Roman"/>
          <w:i/>
          <w:sz w:val="19"/>
        </w:rPr>
        <w:t>AAAI</w:t>
      </w:r>
      <w:r>
        <w:rPr>
          <w:rFonts w:ascii="Times New Roman" w:hAnsi="Times New Roman"/>
          <w:sz w:val="19"/>
        </w:rPr>
        <w:t>, 13094-13102.</w:t>
      </w:r>
    </w:p>
    <w:p>
      <w:pPr>
        <w:spacing w:before="40" w:after="60"/>
        <w:ind w:left="432" w:hanging="432"/>
      </w:pPr>
      <w:r>
        <w:rPr>
          <w:rFonts w:ascii="Times New Roman" w:hAnsi="Times New Roman"/>
          <w:b/>
          <w:sz w:val="19"/>
        </w:rPr>
        <w:t xml:space="preserve">[8] </w:t>
      </w:r>
      <w:r>
        <w:rPr>
          <w:rFonts w:ascii="Times New Roman" w:hAnsi="Times New Roman"/>
          <w:sz w:val="19"/>
        </w:rPr>
        <w:t xml:space="preserve">Li, Z., et al. (2025). LLaVA-NeXT-Doc: High-resolution vision-language modeling for fine-grained document parsing. </w:t>
      </w:r>
      <w:r>
        <w:rPr>
          <w:rFonts w:ascii="Times New Roman" w:hAnsi="Times New Roman"/>
          <w:i/>
          <w:sz w:val="19"/>
        </w:rPr>
        <w:t>IEEE Access</w:t>
      </w:r>
      <w:r>
        <w:rPr>
          <w:rFonts w:ascii="Times New Roman" w:hAnsi="Times New Roman"/>
          <w:sz w:val="19"/>
        </w:rPr>
        <w:t>, 13, 11200-11215.</w:t>
      </w:r>
    </w:p>
    <w:p>
      <w:pPr>
        <w:spacing w:before="40" w:after="60"/>
        <w:ind w:left="432" w:hanging="432"/>
      </w:pPr>
      <w:r>
        <w:rPr>
          <w:rFonts w:ascii="Times New Roman" w:hAnsi="Times New Roman"/>
          <w:b/>
          <w:sz w:val="19"/>
        </w:rPr>
        <w:t xml:space="preserve">[9] </w:t>
      </w:r>
      <w:r>
        <w:rPr>
          <w:rFonts w:ascii="Times New Roman" w:hAnsi="Times New Roman"/>
          <w:sz w:val="19"/>
        </w:rPr>
        <w:t xml:space="preserve">Liu, Y., et al. (2025). TextMonkey: An OCR-free large multimodal model for document understanding. </w:t>
      </w:r>
      <w:r>
        <w:rPr>
          <w:rFonts w:ascii="Times New Roman" w:hAnsi="Times New Roman"/>
          <w:i/>
          <w:sz w:val="19"/>
        </w:rPr>
        <w:t>IEEE Transactions on Pattern Analysis and Machine Intelligence (TPAMI)</w:t>
      </w:r>
      <w:r>
        <w:rPr>
          <w:rFonts w:ascii="Times New Roman" w:hAnsi="Times New Roman"/>
          <w:sz w:val="19"/>
        </w:rPr>
        <w:t>.</w:t>
      </w:r>
    </w:p>
    <w:p>
      <w:pPr>
        <w:spacing w:before="40" w:after="60"/>
        <w:ind w:left="432" w:hanging="432"/>
      </w:pPr>
      <w:r>
        <w:rPr>
          <w:rFonts w:ascii="Times New Roman" w:hAnsi="Times New Roman"/>
          <w:b/>
          <w:sz w:val="19"/>
        </w:rPr>
        <w:t xml:space="preserve">[10] </w:t>
      </w:r>
      <w:r>
        <w:rPr>
          <w:rFonts w:ascii="Times New Roman" w:hAnsi="Times New Roman"/>
          <w:sz w:val="19"/>
        </w:rPr>
        <w:t xml:space="preserve">Mathew, M., Karatzas, D., &amp; Jawahar, C. V. (2021). DocVQA: A dataset for VQA on document images. </w:t>
      </w:r>
      <w:r>
        <w:rPr>
          <w:rFonts w:ascii="Times New Roman" w:hAnsi="Times New Roman"/>
          <w:i/>
          <w:sz w:val="19"/>
        </w:rPr>
        <w:t>WACV</w:t>
      </w:r>
      <w:r>
        <w:rPr>
          <w:rFonts w:ascii="Times New Roman" w:hAnsi="Times New Roman"/>
          <w:sz w:val="19"/>
        </w:rPr>
        <w:t>, 2200-2209.</w:t>
      </w:r>
    </w:p>
    <w:p>
      <w:pPr>
        <w:spacing w:before="40" w:after="60"/>
        <w:ind w:left="432" w:hanging="432"/>
      </w:pPr>
      <w:r>
        <w:rPr>
          <w:rFonts w:ascii="Times New Roman" w:hAnsi="Times New Roman"/>
          <w:b/>
          <w:sz w:val="19"/>
        </w:rPr>
        <w:t xml:space="preserve">[11] </w:t>
      </w:r>
      <w:r>
        <w:rPr>
          <w:rFonts w:ascii="Times New Roman" w:hAnsi="Times New Roman"/>
          <w:sz w:val="19"/>
        </w:rPr>
        <w:t xml:space="preserve">Park, S., Shin, S., Lee, B., Lee, J., Surh, J., Seo, M., &amp; Baek, H. (2019). CORD: A consolidated receipt dataset for post-OCR parsing. </w:t>
      </w:r>
      <w:r>
        <w:rPr>
          <w:rFonts w:ascii="Times New Roman" w:hAnsi="Times New Roman"/>
          <w:i/>
          <w:sz w:val="19"/>
        </w:rPr>
        <w:t>NeurIPS Workshop</w:t>
      </w:r>
      <w:r>
        <w:rPr>
          <w:rFonts w:ascii="Times New Roman" w:hAnsi="Times New Roman"/>
          <w:sz w:val="19"/>
        </w:rPr>
        <w:t>.</w:t>
      </w:r>
    </w:p>
    <w:p>
      <w:pPr>
        <w:spacing w:before="40" w:after="60"/>
        <w:ind w:left="432" w:hanging="432"/>
      </w:pPr>
      <w:r>
        <w:rPr>
          <w:rFonts w:ascii="Times New Roman" w:hAnsi="Times New Roman"/>
          <w:b/>
          <w:sz w:val="19"/>
        </w:rPr>
        <w:t xml:space="preserve">[12] </w:t>
      </w:r>
      <w:r>
        <w:rPr>
          <w:rFonts w:ascii="Times New Roman" w:hAnsi="Times New Roman"/>
          <w:sz w:val="19"/>
        </w:rPr>
        <w:t xml:space="preserve">Wang, Q., et al. (2025). Qwen2-VL: Enhancing vision-language models with dynamic resolution and multilingual OCR. </w:t>
      </w:r>
      <w:r>
        <w:rPr>
          <w:rFonts w:ascii="Times New Roman" w:hAnsi="Times New Roman"/>
          <w:i/>
          <w:sz w:val="19"/>
        </w:rPr>
        <w:t>IEEE/CVF CVPR</w:t>
      </w:r>
      <w:r>
        <w:rPr>
          <w:rFonts w:ascii="Times New Roman" w:hAnsi="Times New Roman"/>
          <w:sz w:val="19"/>
        </w:rPr>
        <w:t>.</w:t>
      </w:r>
    </w:p>
    <w:p>
      <w:pPr>
        <w:spacing w:before="40" w:after="60"/>
        <w:ind w:left="432" w:hanging="432"/>
      </w:pPr>
      <w:r>
        <w:rPr>
          <w:rFonts w:ascii="Times New Roman" w:hAnsi="Times New Roman"/>
          <w:b/>
          <w:sz w:val="19"/>
        </w:rPr>
        <w:t xml:space="preserve">[13] </w:t>
      </w:r>
      <w:r>
        <w:rPr>
          <w:rFonts w:ascii="Times New Roman" w:hAnsi="Times New Roman"/>
          <w:sz w:val="19"/>
        </w:rPr>
        <w:t xml:space="preserve">Xiao, T., et al. (2024). Florence-2: Advancing a unified representation for vision tasks. </w:t>
      </w:r>
      <w:r>
        <w:rPr>
          <w:rFonts w:ascii="Times New Roman" w:hAnsi="Times New Roman"/>
          <w:i/>
          <w:sz w:val="19"/>
        </w:rPr>
        <w:t>CVPR</w:t>
      </w:r>
      <w:r>
        <w:rPr>
          <w:rFonts w:ascii="Times New Roman" w:hAnsi="Times New Roman"/>
          <w:sz w:val="19"/>
        </w:rPr>
        <w:t>.</w:t>
      </w:r>
    </w:p>
    <w:p>
      <w:pPr>
        <w:spacing w:before="40" w:after="60"/>
        <w:ind w:left="432" w:hanging="432"/>
      </w:pPr>
      <w:r>
        <w:rPr>
          <w:rFonts w:ascii="Times New Roman" w:hAnsi="Times New Roman"/>
          <w:b/>
          <w:sz w:val="19"/>
        </w:rPr>
        <w:t xml:space="preserve">[14] </w:t>
      </w:r>
      <w:r>
        <w:rPr>
          <w:rFonts w:ascii="Times New Roman" w:hAnsi="Times New Roman"/>
          <w:sz w:val="19"/>
        </w:rPr>
        <w:t xml:space="preserve">Xu, L., et al. (2025). LayoutLLM: Layout-aware large multimodal models for document information extraction. </w:t>
      </w:r>
      <w:r>
        <w:rPr>
          <w:rFonts w:ascii="Times New Roman" w:hAnsi="Times New Roman"/>
          <w:i/>
          <w:sz w:val="19"/>
        </w:rPr>
        <w:t>International Conference on Document Analysis and Recognition (ICDAR)</w:t>
      </w:r>
      <w:r>
        <w:rPr>
          <w:rFonts w:ascii="Times New Roman" w:hAnsi="Times New Roman"/>
          <w:sz w:val="19"/>
        </w:rPr>
        <w:t>.</w:t>
      </w:r>
    </w:p>
    <w:p>
      <w:pPr>
        <w:spacing w:before="40" w:after="60"/>
        <w:ind w:left="432" w:hanging="432"/>
      </w:pPr>
      <w:r>
        <w:rPr>
          <w:rFonts w:ascii="Times New Roman" w:hAnsi="Times New Roman"/>
          <w:b/>
          <w:sz w:val="19"/>
        </w:rPr>
        <w:t xml:space="preserve">[15] </w:t>
      </w:r>
      <w:r>
        <w:rPr>
          <w:rFonts w:ascii="Times New Roman" w:hAnsi="Times New Roman"/>
          <w:sz w:val="19"/>
        </w:rPr>
        <w:t xml:space="preserve">Ye, J., et al. (2025). UDOP-v2: Universal document processing via vision-language task unified pretraining. </w:t>
      </w:r>
      <w:r>
        <w:rPr>
          <w:rFonts w:ascii="Times New Roman" w:hAnsi="Times New Roman"/>
          <w:i/>
          <w:sz w:val="19"/>
        </w:rPr>
        <w:t>IEEE Transactions on Pattern Analysis and Machine Intelligence (TPAMI)</w:t>
      </w:r>
      <w:r>
        <w:rPr>
          <w:rFonts w:ascii="Times New Roman" w:hAnsi="Times New Roman"/>
          <w:sz w:val="19"/>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IEEE ACCESS | Volume 14,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