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AI-Driven Applications of machine learning in diagnostic imaging Discovery Framework for Scalable Clinical Decision Support</w:t>
      </w:r>
    </w:p>
    <w:p>
      <w:pPr>
        <w:pStyle w:val="Heading2"/>
        <w:spacing w:after="120" w:before="200"/>
      </w:pPr>
      <w:r>
        <w:t xml:space="preserve">Abstract</w:t>
      </w:r>
    </w:p>
    <w:p>
      <w:pPr>
        <w:spacing w:after="200"/>
      </w:pPr>
      <w:r>
        <w:t xml:space="preserve">This mock abstract provides a concise summary of the research aim, motivating context, methodological approach, and expected scholarly contribution. It emphasizes analytical rigor, methodological transparency, and the practical relevance of the study for the target academic domain.</w:t>
      </w:r>
    </w:p>
    <w:p>
      <w:pPr>
        <w:pStyle w:val="Heading2"/>
        <w:spacing w:after="120" w:before="240"/>
      </w:pPr>
      <w:r>
        <w:t xml:space="preserve">1. Abstract</w:t>
      </w:r>
    </w:p>
    <w:p>
      <w:pPr>
        <w:spacing w:after="120"/>
      </w:pPr>
      <w:r>
        <w:t xml:space="preserve">This study examines the application of machine learning techniques to improve diagnostic imaging interpretation accuracy, highlighting methodology and expected impact.</w:t>
      </w:r>
    </w:p>
    <w:p>
      <w:pPr>
        <w:pStyle w:val="Heading2"/>
        <w:spacing w:after="120" w:before="240"/>
      </w:pPr>
      <w:r>
        <w:t xml:space="preserve">2. Introduction</w:t>
      </w:r>
    </w:p>
    <w:p>
      <w:pPr>
        <w:spacing w:after="120"/>
      </w:pPr>
      <w:r>
        <w:t xml:space="preserve">The introduction provides background on diagnostic imaging challenges and frames the need for machine learning to improve sensitivity and specificity.</w:t>
      </w:r>
    </w:p>
    <w:p>
      <w:pPr>
        <w:pStyle w:val="Heading2"/>
        <w:spacing w:after="120" w:before="240"/>
      </w:pPr>
      <w:r>
        <w:t xml:space="preserve">3. Literature Review</w:t>
      </w:r>
    </w:p>
    <w:p>
      <w:pPr>
        <w:spacing w:after="120"/>
      </w:pPr>
      <w:r>
        <w:t xml:space="preserve">The literature highlights several approaches integrating convolutional neural networks with interpretability techniques, showing improvements in lesion detection accuracy.</w:t>
      </w:r>
    </w:p>
    <w:p>
      <w:pPr>
        <w:pStyle w:val="Heading2"/>
        <w:spacing w:after="120" w:before="240"/>
      </w:pPr>
      <w:r>
        <w:t xml:space="preserve">4. Methodology</w:t>
      </w:r>
    </w:p>
    <w:p>
      <w:pPr>
        <w:spacing w:after="120"/>
      </w:pPr>
      <w:r>
        <w:t xml:space="preserve">We will use a labeled dataset of annotated imaging studies and train CNN-based models, evaluate using cross-validation and clinically-relevant metrics.</w:t>
      </w:r>
    </w:p>
    <w:p>
      <w:pPr>
        <w:pStyle w:val="Heading2"/>
        <w:spacing w:after="120" w:before="240"/>
      </w:pPr>
      <w:r>
        <w:t xml:space="preserve">5. Conclusion</w:t>
      </w:r>
    </w:p>
    <w:p>
      <w:pPr>
        <w:spacing w:after="120"/>
      </w:pPr>
      <w:r>
        <w:t xml:space="preserve">In conclusion, machine learning offers a promising avenue to augment diagnostic processes, with careful validation required for clinical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2026-07-13T16:51:22.682Z</dcterms:created>
  <dcterms:modified xsi:type="dcterms:W3CDTF">2026-07-13T16:51:22.682Z</dcterms:modified>
</cp:coreProperties>
</file>

<file path=docProps/custom.xml><?xml version="1.0" encoding="utf-8"?>
<Properties xmlns="http://schemas.openxmlformats.org/officeDocument/2006/custom-properties" xmlns:vt="http://schemas.openxmlformats.org/officeDocument/2006/docPropsVTypes"/>
</file>