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pPr>
        <w:spacing w:before="40" w:after="80" w:line="276" w:lineRule="auto"/>
      </w:pPr>
      <w:r>
        <w:rPr>
          <w:rFonts w:ascii="Times New Roman" w:hAnsi="Times New Roman"/>
          <w:b/>
          <w:sz w:val="20"/>
        </w:rPr>
        <w:t>Authors</w:t>
      </w:r>
      <w:r>
        <w:rPr>
          <w:rFonts w:ascii="Times New Roman" w:hAnsi="Times New Roman"/>
          <w:sz w:val="20"/>
        </w:rPr>
        <w:t>: AU DIC Research Team</w:t>
      </w:r>
    </w:p>
    <w:p>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pPr>
        <w:spacing w:before="40" w:after="80" w:line="276" w:lineRule="auto"/>
      </w:pPr>
      <w:r>
        <w:rPr>
          <w:rFonts w:ascii="Times New Roman" w:hAnsi="Times New Roman"/>
          <w:b/>
          <w:sz w:val="20"/>
        </w:rPr>
        <w:t>Repository &amp; Artifact Build</w:t>
      </w:r>
      <w:r>
        <w:rPr>
          <w:rFonts w:ascii="Times New Roman" w:hAnsi="Times New Roman"/>
          <w:sz w:val="20"/>
        </w:rPr>
        <w:t>: run_1785796639905 | Dataset Hash: 17c136ef76dd0f82 | Commit: 823334b</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Abstract</w:t>
      </w:r>
    </w:p>
    <w:p>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pPr>
        <w:spacing w:before="40" w:after="80" w:line="276" w:lineRule="auto"/>
      </w:pPr>
      <w:r>
        <w:rPr>
          <w:rFonts w:ascii="Times New Roman" w:hAnsi="Times New Roman"/>
          <w:sz w:val="20"/>
        </w:rPr>
        <w:t>We evaluate the benchmark suite across 360 specimens (</w:t>
      </w:r>
      <m:oMath>
        <m:r>
          <w:rPr>
            <w:rFonts w:ascii="Cambria Math" w:hAnsi="Cambria Math"/>
          </w:rPr>
          <m:t>3</m:t>
        </m:r>
        <m:r>
          <w:rPr>
            <w:rFonts w:ascii="Times New Roman" w:hAnsi="Times New Roman"/>
            <w:i w:val="0"/>
          </w:rPr>
          <m:t>categories</m:t>
        </m:r>
        <m:r>
          <w:rPr>
            <w:rFonts w:ascii="Cambria Math" w:hAnsi="Cambria Math"/>
          </w:rPr>
          <m:t>×</m:t>
        </m:r>
        <m:r>
          <w:rPr>
            <w:rFonts w:ascii="Cambria Math" w:hAnsi="Cambria Math"/>
          </w:rPr>
          <m:t>30</m:t>
        </m:r>
        <m:r>
          <w:rPr>
            <w:rFonts w:ascii="Times New Roman" w:hAnsi="Times New Roman"/>
            <w:i w:val="0"/>
          </w:rPr>
          <m:t>instances</m:t>
        </m:r>
        <m:r>
          <w:rPr>
            <w:rFonts w:ascii="Cambria Math" w:hAnsi="Cambria Math"/>
          </w:rPr>
          <m:t>×</m:t>
        </m:r>
        <m:r>
          <w:rPr>
            <w:rFonts w:ascii="Cambria Math" w:hAnsi="Cambria Math"/>
          </w:rPr>
          <m:t>4</m:t>
        </m:r>
        <m:r>
          <w:rPr>
            <w:rFonts w:ascii="Times New Roman" w:hAnsi="Times New Roman"/>
            <w:i w:val="0"/>
          </w:rPr>
          <m:t>degradation profiles</m:t>
        </m:r>
      </m:oMath>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The benchmark eliminates the need for real student records by using deterministic synthetic academic credential generation with complete ground-truth annotations. This work provides a reproducible, synthetic-data-based foundation for benchmarking academic document analysis systems.</w:t>
      </w:r>
    </w:p>
    <w:p>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 Introduction</w:t>
      </w:r>
    </w:p>
    <w:p>
      <w:pPr>
        <w:keepNext/>
        <w:spacing w:before="200" w:after="80"/>
      </w:pPr>
      <w:r>
        <w:rPr>
          <w:rFonts w:ascii="Times New Roman" w:hAnsi="Times New Roman"/>
          <w:b/>
          <w:color w:val="333333"/>
          <w:sz w:val="23"/>
        </w:rPr>
        <w:t>1.1 Background &amp; Motivation</w:t>
      </w:r>
    </w:p>
    <w:p>
      <w:pPr>
        <w:spacing w:before="40" w:after="80" w:line="276" w:lineRule="auto"/>
      </w:pPr>
      <w:r>
        <w:rPr>
          <w:rFonts w:ascii="Times New Roman" w:hAnsi="Times New Roman"/>
          <w:sz w:val="20"/>
        </w:rPr>
        <w:t>Document Intelligence Systems (DIS) process semi-structured administrative documents across financial, legal, and educational domains. In higher education administration, verifying academic degree certificates, semester marksheets, official transcripts, and student identity cards is essential for automated admissions processing, credit transfers, and credential authentication.</w:t>
      </w:r>
    </w:p>
    <w:p>
      <w:pPr>
        <w:spacing w:before="40" w:after="80" w:line="276" w:lineRule="auto"/>
      </w:pPr>
      <w:r>
        <w:rPr>
          <w:rFonts w:ascii="Times New Roman" w:hAnsi="Times New Roman"/>
          <w:sz w:val="20"/>
        </w:rPr>
        <w:t>Despite recent advances in Large Language Models (LLMs) and Vision-Language Models (VLMs), benchmarking document extraction algorithms on academic records presents fundamental methodological obstacles:</w:t>
      </w:r>
    </w:p>
    <w:p>
      <w:pPr>
        <w:spacing w:before="20" w:after="40"/>
        <w:ind w:left="360"/>
      </w:pPr>
      <w:r>
        <w:rPr>
          <w:rFonts w:ascii="Times New Roman" w:hAnsi="Times New Roman"/>
          <w:b/>
          <w:sz w:val="20"/>
        </w:rPr>
        <w:t xml:space="preserve">1. </w:t>
      </w:r>
      <w:r>
        <w:rPr>
          <w:rFonts w:ascii="Times New Roman" w:hAnsi="Times New Roman"/>
          <w:b/>
          <w:sz w:val="20"/>
        </w:rPr>
        <w:t>Privacy &amp; Regulatory Barriers</w:t>
      </w:r>
      <w:r>
        <w:rPr>
          <w:rFonts w:ascii="Times New Roman" w:hAnsi="Times New Roman"/>
          <w:sz w:val="20"/>
        </w:rPr>
        <w:t>: Privacy laws such as the Family Educational Rights and Privacy Act (FERPA) in the United States and the General Data Protection Regulation (GDPR) in the European Union prohibit public sharing of authentic student academic records.</w:t>
      </w:r>
    </w:p>
    <w:p>
      <w:pPr>
        <w:spacing w:before="20" w:after="40"/>
        <w:ind w:left="360"/>
      </w:pPr>
      <w:r>
        <w:rPr>
          <w:rFonts w:ascii="Times New Roman" w:hAnsi="Times New Roman"/>
          <w:b/>
          <w:sz w:val="20"/>
        </w:rPr>
        <w:t xml:space="preserve">2. </w:t>
      </w:r>
      <w:r>
        <w:rPr>
          <w:rFonts w:ascii="Times New Roman" w:hAnsi="Times New Roman"/>
          <w:b/>
          <w:sz w:val="20"/>
        </w:rPr>
        <w:t>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w:t>
      </w:r>
    </w:p>
    <w:p>
      <w:pPr>
        <w:spacing w:before="20" w:after="40"/>
        <w:ind w:left="360"/>
      </w:pPr>
      <w:r>
        <w:rPr>
          <w:rFonts w:ascii="Times New Roman" w:hAnsi="Times New Roman"/>
          <w:b/>
          <w:sz w:val="20"/>
        </w:rPr>
        <w:t xml:space="preserve">3. </w:t>
      </w:r>
      <w:r>
        <w:rPr>
          <w:rFonts w:ascii="Times New Roman" w:hAnsi="Times New Roman"/>
          <w:b/>
          <w:sz w:val="20"/>
        </w:rPr>
        <w:t>Superficial Formatting Discrepancies</w:t>
      </w:r>
      <w:r>
        <w:rPr>
          <w:rFonts w:ascii="Times New Roman" w:hAnsi="Times New Roman"/>
          <w:sz w:val="20"/>
        </w:rPr>
        <w:t>: Standard string comparison metrics (e.g., raw string matching) incorrectly penalize minor formatting variations (e.g., 2026-08-04 vs August 4, 2026), distorting extraction accuracy evaluations.</w:t>
      </w:r>
    </w:p>
    <w:p>
      <w:pPr>
        <w:spacing w:before="40" w:after="80" w:line="276" w:lineRule="auto"/>
      </w:pPr>
      <w:r>
        <w:rPr>
          <w:rFonts w:ascii="Times New Roman" w:hAnsi="Times New Roman"/>
          <w:sz w:val="20"/>
        </w:rPr>
        <w:t>Real-world academic credentials frequently contain personally identifiable information (PII), including student names, enrollment identifiers, grades, transcripts, and institutional records. Public distribution of such documents is often restricted by privacy regulations such as the Family Educational Rights and Privacy Act (FERPA) in the United States and the General Data Protection Regulation (GDPR) in the European Union. 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w:t>
      </w:r>
    </w:p>
    <w:p>
      <w:pPr>
        <w:keepNext/>
        <w:spacing w:before="200" w:after="80"/>
      </w:pPr>
      <w:r>
        <w:rPr>
          <w:rFonts w:ascii="Times New Roman" w:hAnsi="Times New Roman"/>
          <w:b/>
          <w:color w:val="333333"/>
          <w:sz w:val="23"/>
        </w:rPr>
        <w:t>1.2 Research Objectives</w:t>
      </w:r>
    </w:p>
    <w:p>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Specifically, we focus on:</w:t>
      </w:r>
    </w:p>
    <w:p>
      <w:pPr>
        <w:pStyle w:val="ListBullet"/>
        <w:spacing w:before="20" w:after="40"/>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pPr>
        <w:pStyle w:val="ListBullet"/>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pPr>
        <w:pStyle w:val="ListBullet"/>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pPr>
        <w:keepNext/>
        <w:spacing w:before="200" w:after="80"/>
      </w:pPr>
      <w:r>
        <w:rPr>
          <w:rFonts w:ascii="Times New Roman" w:hAnsi="Times New Roman"/>
          <w:b/>
          <w:color w:val="333333"/>
          <w:sz w:val="23"/>
        </w:rPr>
        <w:t>1.3 Main Research Contributions</w:t>
      </w:r>
    </w:p>
    <w:p>
      <w:pPr>
        <w:spacing w:before="40" w:after="80" w:line="276" w:lineRule="auto"/>
      </w:pPr>
      <w:r>
        <w:rPr>
          <w:rFonts w:ascii="Times New Roman" w:hAnsi="Times New Roman"/>
          <w:sz w:val="20"/>
        </w:rPr>
        <w:t>The primary contributions of this work are summarized as follows:</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w:t>
      </w:r>
    </w:p>
    <w:p>
      <w:pPr>
        <w:spacing w:before="20" w:after="40"/>
        <w:ind w:left="360"/>
      </w:pPr>
      <w:r>
        <w:rPr>
          <w:rFonts w:ascii="Times New Roman" w:hAnsi="Times New Roman"/>
          <w:b/>
          <w:sz w:val="20"/>
        </w:rPr>
        <w:t xml:space="preserve">2. </w:t>
      </w:r>
      <w:r>
        <w:rPr>
          <w:rFonts w:ascii="Times New Roman" w:hAnsi="Times New Roman"/>
          <w:b/>
          <w:sz w:val="20"/>
        </w:rPr>
        <w:t>AU DIC Evaluation Subsystem</w:t>
      </w:r>
      <w:r>
        <w:rPr>
          <w:rFonts w:ascii="Times New Roman" w:hAnsi="Times New Roman"/>
          <w:sz w:val="20"/>
        </w:rPr>
        <w:t>: A decoupled, strictly read-only benchmark execution engine that evaluates document processing pipelines without modifying production data stores.</w:t>
      </w:r>
    </w:p>
    <w:p>
      <w:pPr>
        <w:spacing w:before="20" w:after="40"/>
        <w:ind w:left="360"/>
      </w:pPr>
      <w:r>
        <w:rPr>
          <w:rFonts w:ascii="Times New Roman" w:hAnsi="Times New Roman"/>
          <w:b/>
          <w:sz w:val="20"/>
        </w:rPr>
        <w:t xml:space="preserve">3. </w:t>
      </w:r>
      <w:r>
        <w:rPr>
          <w:rFonts w:ascii="Times New Roman" w:hAnsi="Times New Roman"/>
          <w:b/>
          <w:sz w:val="20"/>
        </w:rPr>
        <w:t>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w:t>
      </w:r>
    </w:p>
    <w:p>
      <w:pPr>
        <w:spacing w:before="20" w:after="40"/>
        <w:ind w:left="360"/>
      </w:pPr>
      <w:r>
        <w:rPr>
          <w:rFonts w:ascii="Times New Roman" w:hAnsi="Times New Roman"/>
          <w:b/>
          <w:sz w:val="20"/>
        </w:rPr>
        <w:t xml:space="preserve">4. </w:t>
      </w:r>
      <w:r>
        <w:rPr>
          <w:rFonts w:ascii="Times New Roman" w:hAnsi="Times New Roman"/>
          <w:b/>
          <w:sz w:val="20"/>
        </w:rPr>
        <w:t>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w:t>
      </w:r>
    </w:p>
    <w:p>
      <w:pPr>
        <w:spacing w:before="20" w:after="40"/>
        <w:ind w:left="360"/>
      </w:pPr>
      <w:r>
        <w:rPr>
          <w:rFonts w:ascii="Times New Roman" w:hAnsi="Times New Roman"/>
          <w:b/>
          <w:sz w:val="20"/>
        </w:rPr>
        <w:t xml:space="preserve">5. </w:t>
      </w:r>
      <w:r>
        <w:rPr>
          <w:rFonts w:ascii="Times New Roman" w:hAnsi="Times New Roman"/>
          <w:b/>
          <w:sz w:val="20"/>
        </w:rPr>
        <w:t>Quality Profile Robustness Framework</w:t>
      </w:r>
      <w:r>
        <w:rPr>
          <w:rFonts w:ascii="Times New Roman" w:hAnsi="Times New Roman"/>
          <w:sz w:val="20"/>
        </w:rPr>
        <w:t>: A systematic evaluation matrix measuring extraction decay across four standardized optical profiles (clean, scanner_copy, mobile_camera, rotated_90).</w:t>
      </w:r>
    </w:p>
    <w:p>
      <w:pPr>
        <w:keepNext/>
        <w:spacing w:before="200" w:after="80"/>
      </w:pPr>
      <w:r>
        <w:rPr>
          <w:rFonts w:ascii="Times New Roman" w:hAnsi="Times New Roman"/>
          <w:b/>
          <w:color w:val="333333"/>
          <w:sz w:val="23"/>
        </w:rPr>
        <w:t>1.4 Scientific Novelty Statement</w:t>
      </w:r>
    </w:p>
    <w:p>
      <w:pPr>
        <w:spacing w:before="40" w:after="80" w:line="276" w:lineRule="auto"/>
      </w:pPr>
      <w:r>
        <w:rPr>
          <w:rFonts w:ascii="Times New Roman" w:hAnsi="Times New Roman"/>
          <w:sz w:val="20"/>
        </w:rPr>
        <w:t>To the best of our knowledge, this work presents one of the first integrated benchmarking methodologies specifically designed for academic credential document intelligence. The proposed methodology combines deterministic synthetic document generation, semantic canonical normalization, structured OCR error taxonomy, and controlled quality-profile evaluation into a unified experimental benchmark while eliminating the need for real student records.</w:t>
      </w:r>
    </w:p>
    <w:p>
      <w:pPr>
        <w:spacing w:before="40" w:after="80" w:line="276" w:lineRule="auto"/>
      </w:pPr>
      <w:r>
        <w:rPr>
          <w:rFonts w:ascii="Times New Roman" w:hAnsi="Times New Roman"/>
          <w:sz w:val="20"/>
        </w:rPr>
        <w:t>The primary scientific contribution of this work lies not merely in software implementation or tool engineering, but in establishing a unified evaluation methodology for Document Intelligence Systems (DIS) operating in administrative credential domains where real student records are restricted by statutory regulations. Previous benchmark contributions in document analysis (e.g., SROIE, CORD, FUNSD, DocVQA) evaluate neural models on static, authentic document collections. However, in the academic credential domain, regulatory constraints (FERPA, GDPR) prohibit public distribution of real student records, while superficial string representation variations distort extraction evaluation.</w:t>
      </w:r>
    </w:p>
    <w:p>
      <w:pPr>
        <w:spacing w:before="40" w:after="80" w:line="276" w:lineRule="auto"/>
      </w:pPr>
      <w:r>
        <w:rPr>
          <w:rFonts w:ascii="Times New Roman" w:hAnsi="Times New Roman"/>
          <w:sz w:val="20"/>
        </w:rPr>
        <w:t>By integrating five interdependent methodological components—seed-deterministic synthetic rendering, multi-profile optical degradation, decoupled read-only execution, multi-stage semantic canonicalization, and a structured diagnostic error taxonomy—into a single benchmark protocol, this work establishes a standardized, reproducible foundation to evaluate OCR engines, Large Language Models (LLMs), and Vision-Language Models (VLMs) under controlled experimental conditions.</w:t>
      </w:r>
    </w:p>
    <w:p>
      <w:pPr>
        <w:keepNext/>
        <w:spacing w:before="200" w:after="80"/>
      </w:pPr>
      <w:r>
        <w:rPr>
          <w:rFonts w:ascii="Times New Roman" w:hAnsi="Times New Roman"/>
          <w:b/>
          <w:color w:val="333333"/>
          <w:sz w:val="23"/>
        </w:rPr>
        <w:t>1.5 Paper Organization</w:t>
      </w:r>
    </w:p>
    <w:p>
      <w:pPr>
        <w:spacing w:before="40" w:after="80" w:line="276" w:lineRule="auto"/>
      </w:pPr>
      <w:r>
        <w:rPr>
          <w:rFonts w:ascii="Times New Roman" w:hAnsi="Times New Roman"/>
          <w:sz w:val="20"/>
        </w:rPr>
        <w:t>The remainder of this paper is organized as follows. Section 2 surveys related work. Section 3 details the system architecture. Section 4 presents the ADBG synthetic data generation methodology. Section 5 describes the AU DIC evaluation framework and normalizers. Section 6 specifies the experimental protocol and metrics. Section 7 presents empirical validation results. Section 8 discusses scientific contributions, methodological novelty, threats to validity, and limitations. Section 9 outlines future research directions, Section 10 concludes the paper, and Appendices A and B provide reproducibility specifications and technical answers to reviewer inquiries.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2. Related Work</w:t>
      </w:r>
    </w:p>
    <w:p>
      <w:pPr>
        <w:keepNext/>
        <w:spacing w:before="200" w:after="80"/>
      </w:pPr>
      <w:r>
        <w:rPr>
          <w:rFonts w:ascii="Times New Roman" w:hAnsi="Times New Roman"/>
          <w:b/>
          <w:color w:val="333333"/>
          <w:sz w:val="23"/>
        </w:rPr>
        <w:t>2.1 Information Extraction &amp; Neural Document AI Architectures</w:t>
      </w:r>
    </w:p>
    <w:p>
      <w:pPr>
        <w:spacing w:before="40" w:after="80" w:line="276" w:lineRule="auto"/>
      </w:pPr>
      <w:r>
        <w:rPr>
          <w:rFonts w:ascii="Times New Roman" w:hAnsi="Times New Roman"/>
          <w:sz w:val="20"/>
        </w:rPr>
        <w:t xml:space="preserve">Modern Document AI architectures integrate visual features, textual content, and spatial layout coordinates. Multimodal models such as </w:t>
      </w:r>
      <w:r>
        <w:rPr>
          <w:rFonts w:ascii="Times New Roman" w:hAnsi="Times New Roman"/>
          <w:b/>
          <w:sz w:val="20"/>
        </w:rPr>
        <w:t>LayoutLMv3</w:t>
      </w:r>
      <w:r>
        <w:rPr>
          <w:rFonts w:ascii="Times New Roman" w:hAnsi="Times New Roman"/>
          <w:sz w:val="20"/>
        </w:rPr>
        <w:t xml:space="preserve"> (Huang et al., 2022) utilize unified text and image masking to capture spatial correlations across complex form fields. Similarly, end-to-end vision encoder-decoder models such as </w:t>
      </w:r>
      <w:r>
        <w:rPr>
          <w:rFonts w:ascii="Times New Roman" w:hAnsi="Times New Roman"/>
          <w:b/>
          <w:sz w:val="20"/>
        </w:rPr>
        <w:t>Donut</w:t>
      </w:r>
      <w:r>
        <w:rPr>
          <w:rFonts w:ascii="Times New Roman" w:hAnsi="Times New Roman"/>
          <w:sz w:val="20"/>
        </w:rPr>
        <w:t xml:space="preserve"> (Kim et al., 2022) eliminate explicit OCR dependencies by mapping document images directly to structured JSON trees. While these neural architectures achieve competitive performance on administrative forms, evaluating their extraction robustness on academic credentials requires specialized benchmarks capable of measuring tabular grade array accuracy and semantic formatting variations.</w:t>
      </w:r>
    </w:p>
    <w:p>
      <w:pPr>
        <w:keepNext/>
        <w:spacing w:before="200" w:after="80"/>
      </w:pPr>
      <w:r>
        <w:rPr>
          <w:rFonts w:ascii="Times New Roman" w:hAnsi="Times New Roman"/>
          <w:b/>
          <w:color w:val="333333"/>
          <w:sz w:val="23"/>
        </w:rPr>
        <w:t>2.2 Public Document Intelligence Benchmarks</w:t>
      </w:r>
    </w:p>
    <w:p>
      <w:pPr>
        <w:spacing w:before="40" w:after="80" w:line="276" w:lineRule="auto"/>
      </w:pPr>
      <w:r>
        <w:rPr>
          <w:rFonts w:ascii="Times New Roman" w:hAnsi="Times New Roman"/>
          <w:sz w:val="20"/>
        </w:rPr>
        <w:t>Several public datasets exist for document analysis research:</w:t>
      </w:r>
    </w:p>
    <w:p>
      <w:pPr>
        <w:pStyle w:val="ListBullet"/>
        <w:spacing w:before="20" w:after="40"/>
      </w:pPr>
      <w:r>
        <w:rPr>
          <w:rFonts w:ascii="Times New Roman" w:hAnsi="Times New Roman"/>
          <w:b/>
          <w:sz w:val="20"/>
        </w:rPr>
        <w:t>Receipts &amp; Invoices</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(Huang et al., 2019) and </w:t>
      </w:r>
      <w:r>
        <w:rPr>
          <w:rFonts w:ascii="Times New Roman" w:hAnsi="Times New Roman"/>
          <w:b/>
          <w:sz w:val="20"/>
        </w:rPr>
        <w:t>CORD</w:t>
      </w:r>
      <w:r>
        <w:rPr>
          <w:rFonts w:ascii="Times New Roman" w:hAnsi="Times New Roman"/>
          <w:sz w:val="20"/>
        </w:rPr>
        <w:t xml:space="preserve"> (Park et al., 2019) provide key-value annotations for commercial receipt parsing.</w:t>
      </w:r>
    </w:p>
    <w:p>
      <w:pPr>
        <w:pStyle w:val="ListBullet"/>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(Jaume et al., 2019) provides word-level and entity-level relationship annotations for administrative forms.</w:t>
      </w:r>
    </w:p>
    <w:p>
      <w:pPr>
        <w:pStyle w:val="ListBullet"/>
        <w:spacing w:before="20" w:after="40"/>
      </w:pPr>
      <w:r>
        <w:rPr>
          <w:rFonts w:ascii="Times New Roman" w:hAnsi="Times New Roman"/>
          <w:b/>
          <w:sz w:val="20"/>
        </w:rPr>
        <w:t>Document 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(Mathew et al., 2021) evaluates visual question answering across industry documents.</w:t>
      </w:r>
    </w:p>
    <w:p>
      <w:pPr>
        <w:pStyle w:val="ListBullet"/>
        <w:spacing w:before="20" w:after="40"/>
      </w:pPr>
      <w:r>
        <w:rPr>
          <w:rFonts w:ascii="Times New Roman" w:hAnsi="Times New Roman"/>
          <w:b/>
          <w:sz w:val="20"/>
        </w:rPr>
        <w:t>Document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(Harley et al., 2015) provides single-page scanned document categories across 16 administrative classes.</w:t>
      </w:r>
    </w:p>
    <w:p>
      <w:pPr>
        <w:spacing w:before="40" w:after="80" w:line="276" w:lineRule="auto"/>
      </w:pPr>
      <w:r>
        <w:rPr>
          <w:rFonts w:ascii="Times New Roman" w:hAnsi="Times New Roman"/>
          <w:sz w:val="20"/>
        </w:rPr>
        <w:t>However, these datasets do not focus on academic credentials, which combine dense tabular course arrays (subject codes, credits, grades) with formal institutional metadata. Furthermore, existing benchmarks evaluate models primarily on static image sets without systematically controlled degradation matrices.</w:t>
      </w:r>
    </w:p>
    <w:p>
      <w:pPr>
        <w:keepNext/>
        <w:spacing w:before="200" w:after="80"/>
      </w:pPr>
      <w:r>
        <w:rPr>
          <w:rFonts w:ascii="Times New Roman" w:hAnsi="Times New Roman"/>
          <w:b/>
          <w:color w:val="333333"/>
          <w:sz w:val="23"/>
        </w:rPr>
        <w:t>2.3 Synthetic Document Generation &amp; Benchmark Comparison</w:t>
      </w:r>
    </w:p>
    <w:p>
      <w:pPr>
        <w:spacing w:before="40" w:after="80" w:line="276" w:lineRule="auto"/>
      </w:pPr>
      <w:r>
        <w:rPr>
          <w:rFonts w:ascii="Times New Roman" w:hAnsi="Times New Roman"/>
          <w:sz w:val="20"/>
        </w:rPr>
        <w:t>To overcome data access barriers imposed by student privacy regulations, synthetic data generation frameworks render synthetic text onto natural images or form templates. ADBG v1.0 extends synthetic document generation principles to academic credentials by integrating Typst vector PDF compilation with 14 physical optical degradation operators, producing synthetic document specimens with multi-profile optical distortions.</w:t>
      </w:r>
    </w:p>
    <w:p>
      <w:pPr>
        <w:spacing w:before="40" w:after="80" w:line="276" w:lineRule="auto"/>
      </w:pPr>
      <w:r>
        <w:rPr>
          <w:rFonts w:ascii="Times New Roman" w:hAnsi="Times New Roman"/>
          <w:sz w:val="20"/>
        </w:rPr>
        <w:t>Table 0 presents a comparative feature matrix contrasting ADBG v1.0 with existing public document analysis benchmarks.</w:t>
      </w:r>
    </w:p>
    <w:p>
      <w:pPr>
        <w:keepNext/>
        <w:spacing w:before="160" w:after="80"/>
        <w:jc w:val="center"/>
      </w:pPr>
      <w:r>
        <w:rPr>
          <w:rFonts w:ascii="Times New Roman" w:hAnsi="Times New Roman"/>
          <w:b/>
          <w:color w:val="003366"/>
          <w:sz w:val="19"/>
        </w:rPr>
        <w:t>Table 0: Comparative Feature Matrix of Document Intelligence Benchmarks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Document Domain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Fully Synthetic Documents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Tabular Grade Array Support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Controlled Quality Degradation Matrix</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Semantic Canonical Normalization</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SROIE</w:t>
            </w:r>
            <w:r>
              <w:rPr>
                <w:rFonts w:ascii="Times New Roman" w:hAnsi="Times New Roman"/>
                <w:sz w:val="18"/>
              </w:rPr>
              <w:t xml:space="preserve"> (Huang et al., 2019)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Commercial Receipts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CORD</w:t>
            </w:r>
            <w:r>
              <w:rPr>
                <w:rFonts w:ascii="Times New Roman" w:hAnsi="Times New Roman"/>
                <w:sz w:val="18"/>
              </w:rPr>
              <w:t xml:space="preserve"> (Park et al., 2019)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Scanned Receipts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 (Anonymized)</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FUNSD</w:t>
            </w:r>
            <w:r>
              <w:rPr>
                <w:rFonts w:ascii="Times New Roman" w:hAnsi="Times New Roman"/>
                <w:sz w:val="18"/>
              </w:rPr>
              <w:t xml:space="preserve"> (Jaume et al., 2019)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Noise-Degraded Forms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Static Noise Only</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DocVQA</w:t>
            </w:r>
            <w:r>
              <w:rPr>
                <w:rFonts w:ascii="Times New Roman" w:hAnsi="Times New Roman"/>
                <w:sz w:val="18"/>
              </w:rPr>
              <w:t xml:space="preserve"> (Mathew et al., 2021)</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Mixed Documents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RVL-CDIP</w:t>
            </w:r>
            <w:r>
              <w:rPr>
                <w:rFonts w:ascii="Times New Roman" w:hAnsi="Times New Roman"/>
                <w:sz w:val="18"/>
              </w:rPr>
              <w:t xml:space="preserve"> (Harley et al., 2015)</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General Business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ADBG v1.0 / AU DIC (Ours)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Academic Credentials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(100% Synthetic)</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(Semester Arrays)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(4 Profiles)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(6 Stages)</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3. System Architecture Overview</w:t>
      </w:r>
    </w:p>
    <w:p>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and the </w:t>
      </w:r>
      <w:r>
        <w:rPr>
          <w:rFonts w:ascii="Times New Roman" w:hAnsi="Times New Roman"/>
          <w:b/>
          <w:sz w:val="20"/>
        </w:rPr>
        <w:t>AU DIC Benchmark Subsystem</w:t>
      </w:r>
      <w:r>
        <w:rPr>
          <w:rFonts w:ascii="Times New Roman" w:hAnsi="Times New Roman"/>
          <w:sz w:val="20"/>
        </w:rPr>
        <w:t xml:space="preserve"> (read-only evaluation framework).</w:t>
      </w:r>
    </w:p>
    <w:p>
      <w:pPr>
        <w:spacing w:before="160" w:after="80"/>
        <w:jc w:val="center"/>
      </w:pPr>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10"/>
                    <a:stretch>
                      <a:fillRect/>
                    </a:stretch>
                  </pic:blipFill>
                  <pic:spPr>
                    <a:xfrm>
                      <a:off x="0" y="0"/>
                      <a:ext cx="5943600" cy="2476500"/>
                    </a:xfrm>
                    <a:prstGeom prst="rect"/>
                  </pic:spPr>
                </pic:pic>
              </a:graphicData>
            </a:graphic>
          </wp:inline>
        </w:drawing>
      </w:r>
    </w:p>
    <w:p>
      <w:pPr>
        <w:spacing w:after="160"/>
        <w:jc w:val="center"/>
      </w:pPr>
      <w:r>
        <w:rPr>
          <w:rFonts w:ascii="Times New Roman" w:hAnsi="Times New Roman"/>
          <w:b/>
          <w:color w:val="003366"/>
          <w:sz w:val="19"/>
        </w:rPr>
        <w:t>Fig. 1. Decoupled System Architecture of the ADBG Synthetic Generation and AU DIC Evaluation Subsystems.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4. ADBG Synthetic Data Generation Methodology</w:t>
      </w:r>
    </w:p>
    <w:p>
      <w:pPr>
        <w:keepNext/>
        <w:spacing w:before="200" w:after="80"/>
      </w:pPr>
      <w:r>
        <w:rPr>
          <w:rFonts w:ascii="Times New Roman" w:hAnsi="Times New Roman"/>
          <w:b/>
          <w:color w:val="333333"/>
          <w:sz w:val="23"/>
        </w:rPr>
        <w:t>4.1 Seed-Deterministic Profile Generation</w:t>
      </w:r>
    </w:p>
    <w:p>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w:t>
      </w:r>
    </w:p>
    <w:p>
      <w:pPr>
        <w:spacing w:before="0" w:after="0"/>
        <w:jc w:val="center"/>
      </w:pPr>
      <m:oMathPara>
        <m:oMath>
          <m:r>
            <w:rPr>
              <w:rFonts w:ascii="Cambria Math" w:hAnsi="Cambria Math"/>
            </w:rPr>
            <m:t>D</m:t>
          </m:r>
          <m:r>
            <w:rPr>
              <w:rFonts w:ascii="Cambria Math" w:hAnsi="Cambria Math"/>
            </w:rPr>
            <m:t>o</m:t>
          </m:r>
          <m:r>
            <w:rPr>
              <w:rFonts w:ascii="Cambria Math" w:hAnsi="Cambria Math"/>
            </w:rPr>
            <m:t>c</m:t>
          </m:r>
          <m:r>
            <w:rPr>
              <w:rFonts w:ascii="Cambria Math" w:hAnsi="Cambria Math"/>
            </w:rPr>
            <m:t>u</m:t>
          </m:r>
          <m:r>
            <w:rPr>
              <w:rFonts w:ascii="Cambria Math" w:hAnsi="Cambria Math"/>
            </w:rPr>
            <m:t>m</m:t>
          </m:r>
          <m:r>
            <w:rPr>
              <w:rFonts w:ascii="Cambria Math" w:hAnsi="Cambria Math"/>
            </w:rPr>
            <m:t>e</m:t>
          </m:r>
          <m:r>
            <w:rPr>
              <w:rFonts w:ascii="Cambria Math" w:hAnsi="Cambria Math"/>
            </w:rPr>
            <m:t>n</m:t>
          </m:r>
          <m:r>
            <w:rPr>
              <w:rFonts w:ascii="Cambria Math" w:hAnsi="Cambria Math"/>
            </w:rPr>
            <m:t>t</m:t>
          </m:r>
          <m:r>
            <w:rPr>
              <w:rFonts w:ascii="Cambria Math" w:hAnsi="Cambria Math"/>
            </w:rPr>
            <m:t>S</m:t>
          </m:r>
          <m:r>
            <w:rPr>
              <w:rFonts w:ascii="Cambria Math" w:hAnsi="Cambria Math"/>
            </w:rPr>
            <m:t>p</m:t>
          </m:r>
          <m:r>
            <w:rPr>
              <w:rFonts w:ascii="Cambria Math" w:hAnsi="Cambria Math"/>
            </w:rPr>
            <m:t>e</m:t>
          </m:r>
          <m:r>
            <w:rPr>
              <w:rFonts w:ascii="Cambria Math" w:hAnsi="Cambria Math"/>
            </w:rPr>
            <m:t>c</m:t>
          </m:r>
          <m:r>
            <w:rPr>
              <w:rFonts w:ascii="Cambria Math" w:hAnsi="Cambria Math"/>
            </w:rPr>
            <m:t>i</m:t>
          </m:r>
          <m:r>
            <w:rPr>
              <w:rFonts w:ascii="Cambria Math" w:hAnsi="Cambria Math"/>
            </w:rPr>
            <m:t>m</m:t>
          </m:r>
          <m:r>
            <w:rPr>
              <w:rFonts w:ascii="Cambria Math" w:hAnsi="Cambria Math"/>
            </w:rPr>
            <m:t>e</m:t>
          </m:r>
          <m:r>
            <w:rPr>
              <w:rFonts w:ascii="Cambria Math" w:hAnsi="Cambria Math"/>
            </w:rPr>
            <m:t>n</m:t>
          </m:r>
          <m:r>
            <w:rPr>
              <w:rFonts w:ascii="Cambria Math" w:hAnsi="Cambria Math"/>
            </w:rPr>
            <m:t>=</m:t>
          </m:r>
          <m:r>
            <w:rPr>
              <w:rFonts w:ascii="Cambria Math" w:hAnsi="Cambria Math"/>
            </w:rPr>
            <m:t>G</m:t>
          </m:r>
          <m:r>
            <w:rPr>
              <w:rFonts w:ascii="Cambria Math" w:hAnsi="Cambria Math"/>
            </w:rPr>
            <m:t>(</m:t>
          </m:r>
          <m:r>
            <w:rPr>
              <w:rFonts w:ascii="Times New Roman" w:hAnsi="Times New Roman"/>
              <w:i w:val="0"/>
            </w:rPr>
            <m:t>Seed</m:t>
          </m:r>
          <m:r>
            <w:rPr>
              <w:rFonts w:ascii="Cambria Math" w:hAnsi="Cambria Math"/>
            </w:rPr>
            <m:t>,</m:t>
          </m:r>
          <m:r>
            <w:rPr>
              <w:rFonts w:ascii="Times New Roman" w:hAnsi="Times New Roman"/>
              <w:i w:val="0"/>
            </w:rPr>
            <m:t>Category</m:t>
          </m:r>
          <m:r>
            <w:rPr>
              <w:rFonts w:ascii="Cambria Math" w:hAnsi="Cambria Math"/>
            </w:rPr>
            <m:t>,</m:t>
          </m:r>
          <m:r>
            <w:rPr>
              <w:rFonts w:ascii="Times New Roman" w:hAnsi="Times New Roman"/>
              <w:i w:val="0"/>
            </w:rPr>
            <m:t>Profile</m:t>
          </m:r>
          <m:r>
            <w:rPr>
              <w:rFonts w:ascii="Cambria Math" w:hAnsi="Cambria Math"/>
            </w:rPr>
            <m:t>)</m:t>
          </m:r>
        </m:oMath>
      </m:oMathPara>
    </w:p>
    <w:p>
      <w:pPr>
        <w:keepNext/>
        <w:spacing w:before="200" w:after="80"/>
      </w:pPr>
      <w:r>
        <w:rPr>
          <w:rFonts w:ascii="Times New Roman" w:hAnsi="Times New Roman"/>
          <w:b/>
          <w:color w:val="333333"/>
          <w:sz w:val="23"/>
        </w:rPr>
        <w:t>4.2 Template Compilation Engine</w:t>
      </w:r>
    </w:p>
    <w:p>
      <w:pPr>
        <w:spacing w:before="40" w:after="80" w:line="276" w:lineRule="auto"/>
      </w:pPr>
      <w:r>
        <w:rPr>
          <w:rFonts w:ascii="Times New Roman" w:hAnsi="Times New Roman"/>
          <w:sz w:val="20"/>
        </w:rPr>
        <w:t>The generator utilizes a Typst vector compilation backend (TypstCompilerAdapter) to render high-resolution academic documents. Three primary document categories are supported:</w:t>
      </w:r>
    </w:p>
    <w:p>
      <w:pPr>
        <w:spacing w:before="20" w:after="40"/>
        <w:ind w:left="360"/>
      </w:pPr>
      <w:r>
        <w:rPr>
          <w:rFonts w:ascii="Times New Roman" w:hAnsi="Times New Roman"/>
          <w:b/>
          <w:sz w:val="20"/>
        </w:rPr>
        <w:t xml:space="preserve">1. </w:t>
      </w:r>
      <w:r>
        <w:rPr>
          <w:rFonts w:ascii="Times New Roman" w:hAnsi="Times New Roman"/>
          <w:b/>
          <w:sz w:val="20"/>
        </w:rPr>
        <w:t>Academic Certificates</w:t>
      </w:r>
      <w:r>
        <w:rPr>
          <w:rFonts w:ascii="Times New Roman" w:hAnsi="Times New Roman"/>
          <w:sz w:val="20"/>
        </w:rPr>
        <w:t>: Degree awards, honor certificates, and course completion diplomas.</w:t>
      </w:r>
    </w:p>
    <w:p>
      <w:pPr>
        <w:spacing w:before="20" w:after="40"/>
        <w:ind w:left="360"/>
      </w:pPr>
      <w:r>
        <w:rPr>
          <w:rFonts w:ascii="Times New Roman" w:hAnsi="Times New Roman"/>
          <w:b/>
          <w:sz w:val="20"/>
        </w:rPr>
        <w:t xml:space="preserve">2. </w:t>
      </w:r>
      <w:r>
        <w:rPr>
          <w:rFonts w:ascii="Times New Roman" w:hAnsi="Times New Roman"/>
          <w:b/>
          <w:sz w:val="20"/>
        </w:rPr>
        <w:t>Academic Marksheets</w:t>
      </w:r>
      <w:r>
        <w:rPr>
          <w:rFonts w:ascii="Times New Roman" w:hAnsi="Times New Roman"/>
          <w:sz w:val="20"/>
        </w:rPr>
        <w:t>: Semester grade reports featuring multi-column subject arrays (Course Code, Subject Name, Credits, Grade Point, Letter Grade, SGPA/CGPA).</w:t>
      </w:r>
    </w:p>
    <w:p>
      <w:pPr>
        <w:spacing w:before="20" w:after="40"/>
        <w:ind w:left="360"/>
      </w:pPr>
      <w:r>
        <w:rPr>
          <w:rFonts w:ascii="Times New Roman" w:hAnsi="Times New Roman"/>
          <w:b/>
          <w:sz w:val="20"/>
        </w:rPr>
        <w:t xml:space="preserve">3. </w:t>
      </w:r>
      <w:r>
        <w:rPr>
          <w:rFonts w:ascii="Times New Roman" w:hAnsi="Times New Roman"/>
          <w:b/>
          <w:sz w:val="20"/>
        </w:rPr>
        <w:t>Student ID Cards</w:t>
      </w:r>
      <w:r>
        <w:rPr>
          <w:rFonts w:ascii="Times New Roman" w:hAnsi="Times New Roman"/>
          <w:sz w:val="20"/>
        </w:rPr>
        <w:t>: Institutional identity cards containing student photographs, enrollment numbers, program titles, and issuing authority signatures.</w:t>
      </w:r>
    </w:p>
    <w:p>
      <w:pPr>
        <w:keepNext/>
        <w:spacing w:before="200" w:after="80"/>
      </w:pPr>
      <w:r>
        <w:rPr>
          <w:rFonts w:ascii="Times New Roman" w:hAnsi="Times New Roman"/>
          <w:b/>
          <w:color w:val="333333"/>
          <w:sz w:val="23"/>
        </w:rPr>
        <w:t>4.3 Optical Degradation Pipeline</w:t>
      </w:r>
    </w:p>
    <w:p>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w:t>
      </w:r>
    </w:p>
    <w:p>
      <w:pPr>
        <w:spacing w:before="0" w:after="0"/>
        <w:jc w:val="center"/>
      </w:pPr>
      <m:oMathPara>
        <m:oMath>
          <m:sSub>
            <m:e>
              <m:r>
                <w:rPr>
                  <w:rFonts w:ascii="Cambria Math" w:hAnsi="Cambria Math"/>
                </w:rPr>
                <m:t>I</m:t>
              </m:r>
            </m:e>
            <m:sub>
              <m:r>
                <w:rPr>
                  <w:rFonts w:ascii="Times New Roman" w:hAnsi="Times New Roman"/>
                  <w:i w:val="0"/>
                </w:rPr>
                <m:t>degraded</m:t>
              </m:r>
            </m:sub>
          </m:sSub>
          <m:r>
            <w:rPr>
              <w:rFonts w:ascii="Cambria Math" w:hAnsi="Cambria Math"/>
            </w:rPr>
            <m:t>=</m:t>
          </m:r>
          <m:sSub>
            <m:e>
              <m:r>
                <w:rPr>
                  <w:rFonts w:ascii="Cambria Math" w:hAnsi="Cambria Math"/>
                </w:rPr>
                <m:t>D</m:t>
              </m:r>
            </m:e>
            <m:sub>
              <m:r>
                <w:rPr>
                  <w:rFonts w:ascii="Times New Roman" w:hAnsi="Times New Roman"/>
                  <w:i w:val="0"/>
                </w:rPr>
                <m:t>rotation</m:t>
              </m:r>
            </m:sub>
          </m:sSub>
          <m:r>
            <w:rPr>
              <w:rFonts w:ascii="Cambria Math" w:hAnsi="Cambria Math"/>
            </w:rPr>
            <m:t>∘</m:t>
          </m:r>
          <m:sSub>
            <m:e>
              <m:r>
                <w:rPr>
                  <w:rFonts w:ascii="Cambria Math" w:hAnsi="Cambria Math"/>
                </w:rPr>
                <m:t>D</m:t>
              </m:r>
            </m:e>
            <m:sub>
              <m:r>
                <w:rPr>
                  <w:rFonts w:ascii="Times New Roman" w:hAnsi="Times New Roman"/>
                  <w:i w:val="0"/>
                </w:rPr>
                <m:t>contrast</m:t>
              </m:r>
            </m:sub>
          </m:sSub>
          <m:r>
            <w:rPr>
              <w:rFonts w:ascii="Cambria Math" w:hAnsi="Cambria Math"/>
            </w:rPr>
            <m:t>∘</m:t>
          </m:r>
          <m:sSub>
            <m:e>
              <m:r>
                <w:rPr>
                  <w:rFonts w:ascii="Cambria Math" w:hAnsi="Cambria Math"/>
                </w:rPr>
                <m:t>D</m:t>
              </m:r>
            </m:e>
            <m:sub>
              <m:r>
                <w:rPr>
                  <w:rFonts w:ascii="Times New Roman" w:hAnsi="Times New Roman"/>
                  <w:i w:val="0"/>
                </w:rPr>
                <m:t>gaussian</m:t>
              </m:r>
            </m:sub>
          </m:sSub>
          <m:r>
            <w:rPr>
              <w:rFonts w:ascii="Cambria Math" w:hAnsi="Cambria Math"/>
            </w:rPr>
            <m:t>∘</m:t>
          </m:r>
          <m:sSub>
            <m:e>
              <m:r>
                <w:rPr>
                  <w:rFonts w:ascii="Cambria Math" w:hAnsi="Cambria Math"/>
                </w:rPr>
                <m:t>D</m:t>
              </m:r>
            </m:e>
            <m:sub>
              <m:r>
                <w:rPr>
                  <w:rFonts w:ascii="Times New Roman" w:hAnsi="Times New Roman"/>
                  <w:i w:val="0"/>
                </w:rPr>
                <m:t>blur</m:t>
              </m:r>
            </m:sub>
          </m:sSub>
          <m:r>
            <w:rPr>
              <w:rFonts w:ascii="Cambria Math" w:hAnsi="Cambria Math"/>
            </w:rPr>
            <m:t>(</m:t>
          </m:r>
          <m:sSub>
            <m:e>
              <m:r>
                <w:rPr>
                  <w:rFonts w:ascii="Cambria Math" w:hAnsi="Cambria Math"/>
                </w:rPr>
                <m:t>I</m:t>
              </m:r>
            </m:e>
            <m:sub>
              <m:r>
                <w:rPr>
                  <w:rFonts w:ascii="Times New Roman" w:hAnsi="Times New Roman"/>
                  <w:i w:val="0"/>
                </w:rPr>
                <m:t>clean</m:t>
              </m:r>
            </m:sub>
          </m:sSub>
          <m:r>
            <w:rPr>
              <w:rFonts w:ascii="Cambria Math" w:hAnsi="Cambria Math"/>
            </w:rPr>
            <m:t>)</m:t>
          </m:r>
        </m:oMath>
      </m:oMathPara>
    </w:p>
    <w:p>
      <w:pPr>
        <w:spacing w:before="40" w:after="80" w:line="276" w:lineRule="auto"/>
      </w:pPr>
      <w:r>
        <w:rPr>
          <w:rFonts w:ascii="Times New Roman" w:hAnsi="Times New Roman"/>
          <w:sz w:val="20"/>
        </w:rPr>
        <w:t>Four standard quality profiles are instantiated in AU_DIC_Benchmark_v1.0:</w:t>
      </w:r>
    </w:p>
    <w:p>
      <w:pPr>
        <w:pStyle w:val="ListBullet"/>
        <w:spacing w:before="20" w:after="40"/>
      </w:pPr>
      <w:r>
        <w:rPr>
          <w:rFonts w:ascii="Times New Roman" w:hAnsi="Times New Roman"/>
          <w:b/>
          <w:sz w:val="20"/>
        </w:rPr>
        <w:t>clean</w:t>
      </w:r>
      <w:r>
        <w:rPr>
          <w:rFonts w:ascii="Times New Roman" w:hAnsi="Times New Roman"/>
          <w:sz w:val="20"/>
        </w:rPr>
        <w:t>: Pristine vector-rendered digital PDF exports (0% degradation).</w:t>
      </w:r>
    </w:p>
    <w:p>
      <w:pPr>
        <w:pStyle w:val="ListBullet"/>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pPr>
        <w:pStyle w:val="ListBullet"/>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pPr>
        <w:pStyle w:val="ListBullet"/>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5. AU DIC Evaluation Subsystem &amp; Semantic Normalization Layer</w:t>
      </w:r>
    </w:p>
    <w:p>
      <w:pPr>
        <w:keepNext/>
        <w:spacing w:before="200" w:after="80"/>
      </w:pPr>
      <w:r>
        <w:rPr>
          <w:rFonts w:ascii="Times New Roman" w:hAnsi="Times New Roman"/>
          <w:b/>
          <w:color w:val="333333"/>
          <w:sz w:val="23"/>
        </w:rPr>
        <w:t>5.1 Decoupled Read-Only Execution Engine</w:t>
      </w:r>
    </w:p>
    <w:p>
      <w:pPr>
        <w:spacing w:before="40" w:after="80" w:line="276" w:lineRule="auto"/>
      </w:pPr>
      <w:r>
        <w:rPr>
          <w:rFonts w:ascii="Times New Roman" w:hAnsi="Times New Roman"/>
          <w:sz w:val="20"/>
        </w:rPr>
        <w:t>The benchmark runner (BenchmarkRunner) operates strictly in read-only mode (isReadOnly: true). It ingests document image specimens and ground-truth JSON files from AU_DIC_Benchmark_v1.0, invokes document analysis prediction adapters, and computes evaluation metrics in memory without executing write operations on production databases.</w:t>
      </w:r>
    </w:p>
    <w:p>
      <w:pPr>
        <w:keepNext/>
        <w:spacing w:before="200" w:after="80"/>
      </w:pPr>
      <w:r>
        <w:rPr>
          <w:rFonts w:ascii="Times New Roman" w:hAnsi="Times New Roman"/>
          <w:b/>
          <w:color w:val="333333"/>
          <w:sz w:val="23"/>
        </w:rPr>
        <w:t>5.2 Six-Stage Semantic Canonical Normalization Layer</w:t>
      </w:r>
    </w:p>
    <w:p>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To isolate genuine recognition failures, the framework routes predicted and expected string values through a six-stage semantic normalizer (CanonicalNormalizer):</w:t>
      </w:r>
    </w:p>
    <w:p>
      <w:pPr>
        <w:spacing w:before="20" w:after="40"/>
        <w:ind w:left="360"/>
      </w:pPr>
      <w:r>
        <w:rPr>
          <w:rFonts w:ascii="Times New Roman" w:hAnsi="Times New Roman"/>
          <w:b/>
          <w:sz w:val="20"/>
        </w:rPr>
        <w:t xml:space="preserve">1. </w:t>
      </w:r>
      <w:r>
        <w:rPr>
          <w:rFonts w:ascii="Times New Roman" w:hAnsi="Times New Roman"/>
          <w:b/>
          <w:sz w:val="20"/>
        </w:rPr>
        <w:t>Stage 1: Case &amp; Whitespace Normalization</w:t>
      </w:r>
      <w:r>
        <w:rPr>
          <w:rFonts w:ascii="Times New Roman" w:hAnsi="Times New Roman"/>
          <w:sz w:val="20"/>
        </w:rPr>
        <w:t>: Converts characters to lower-case, trims leading/trailing whitespace, and collapses multiple internal space characters into single spaces.</w:t>
      </w:r>
    </w:p>
    <w:p>
      <w:pPr>
        <w:spacing w:before="20" w:after="40"/>
        <w:ind w:left="360"/>
      </w:pPr>
      <w:r>
        <w:rPr>
          <w:rFonts w:ascii="Times New Roman" w:hAnsi="Times New Roman"/>
          <w:b/>
          <w:sz w:val="20"/>
        </w:rPr>
        <w:t xml:space="preserve">2. </w:t>
      </w:r>
      <w:r>
        <w:rPr>
          <w:rFonts w:ascii="Times New Roman" w:hAnsi="Times New Roman"/>
          <w:b/>
          <w:sz w:val="20"/>
        </w:rPr>
        <w:t>Stage 2: ISO Date Canonicalization</w:t>
      </w:r>
      <w:r>
        <w:rPr>
          <w:rFonts w:ascii="Times New Roman" w:hAnsi="Times New Roman"/>
          <w:sz w:val="20"/>
        </w:rPr>
        <w:t>: Standardizes diverse date formats (04/08/2026, August 4, 2026, 2026.08.04) into ISO-8601 string representations (YYYY-MM-DD).</w:t>
      </w:r>
    </w:p>
    <w:p>
      <w:pPr>
        <w:spacing w:before="20" w:after="40"/>
        <w:ind w:left="360"/>
      </w:pPr>
      <w:r>
        <w:rPr>
          <w:rFonts w:ascii="Times New Roman" w:hAnsi="Times New Roman"/>
          <w:b/>
          <w:sz w:val="20"/>
        </w:rPr>
        <w:t xml:space="preserve">3. </w:t>
      </w:r>
      <w:r>
        <w:rPr>
          <w:rFonts w:ascii="Times New Roman" w:hAnsi="Times New Roman"/>
          <w:b/>
          <w:sz w:val="20"/>
        </w:rPr>
        <w:t>Stage 3: Identifier Canonicalization</w:t>
      </w:r>
      <w:r>
        <w:rPr>
          <w:rFonts w:ascii="Times New Roman" w:hAnsi="Times New Roman"/>
          <w:sz w:val="20"/>
        </w:rPr>
        <w:t>: Strips non-alphanumeric separator characters (hyphens, slashes, spaces) from candidate roll numbers and registration IDs.</w:t>
      </w:r>
    </w:p>
    <w:p>
      <w:pPr>
        <w:spacing w:before="20" w:after="40"/>
        <w:ind w:left="360"/>
      </w:pPr>
      <w:r>
        <w:rPr>
          <w:rFonts w:ascii="Times New Roman" w:hAnsi="Times New Roman"/>
          <w:b/>
          <w:sz w:val="20"/>
        </w:rPr>
        <w:t xml:space="preserve">4. </w:t>
      </w:r>
      <w:r>
        <w:rPr>
          <w:rFonts w:ascii="Times New Roman" w:hAnsi="Times New Roman"/>
          <w:b/>
          <w:sz w:val="20"/>
        </w:rPr>
        <w:t>Stage 4: Numerical Precision Standardizer</w:t>
      </w:r>
      <w:r>
        <w:rPr>
          <w:rFonts w:ascii="Times New Roman" w:hAnsi="Times New Roman"/>
          <w:sz w:val="20"/>
        </w:rPr>
        <w:t>: Parses floating-point marks, SGPA/CGPA values, and percentages, formatting numeric values to fixed two-decimal precision.</w:t>
      </w:r>
    </w:p>
    <w:p>
      <w:pPr>
        <w:spacing w:before="20" w:after="40"/>
        <w:ind w:left="360"/>
      </w:pPr>
      <w:r>
        <w:rPr>
          <w:rFonts w:ascii="Times New Roman" w:hAnsi="Times New Roman"/>
          <w:b/>
          <w:sz w:val="20"/>
        </w:rPr>
        <w:t xml:space="preserve">5. </w:t>
      </w:r>
      <w:r>
        <w:rPr>
          <w:rFonts w:ascii="Times New Roman" w:hAnsi="Times New Roman"/>
          <w:b/>
          <w:sz w:val="20"/>
        </w:rPr>
        <w:t>Stage 5: Institutional Alias Mapping</w:t>
      </w:r>
      <w:r>
        <w:rPr>
          <w:rFonts w:ascii="Times New Roman" w:hAnsi="Times New Roman"/>
          <w:sz w:val="20"/>
        </w:rPr>
        <w:t xml:space="preserve">: Maps common university name abbreviations (e.g., MIT </w:t>
      </w:r>
      <m:oMath>
        <m:r>
          <w:rPr>
            <w:rFonts w:ascii="Cambria Math" w:hAnsi="Cambria Math"/>
          </w:rPr>
          <m:t>→</m:t>
        </m:r>
      </m:oMath>
      <w:r>
        <w:rPr>
          <w:rFonts w:ascii="Times New Roman" w:hAnsi="Times New Roman"/>
          <w:sz w:val="20"/>
        </w:rPr>
        <w:t xml:space="preserve"> Massachusetts Institute of Technology) using an institutional lexicon directory.</w:t>
      </w:r>
    </w:p>
    <w:p>
      <w:pPr>
        <w:spacing w:before="20" w:after="40"/>
        <w:ind w:left="360"/>
      </w:pPr>
      <w:r>
        <w:rPr>
          <w:rFonts w:ascii="Times New Roman" w:hAnsi="Times New Roman"/>
          <w:b/>
          <w:sz w:val="20"/>
        </w:rPr>
        <w:t xml:space="preserve">6. </w:t>
      </w:r>
      <w:r>
        <w:rPr>
          <w:rFonts w:ascii="Times New Roman" w:hAnsi="Times New Roman"/>
          <w:b/>
          <w:sz w:val="20"/>
        </w:rPr>
        <w:t>Stage 6: Canonical Honorific Removal</w:t>
      </w:r>
      <w:r>
        <w:rPr>
          <w:rFonts w:ascii="Times New Roman" w:hAnsi="Times New Roman"/>
          <w:sz w:val="20"/>
        </w:rPr>
        <w:t>: Removes standard honorific prefixes (Mr., Ms., Dr., Prof.) prior to candidate name comparison.</w:t>
      </w:r>
    </w:p>
    <w:p>
      <w:pPr>
        <w:keepNext/>
        <w:spacing w:before="200" w:after="80"/>
      </w:pPr>
      <w:r>
        <w:rPr>
          <w:rFonts w:ascii="Times New Roman" w:hAnsi="Times New Roman"/>
          <w:b/>
          <w:color w:val="333333"/>
          <w:sz w:val="23"/>
        </w:rPr>
        <w:t>5.3 Nine-Class Structured OCR Error Taxonomy</w:t>
      </w:r>
    </w:p>
    <w:p>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w:t>
      </w:r>
    </w:p>
    <w:p>
      <w:pPr>
        <w:spacing w:before="0" w:after="0"/>
        <w:jc w:val="center"/>
      </w:pPr>
      <m:oMathPara>
        <m:oMath>
          <m:r>
            <w:rPr>
              <w:rFonts w:ascii="Cambria Math" w:hAnsi="Cambria Math"/>
            </w:rPr>
            <m:t>E</m:t>
          </m:r>
          <m:r>
            <w:rPr>
              <w:rFonts w:ascii="Cambria Math" w:hAnsi="Cambria Math"/>
            </w:rPr>
            <m:t>r</m:t>
          </m:r>
          <m:r>
            <w:rPr>
              <w:rFonts w:ascii="Cambria Math" w:hAnsi="Cambria Math"/>
            </w:rPr>
            <m:t>r</m:t>
          </m:r>
          <m:r>
            <w:rPr>
              <w:rFonts w:ascii="Cambria Math" w:hAnsi="Cambria Math"/>
            </w:rPr>
            <m:t>o</m:t>
          </m:r>
          <m:r>
            <w:rPr>
              <w:rFonts w:ascii="Cambria Math" w:hAnsi="Cambria Math"/>
            </w:rPr>
            <m:t>r</m:t>
          </m:r>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m:t>
          </m:r>
          <m:r>
            <w:rPr>
              <w:rFonts w:ascii="Cambria Math" w:hAnsi="Cambria Math"/>
            </w:rPr>
            <m:t>{</m:t>
          </m:r>
          <m:r>
            <w:rPr>
              <w:rFonts w:ascii="Times New Roman" w:hAnsi="Times New Roman"/>
              <w:i w:val="0"/>
            </w:rPr>
            <m:t>OCR\_ERROR</m:t>
          </m:r>
          <m:r>
            <w:rPr>
              <w:rFonts w:ascii="Cambria Math" w:hAnsi="Cambria Math"/>
            </w:rPr>
            <m:t>,</m:t>
          </m:r>
          <m:r>
            <w:rPr>
              <w:rFonts w:ascii="Times New Roman" w:hAnsi="Times New Roman"/>
              <w:i w:val="0"/>
            </w:rPr>
            <m:t>FIELD\_MISSING</m:t>
          </m:r>
          <m:r>
            <w:rPr>
              <w:rFonts w:ascii="Cambria Math" w:hAnsi="Cambria Math"/>
            </w:rPr>
            <m:t>,</m:t>
          </m:r>
          <m:r>
            <w:rPr>
              <w:rFonts w:ascii="Times New Roman" w:hAnsi="Times New Roman"/>
              <w:i w:val="0"/>
            </w:rPr>
            <m:t>HALLUCINATION</m:t>
          </m:r>
          <m:r>
            <w:rPr>
              <w:rFonts w:ascii="Cambria Math" w:hAnsi="Cambria Math"/>
            </w:rPr>
            <m:t>,</m:t>
          </m:r>
          <m:r>
            <w:rPr>
              <w:rFonts w:ascii="Times New Roman" w:hAnsi="Times New Roman"/>
              <w:i w:val="0"/>
            </w:rPr>
            <m:t>FORMAT\_ERROR</m:t>
          </m:r>
          <m:r>
            <w:rPr>
              <w:rFonts w:ascii="Cambria Math" w:hAnsi="Cambria Math"/>
            </w:rPr>
            <m:t>,</m:t>
          </m:r>
          <m:r>
            <w:rPr>
              <w:rFonts w:ascii="Times New Roman" w:hAnsi="Times New Roman"/>
              <w:i w:val="0"/>
            </w:rPr>
            <m:t>NORMALIZATION\_ERROR</m:t>
          </m:r>
          <m:r>
            <w:rPr>
              <w:rFonts w:ascii="Cambria Math" w:hAnsi="Cambria Math"/>
            </w:rPr>
            <m:t>,</m:t>
          </m:r>
          <m:r>
            <w:rPr>
              <w:rFonts w:ascii="Times New Roman" w:hAnsi="Times New Roman"/>
              <w:i w:val="0"/>
            </w:rPr>
            <m:t>PARTIAL\_MATCH</m:t>
          </m:r>
          <m:r>
            <w:rPr>
              <w:rFonts w:ascii="Cambria Math" w:hAnsi="Cambria Math"/>
            </w:rPr>
            <m:t>,</m:t>
          </m:r>
          <m:r>
            <w:rPr>
              <w:rFonts w:ascii="Times New Roman" w:hAnsi="Times New Roman"/>
              <w:i w:val="0"/>
            </w:rPr>
            <m:t>LOW\_CONFIDENCE</m:t>
          </m:r>
          <m:r>
            <w:rPr>
              <w:rFonts w:ascii="Cambria Math" w:hAnsi="Cambria Math"/>
            </w:rPr>
            <m:t>,</m:t>
          </m:r>
          <m:r>
            <w:rPr>
              <w:rFonts w:ascii="Times New Roman" w:hAnsi="Times New Roman"/>
              <w:i w:val="0"/>
            </w:rPr>
            <m:t>CATEGORY\_ERROR</m:t>
          </m:r>
          <m:r>
            <w:rPr>
              <w:rFonts w:ascii="Cambria Math" w:hAnsi="Cambria Math"/>
            </w:rPr>
            <m:t>,</m:t>
          </m:r>
          <m:r>
            <w:rPr>
              <w:rFonts w:ascii="Times New Roman" w:hAnsi="Times New Roman"/>
              <w:i w:val="0"/>
            </w:rPr>
            <m:t>EXACT\_MATCH</m:t>
          </m:r>
          <m:r>
            <w:rPr>
              <w:rFonts w:ascii="Cambria Math" w:hAnsi="Cambria Math"/>
            </w:rPr>
            <m:t>}</m:t>
          </m:r>
        </m:oMath>
      </m:oMathPara>
    </w:p>
    <w:p>
      <w:pPr>
        <w:keepNext/>
        <w:spacing w:before="160" w:after="40"/>
      </w:pPr>
      <w:r>
        <w:rPr>
          <w:rFonts w:ascii="Times New Roman" w:hAnsi="Times New Roman"/>
          <w:b/>
          <w:i/>
          <w:sz w:val="21"/>
        </w:rPr>
        <w:t>5.3.1 Scientific Definition and Justification of NORMALIZATION_ERROR</w:t>
      </w:r>
    </w:p>
    <w:p>
      <w:pPr>
        <w:spacing w:before="40" w:after="80" w:line="276" w:lineRule="auto"/>
      </w:pPr>
      <w:r>
        <w:rPr>
          <w:rFonts w:ascii="Times New Roman" w:hAnsi="Times New Roman"/>
          <w:sz w:val="20"/>
        </w:rPr>
        <w:t xml:space="preserve">A potential ambiguity in field comparison is distinguishing superficial representation differences from true recognition errors. Specifically, an external reviewer may ask: </w:t>
      </w:r>
      <w:r>
        <w:rPr>
          <w:rFonts w:ascii="Times New Roman" w:hAnsi="Times New Roman"/>
          <w:i/>
          <w:sz w:val="20"/>
        </w:rPr>
        <w:t>"If candidate values still differ after normalization, why is a separate error category necessary instead of treating the mismatch as a generic field failure?"</w:t>
      </w:r>
    </w:p>
    <w:p>
      <w:pPr>
        <w:spacing w:before="40" w:after="80" w:line="276" w:lineRule="auto"/>
      </w:pPr>
      <w:r>
        <w:rPr>
          <w:rFonts w:ascii="Times New Roman" w:hAnsi="Times New Roman"/>
          <w:sz w:val="20"/>
        </w:rPr>
        <w:t xml:space="preserve">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pPr>
        <w:spacing w:before="20" w:after="40"/>
        <w:ind w:left="360"/>
      </w:pPr>
      <w:r>
        <w:rPr>
          <w:rFonts w:ascii="Times New Roman" w:hAnsi="Times New Roman"/>
          <w:b/>
          <w:sz w:val="20"/>
        </w:rPr>
        <w:t xml:space="preserve">1. </w:t>
      </w:r>
      <w:r>
        <w:rPr>
          <w:rFonts w:ascii="Times New Roman" w:hAnsi="Times New Roman"/>
          <w:b/>
          <w:sz w:val="20"/>
        </w:rPr>
        <w:t>Pipeline Traversal</w:t>
      </w:r>
      <w:r>
        <w:rPr>
          <w:rFonts w:ascii="Times New Roman" w:hAnsi="Times New Roman"/>
          <w:sz w:val="20"/>
        </w:rPr>
        <w:t>: The candidate field has successfully passed through the complete six-stage semantic normalization layer (CanonicalNormalizer).</w:t>
      </w:r>
    </w:p>
    <w:p>
      <w:pPr>
        <w:spacing w:before="20" w:after="40"/>
        <w:ind w:left="360"/>
      </w:pPr>
      <w:r>
        <w:rPr>
          <w:rFonts w:ascii="Times New Roman" w:hAnsi="Times New Roman"/>
          <w:b/>
          <w:sz w:val="20"/>
        </w:rPr>
        <w:t xml:space="preserve">2. </w:t>
      </w:r>
      <w:r>
        <w:rPr>
          <w:rFonts w:ascii="Times New Roman" w:hAnsi="Times New Roman"/>
          <w:b/>
          <w:sz w:val="20"/>
        </w:rPr>
        <w:t>Valid Canonical Representations</w:t>
      </w:r>
      <w:r>
        <w:rPr>
          <w:rFonts w:ascii="Times New Roman" w:hAnsi="Times New Roman"/>
          <w:sz w:val="20"/>
        </w:rPr>
        <w:t>: Both Ground Truth (</w:t>
      </w:r>
      <m:oMath>
        <m:sSub>
          <m:e>
            <m:r>
              <w:rPr>
                <w:rFonts w:ascii="Cambria Math" w:hAnsi="Cambria Math"/>
              </w:rPr>
              <m:t>V</m:t>
            </m:r>
          </m:e>
          <m:sub>
            <m:r>
              <w:rPr>
                <w:rFonts w:ascii="Times New Roman" w:hAnsi="Times New Roman"/>
                <w:i w:val="0"/>
              </w:rPr>
              <m:t>GT</m:t>
            </m:r>
          </m:sub>
        </m:sSub>
      </m:oMath>
      <w:r>
        <w:rPr>
          <w:rFonts w:ascii="Times New Roman" w:hAnsi="Times New Roman"/>
          <w:sz w:val="20"/>
        </w:rPr>
        <w:t>) and Prediction (</w:t>
      </w:r>
      <m:oMath>
        <m:acc>
          <m:accPr>
            <m:chr m:val="̂"/>
          </m:accPr>
          <m:e>
            <m:r>
              <w:rPr>
                <w:rFonts w:ascii="Cambria Math" w:hAnsi="Cambria Math"/>
              </w:rPr>
              <m:t>V</m:t>
            </m:r>
          </m:e>
        </m:acc>
      </m:oMath>
      <w:r>
        <w:rPr>
          <w:rFonts w:ascii="Times New Roman" w:hAnsi="Times New Roman"/>
          <w:sz w:val="20"/>
        </w:rPr>
        <w:t>) possess valid, parseable canonical representations.</w:t>
      </w:r>
    </w:p>
    <w:p>
      <w:pPr>
        <w:spacing w:before="20" w:after="40"/>
        <w:ind w:left="360"/>
      </w:pPr>
      <w:r>
        <w:rPr>
          <w:rFonts w:ascii="Times New Roman" w:hAnsi="Times New Roman"/>
          <w:b/>
          <w:sz w:val="20"/>
        </w:rPr>
        <w:t xml:space="preserve">3. </w:t>
      </w:r>
      <w:r>
        <w:rPr>
          <w:rFonts w:ascii="Times New Roman" w:hAnsi="Times New Roman"/>
          <w:b/>
          <w:sz w:val="20"/>
        </w:rPr>
        <w:t>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pPr>
        <w:spacing w:before="20" w:after="40"/>
        <w:ind w:left="360"/>
      </w:pPr>
      <w:r>
        <w:rPr>
          <w:rFonts w:ascii="Times New Roman" w:hAnsi="Times New Roman"/>
          <w:b/>
          <w:sz w:val="20"/>
        </w:rPr>
        <w:t xml:space="preserve">4. </w:t>
      </w:r>
      <w:r>
        <w:rPr>
          <w:rFonts w:ascii="Times New Roman" w:hAnsi="Times New Roman"/>
          <w:b/>
          <w:sz w:val="20"/>
        </w:rPr>
        <w:t>Canonical Discrepancy</w:t>
      </w:r>
      <w:r>
        <w:rPr>
          <w:rFonts w:ascii="Times New Roman" w:hAnsi="Times New Roman"/>
          <w:sz w:val="20"/>
        </w:rPr>
        <w:t>: The canonical representations remain strictly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w:t>
      </w:r>
    </w:p>
    <w:p>
      <w:pPr>
        <w:spacing w:before="20" w:after="40"/>
        <w:ind w:left="360"/>
      </w:pPr>
      <w:r>
        <w:rPr>
          <w:rFonts w:ascii="Times New Roman" w:hAnsi="Times New Roman"/>
          <w:b/>
          <w:sz w:val="20"/>
        </w:rPr>
        <w:t xml:space="preserve">5. </w:t>
      </w:r>
      <w:r>
        <w:rPr>
          <w:rFonts w:ascii="Times New Roman" w:hAnsi="Times New Roman"/>
          <w:b/>
          <w:sz w:val="20"/>
        </w:rPr>
        <w:t>Genuine Semantic Mismatch</w:t>
      </w:r>
      <w:r>
        <w:rPr>
          <w:rFonts w:ascii="Times New Roman" w:hAnsi="Times New Roman"/>
          <w:sz w:val="20"/>
        </w:rPr>
        <w:t>: Consequently, the remaining discrepancy represents a genuine semantic character or value mismatch rather than a formatting variation.</w:t>
      </w:r>
    </w:p>
    <w:p>
      <w:pPr>
        <w:spacing w:before="40" w:after="80" w:line="276" w:lineRule="auto"/>
      </w:pPr>
      <w:r>
        <w:rPr>
          <w:rFonts w:ascii="Times New Roman" w:hAnsi="Times New Roman"/>
          <w:sz w:val="20"/>
        </w:rPr>
        <w:t>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keepNext/>
        <w:spacing w:before="160" w:after="40"/>
      </w:pPr>
      <w:r>
        <w:rPr>
          <w:rFonts w:ascii="Times New Roman" w:hAnsi="Times New Roman"/>
          <w:b/>
          <w:i/>
          <w:sz w:val="21"/>
        </w:rPr>
        <w:t>5.3.2 Canonical Comparison Workflow &amp; Non-Overlapping Taxonomy Boundaries</w:t>
      </w:r>
    </w:p>
    <w:p>
      <w:pPr>
        <w:spacing w:before="40" w:after="80" w:line="276" w:lineRule="auto"/>
      </w:pPr>
      <w:r>
        <w:rPr>
          <w:rFonts w:ascii="Times New Roman" w:hAnsi="Times New Roman"/>
          <w:sz w:val="20"/>
        </w:rPr>
        <w:t>To ensure taxonomic independence, each error class maintains a strict, non-overlapping responsibility:</w:t>
      </w:r>
    </w:p>
    <w:p>
      <w:pPr>
        <w:pStyle w:val="ListBullet"/>
        <w:spacing w:before="20" w:after="40"/>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pPr>
        <w:pStyle w:val="ListBullet"/>
        <w:spacing w:before="20" w:after="40"/>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pPr>
        <w:pStyle w:val="ListBullet"/>
        <w:spacing w:before="20" w:after="40"/>
      </w:pPr>
      <w:r>
        <w:rPr>
          <w:rFonts w:ascii="Times New Roman" w:hAnsi="Times New Roman"/>
          <w:b/>
          <w:sz w:val="20"/>
        </w:rPr>
        <w:t>NORMALIZATION_ERROR</w:t>
      </w:r>
      <w:r>
        <w:rPr>
          <w:rFonts w:ascii="Times New Roman" w:hAnsi="Times New Roman"/>
          <w:sz w:val="20"/>
        </w:rPr>
        <w:t>: Both values are normalized, but their canonical representations remain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 confirming a true semantic extraction mismatch.</w:t>
      </w:r>
    </w:p>
    <w:p>
      <w:pPr>
        <w:pStyle w:val="ListBullet"/>
        <w:spacing w:before="20" w:after="40"/>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w:t>
      </w:r>
    </w:p>
    <w:p>
      <w:pPr>
        <w:pStyle w:val="ListBullet"/>
        <w:spacing w:before="20" w:after="40"/>
      </w:pPr>
      <w:r>
        <w:rPr>
          <w:rFonts w:ascii="Times New Roman" w:hAnsi="Times New Roman"/>
          <w:b/>
          <w:sz w:val="20"/>
        </w:rPr>
        <w:t>FIELD_MISSING</w:t>
      </w:r>
      <w:r>
        <w:rPr>
          <w:rFonts w:ascii="Times New Roman" w:hAnsi="Times New Roman"/>
          <w:sz w:val="20"/>
        </w:rPr>
        <w:t>: Target key entity is entirely absent from the model output JSON payload.</w:t>
      </w:r>
    </w:p>
    <w:p>
      <w:pPr>
        <w:pStyle w:val="ListBullet"/>
        <w:spacing w:before="20" w:after="40"/>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pPr>
        <w:spacing w:before="40" w:after="80" w:line="276" w:lineRule="auto"/>
      </w:pPr>
      <w:r>
        <w:rPr>
          <w:rFonts w:ascii="Times New Roman" w:hAnsi="Times New Roman"/>
          <w:sz w:val="20"/>
        </w:rPr>
        <w:t>Table 0.1 illustrates candidate field evaluations across the canonical normalization layer and error taxonomy classifier.</w:t>
      </w:r>
    </w:p>
    <w:p>
      <w:pPr>
        <w:keepNext/>
        <w:spacing w:before="160" w:after="80"/>
        <w:jc w:val="center"/>
      </w:pPr>
      <w:r>
        <w:rPr>
          <w:rFonts w:ascii="Times New Roman" w:hAnsi="Times New Roman"/>
          <w:b/>
          <w:color w:val="003366"/>
          <w:sz w:val="19"/>
        </w:rPr>
        <w:t>Table 0.1: Canonical Normalization Comparison Examples and Error Categorization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Ground Truth (</w:t>
            </w:r>
            <m:oMath>
              <m:sSub>
                <m:e>
                  <m:r>
                    <w:rPr>
                      <w:rFonts w:ascii="Cambria Math" w:hAnsi="Cambria Math"/>
                    </w:rPr>
                    <m:t>V</m:t>
                  </m:r>
                </m:e>
                <m:sub>
                  <m:r>
                    <w:rPr>
                      <w:rFonts w:ascii="Times New Roman" w:hAnsi="Times New Roman"/>
                      <w:i w:val="0"/>
                    </w:rPr>
                    <m:t>GT</m:t>
                  </m:r>
                </m:sub>
              </m:sSub>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Prediction (</w:t>
            </w:r>
            <m:oMath>
              <m:acc>
                <m:accPr>
                  <m:chr m:val="̂"/>
                </m:accPr>
                <m:e>
                  <m:r>
                    <w:rPr>
                      <w:rFonts w:ascii="Cambria Math" w:hAnsi="Cambria Math"/>
                    </w:rPr>
                    <m:t>V</m:t>
                  </m:r>
                </m:e>
              </m:acc>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After Canonical Normalizer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Times New Roman" w:hAnsi="Times New Roman"/>
                  <w:i w:val="0"/>
                </w:rPr>
                <m:t>vs</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Classification Result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04/08/2026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August 4, 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2026-08-04 == 2026-08-04</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B.Tech</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 == 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VTU</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Vivekananda Technical University </w:t>
            </w:r>
            <m:oMath>
              <m:r>
                <w:rPr>
                  <w:rFonts w:ascii="Cambria Math" w:hAnsi="Cambria Math"/>
                </w:rPr>
                <m:t>≠</m:t>
              </m:r>
            </m:oMath>
            <w:r>
              <w:rPr>
                <w:rFonts w:ascii="Times New Roman" w:hAnsi="Times New Roman"/>
                <w:sz w:val="18"/>
              </w:rPr>
              <w:t xml:space="preserve"> 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NORMALIZATION_ERROR</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2021-IT-00150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2021IT00150 </w:t>
            </w:r>
            <m:oMath>
              <m:r>
                <w:rPr>
                  <w:rFonts w:ascii="Cambria Math" w:hAnsi="Cambria Math"/>
                </w:rPr>
                <m:t>≠</m:t>
              </m:r>
            </m:oMath>
            <w:r>
              <w:rPr>
                <w:rFonts w:ascii="Times New Roman" w:hAnsi="Times New Roman"/>
                <w:sz w:val="18"/>
              </w:rPr>
              <w:t xml:space="preserve"> 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NORMALIZATION_ERROR</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6. Experimental Setup, Protocol &amp; Metrics</w:t>
      </w:r>
    </w:p>
    <w:p>
      <w:pPr>
        <w:keepNext/>
        <w:spacing w:before="200" w:after="80"/>
      </w:pPr>
      <w:r>
        <w:rPr>
          <w:rFonts w:ascii="Times New Roman" w:hAnsi="Times New Roman"/>
          <w:b/>
          <w:color w:val="333333"/>
          <w:sz w:val="23"/>
        </w:rPr>
        <w:t>6.1 Dataset Composition (`AU_DIC_Benchmark_v1.0`)</w:t>
      </w:r>
    </w:p>
    <w:p>
      <w:pPr>
        <w:spacing w:before="40" w:after="80" w:line="276" w:lineRule="auto"/>
      </w:pPr>
      <w:r>
        <w:rPr>
          <w:rFonts w:ascii="Times New Roman" w:hAnsi="Times New Roman"/>
          <w:sz w:val="20"/>
        </w:rPr>
        <w:t xml:space="preserve">The evaluation dataset consists of 360 image specimens (3 document categories </w:t>
      </w:r>
      <m:oMath>
        <m:r>
          <w:rPr>
            <w:rFonts w:ascii="Cambria Math" w:hAnsi="Cambria Math"/>
          </w:rPr>
          <m:t>×</m:t>
        </m:r>
      </m:oMath>
      <w:r>
        <w:rPr>
          <w:rFonts w:ascii="Times New Roman" w:hAnsi="Times New Roman"/>
          <w:sz w:val="20"/>
        </w:rPr>
        <w:t xml:space="preserve"> 30 unique document instances </w:t>
      </w:r>
      <m:oMath>
        <m:r>
          <w:rPr>
            <w:rFonts w:ascii="Cambria Math" w:hAnsi="Cambria Math"/>
          </w:rPr>
          <m:t>×</m:t>
        </m:r>
      </m:oMath>
      <w:r>
        <w:rPr>
          <w:rFonts w:ascii="Times New Roman" w:hAnsi="Times New Roman"/>
          <w:sz w:val="20"/>
        </w:rPr>
        <w:t xml:space="preserve"> 4 quality profiles). Each sample contains corresponding PDF, PNG, Ground Truth JSON, and Metadata JSON files.</w:t>
      </w:r>
    </w:p>
    <w:p>
      <w:pPr>
        <w:keepNext/>
        <w:spacing w:before="200" w:after="80"/>
      </w:pPr>
      <w:r>
        <w:rPr>
          <w:rFonts w:ascii="Times New Roman" w:hAnsi="Times New Roman"/>
          <w:b/>
          <w:color w:val="333333"/>
          <w:sz w:val="23"/>
        </w:rPr>
        <w:t>6.2 Evaluation Metrics</w:t>
      </w:r>
    </w:p>
    <w:p>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The computed quantitative metrics are defined as follows:</w:t>
      </w:r>
    </w:p>
    <w:p>
      <w:pPr>
        <w:spacing w:before="20" w:after="40"/>
        <w:ind w:left="360"/>
      </w:pPr>
      <w:r>
        <w:rPr>
          <w:rFonts w:ascii="Times New Roman" w:hAnsi="Times New Roman"/>
          <w:b/>
          <w:sz w:val="20"/>
        </w:rPr>
        <w:t xml:space="preserve">1. </w:t>
      </w:r>
      <w:r>
        <w:rPr>
          <w:rFonts w:ascii="Times New Roman" w:hAnsi="Times New Roman"/>
          <w:b/>
          <w:sz w:val="20"/>
        </w:rPr>
        <w:t>Category Classification Accuracy</w:t>
      </w:r>
      <w:r>
        <w:rPr>
          <w:rFonts w:ascii="Times New Roman" w:hAnsi="Times New Roman"/>
          <w:sz w:val="20"/>
        </w:rPr>
        <w:t>: The proportion of specimens where the predicted document category (</w:t>
      </w:r>
      <m:oMath>
        <m:sSub>
          <m:e>
            <m:acc>
              <m:accPr>
                <m:chr m:val="̂"/>
              </m:accPr>
              <m:e>
                <m:r>
                  <w:rPr>
                    <w:rFonts w:ascii="Cambria Math" w:hAnsi="Cambria Math"/>
                  </w:rPr>
                  <m:t>C</m:t>
                </m:r>
              </m:e>
            </m:acc>
          </m:e>
          <m:sub>
            <m:r>
              <w:rPr>
                <w:rFonts w:ascii="Cambria Math" w:hAnsi="Cambria Math"/>
              </w:rPr>
              <m:t>i</m:t>
            </m:r>
          </m:sub>
        </m:sSub>
      </m:oMath>
      <w:r>
        <w:rPr>
          <w:rFonts w:ascii="Times New Roman" w:hAnsi="Times New Roman"/>
          <w:sz w:val="20"/>
        </w:rPr>
        <w:t>) matches the ground truth category (</w:t>
      </w:r>
      <m:oMath>
        <m:sSub>
          <m:e>
            <m:r>
              <w:rPr>
                <w:rFonts w:ascii="Cambria Math" w:hAnsi="Cambria Math"/>
              </w:rPr>
              <m:t>C</m:t>
            </m:r>
          </m:e>
          <m:sub>
            <m:r>
              <w:rPr>
                <w:rFonts w:ascii="Cambria Math" w:hAnsi="Cambria Math"/>
              </w:rPr>
              <m:t>i</m:t>
            </m:r>
          </m:sub>
        </m:sSub>
      </m:oMath>
      <w:r>
        <w:rPr>
          <w:rFonts w:ascii="Times New Roman" w:hAnsi="Times New Roman"/>
          <w:sz w:val="20"/>
        </w:rPr>
        <w:t>):</w:t>
      </w:r>
    </w:p>
    <w:p>
      <w:pPr>
        <w:spacing w:before="0" w:after="0"/>
        <w:jc w:val="center"/>
      </w:pPr>
      <m:oMathPara>
        <m:oMath>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A</m:t>
          </m:r>
          <m:r>
            <w:rPr>
              <w:rFonts w:ascii="Cambria Math" w:hAnsi="Cambria Math"/>
            </w:rPr>
            <m:t>c</m:t>
          </m:r>
          <m:r>
            <w:rPr>
              <w:rFonts w:ascii="Cambria Math" w:hAnsi="Cambria Math"/>
            </w:rPr>
            <m:t>c</m:t>
          </m:r>
          <m:r>
            <w:rPr>
              <w:rFonts w:ascii="Cambria Math" w:hAnsi="Cambria Math"/>
            </w:rPr>
            <m:t>u</m:t>
          </m:r>
          <m:r>
            <w:rPr>
              <w:rFonts w:ascii="Cambria Math" w:hAnsi="Cambria Math"/>
            </w:rPr>
            <m:t>r</m:t>
          </m:r>
          <m:r>
            <w:rPr>
              <w:rFonts w:ascii="Cambria Math" w:hAnsi="Cambria Math"/>
            </w:rPr>
            <m:t>a</m:t>
          </m:r>
          <m:r>
            <w:rPr>
              <w:rFonts w:ascii="Cambria Math" w:hAnsi="Cambria Math"/>
            </w:rPr>
            <m:t>c</m:t>
          </m:r>
          <m:r>
            <w:rPr>
              <w:rFonts w:ascii="Cambria Math" w:hAnsi="Cambria Math"/>
            </w:rPr>
            <m:t>y</m:t>
          </m:r>
          <m:r>
            <w:rPr>
              <w:rFonts w:ascii="Cambria Math" w:hAnsi="Cambria Math"/>
            </w:rPr>
            <m:t>=</m:t>
          </m:r>
          <m:f>
            <m:num>
              <m:nary>
                <m:naryPr>
                  <m:chr m:val="∑"/>
                  <m:limLoc m:val="undOvr"/>
                </m:naryPr>
                <m:sub>
                  <m:r>
                    <w:rPr>
                      <w:rFonts w:ascii="Cambria Math" w:hAnsi="Cambria Math"/>
                    </w:rPr>
                    <m:t>i</m:t>
                  </m:r>
                  <m:r>
                    <w:rPr>
                      <w:rFonts w:ascii="Cambria Math" w:hAnsi="Cambria Math"/>
                    </w:rPr>
                    <m:t>=</m:t>
                  </m:r>
                  <m:r>
                    <w:rPr>
                      <w:rFonts w:ascii="Cambria Math" w:hAnsi="Cambria Math"/>
                    </w:rPr>
                    <m:t>1</m:t>
                  </m:r>
                </m:sub>
                <m:sup>
                  <m:r>
                    <w:rPr>
                      <w:rFonts w:ascii="Cambria Math" w:hAnsi="Cambria Math"/>
                    </w:rPr>
                    <m:t>N</m:t>
                  </m:r>
                </m:sup>
                <m:e/>
              </m:nary>
              <m:r>
                <w:rPr>
                  <w:rFonts w:ascii="Times New Roman" w:hAnsi="Times New Roman"/>
                  <w:i w:val="0"/>
                </w:rPr>
                <m:t>𝟙</m:t>
              </m:r>
              <m:r>
                <w:rPr>
                  <w:rFonts w:ascii="Cambria Math" w:hAnsi="Cambria Math"/>
                </w:rPr>
                <m:t>(</m:t>
              </m:r>
              <m:sSub>
                <m:e>
                  <m:acc>
                    <m:accPr>
                      <m:chr m:val="̂"/>
                    </m:accPr>
                    <m:e>
                      <m:r>
                        <w:rPr>
                          <w:rFonts w:ascii="Cambria Math" w:hAnsi="Cambria Math"/>
                        </w:rPr>
                        <m:t>C</m:t>
                      </m:r>
                    </m:e>
                  </m:acc>
                </m:e>
                <m:sub>
                  <m:r>
                    <w:rPr>
                      <w:rFonts w:ascii="Cambria Math" w:hAnsi="Cambria Math"/>
                    </w:rPr>
                    <m:t>i</m:t>
                  </m:r>
                </m:sub>
              </m:sSub>
              <m:r>
                <w:rPr>
                  <w:rFonts w:ascii="Cambria Math" w:hAnsi="Cambria Math"/>
                </w:rPr>
                <m:t>=</m:t>
              </m:r>
              <m:sSub>
                <m:e>
                  <m:r>
                    <w:rPr>
                      <w:rFonts w:ascii="Cambria Math" w:hAnsi="Cambria Math"/>
                    </w:rPr>
                    <m:t>C</m:t>
                  </m:r>
                </m:e>
                <m:sub>
                  <m:r>
                    <w:rPr>
                      <w:rFonts w:ascii="Cambria Math" w:hAnsi="Cambria Math"/>
                    </w:rPr>
                    <m:t>i</m:t>
                  </m:r>
                </m:sub>
              </m:sSub>
              <m:r>
                <w:rPr>
                  <w:rFonts w:ascii="Cambria Math" w:hAnsi="Cambria Math"/>
                </w:rPr>
                <m:t>)</m:t>
              </m:r>
            </m:num>
            <m:den>
              <m:r>
                <w:rPr>
                  <w:rFonts w:ascii="Cambria Math" w:hAnsi="Cambria Math"/>
                </w:rPr>
                <m:t>N</m:t>
              </m:r>
            </m:den>
          </m:f>
        </m:oMath>
      </m:oMathPara>
    </w:p>
    <w:p>
      <w:pPr>
        <w:spacing w:before="40" w:after="80" w:line="276" w:lineRule="auto"/>
      </w:pPr>
      <w:r>
        <w:rPr>
          <w:rFonts w:ascii="Times New Roman" w:hAnsi="Times New Roman"/>
          <w:sz w:val="20"/>
        </w:rPr>
        <w:t xml:space="preserve">where </w:t>
      </w:r>
      <m:oMath>
        <m:r>
          <w:rPr>
            <w:rFonts w:ascii="Cambria Math" w:hAnsi="Cambria Math"/>
          </w:rPr>
          <m:t>N</m:t>
        </m:r>
        <m:r>
          <w:rPr>
            <w:rFonts w:ascii="Cambria Math" w:hAnsi="Cambria Math"/>
          </w:rPr>
          <m:t>=</m:t>
        </m:r>
        <m:r>
          <w:rPr>
            <w:rFonts w:ascii="Cambria Math" w:hAnsi="Cambria Math"/>
          </w:rPr>
          <m:t>360</m:t>
        </m:r>
      </m:oMath>
      <w:r>
        <w:rPr>
          <w:rFonts w:ascii="Times New Roman" w:hAnsi="Times New Roman"/>
          <w:sz w:val="20"/>
        </w:rPr>
        <w:t xml:space="preserve"> total evaluated specimens.</w:t>
      </w:r>
    </w:p>
    <w:p>
      <w:pPr>
        <w:spacing w:before="20" w:after="40"/>
        <w:ind w:left="360"/>
      </w:pPr>
      <w:r>
        <w:rPr>
          <w:rFonts w:ascii="Times New Roman" w:hAnsi="Times New Roman"/>
          <w:b/>
          <w:sz w:val="20"/>
        </w:rPr>
        <w:t xml:space="preserve">2. </w:t>
      </w:r>
      <w:r>
        <w:rPr>
          <w:rFonts w:ascii="Times New Roman" w:hAnsi="Times New Roman"/>
          <w:b/>
          <w:sz w:val="20"/>
        </w:rPr>
        <w:t>Field Extraction Precision (</w:t>
      </w:r>
      <m:oMath>
        <m:r>
          <w:rPr>
            <w:rFonts w:ascii="Cambria Math" w:hAnsi="Cambria Math"/>
          </w:rPr>
          <m:t>P</m:t>
        </m:r>
      </m:oMath>
      <w:r>
        <w:rPr>
          <w:rFonts w:ascii="Times New Roman" w:hAnsi="Times New Roman"/>
          <w:b/>
          <w:sz w:val="20"/>
        </w:rPr>
        <w:t>)</w:t>
      </w:r>
      <w:r>
        <w:rPr>
          <w:rFonts w:ascii="Times New Roman" w:hAnsi="Times New Roman"/>
          <w:sz w:val="20"/>
        </w:rPr>
        <w:t xml:space="preserve">, </w:t>
      </w:r>
      <w:r>
        <w:rPr>
          <w:rFonts w:ascii="Times New Roman" w:hAnsi="Times New Roman"/>
          <w:b/>
          <w:sz w:val="20"/>
        </w:rPr>
        <w:t>Recall (</w:t>
      </w:r>
      <m:oMath>
        <m:r>
          <w:rPr>
            <w:rFonts w:ascii="Cambria Math" w:hAnsi="Cambria Math"/>
          </w:rPr>
          <m:t>R</m:t>
        </m:r>
      </m:oMath>
      <w:r>
        <w:rPr>
          <w:rFonts w:ascii="Times New Roman" w:hAnsi="Times New Roman"/>
          <w:b/>
          <w:sz w:val="20"/>
        </w:rPr>
        <w:t>)</w:t>
      </w:r>
      <w:r>
        <w:rPr>
          <w:rFonts w:ascii="Times New Roman" w:hAnsi="Times New Roman"/>
          <w:sz w:val="20"/>
        </w:rPr>
        <w:t xml:space="preserve">, and </w:t>
      </w:r>
      <w:r>
        <w:rPr>
          <w:rFonts w:ascii="Times New Roman" w:hAnsi="Times New Roman"/>
          <w:b/>
          <w:sz w:val="20"/>
        </w:rPr>
        <w:t>F1 Score (</w:t>
      </w:r>
      <m:oMath>
        <m:sSub>
          <m:e>
            <m:r>
              <w:rPr>
                <w:rFonts w:ascii="Cambria Math" w:hAnsi="Cambria Math"/>
              </w:rPr>
              <m:t>F</m:t>
            </m:r>
          </m:e>
          <m:sub>
            <m:r>
              <w:rPr>
                <w:rFonts w:ascii="Cambria Math" w:hAnsi="Cambria Math"/>
              </w:rPr>
              <m:t>1</m:t>
            </m:r>
          </m:sub>
        </m:sSub>
      </m:oMath>
      <w:r>
        <w:rPr>
          <w:rFonts w:ascii="Times New Roman" w:hAnsi="Times New Roman"/>
          <w:b/>
          <w:sz w:val="20"/>
        </w:rPr>
        <w:t>)</w:t>
      </w:r>
      <w:r>
        <w:rPr>
          <w:rFonts w:ascii="Times New Roman" w:hAnsi="Times New Roman"/>
          <w:sz w:val="20"/>
        </w:rPr>
        <w:t>: Macro-averaged key-value field extraction metrics across all extracted target entities:</w:t>
      </w:r>
    </w:p>
    <w:p>
      <w:pPr>
        <w:spacing w:before="0" w:after="0"/>
        <w:jc w:val="center"/>
      </w:pPr>
      <m:oMathPara>
        <m:oMath>
          <m:r>
            <w:rPr>
              <w:rFonts w:ascii="Cambria Math" w:hAnsi="Cambria Math"/>
            </w:rPr>
            <m:t>P</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Positive Fields</m:t>
              </m:r>
            </m:den>
          </m:f>
          <m:r>
            <w:rPr>
              <w:rFonts w:ascii="Cambria Math" w:hAnsi="Cambria Math"/>
            </w:rPr>
            <m:t>,</m:t>
          </m:r>
          <m:r>
            <w:rPr>
              <w:rFonts w:ascii="Cambria Math" w:hAnsi="Cambria Math"/>
            </w:rPr>
            <m:t>R</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Negative Fields</m:t>
              </m:r>
            </m:den>
          </m:f>
          <m:r>
            <w:rPr>
              <w:rFonts w:ascii="Cambria Math" w:hAnsi="Cambria Math"/>
            </w:rPr>
            <m:t>,</m:t>
          </m:r>
          <m:sSub>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2</m:t>
          </m:r>
          <m:r>
            <w:rPr>
              <w:rFonts w:ascii="Cambria Math" w:hAnsi="Cambria Math"/>
            </w:rPr>
            <m:t>·</m:t>
          </m:r>
          <m:f>
            <m:num>
              <m:r>
                <w:rPr>
                  <w:rFonts w:ascii="Cambria Math" w:hAnsi="Cambria Math"/>
                </w:rPr>
                <m:t>P</m:t>
              </m:r>
              <m:r>
                <w:rPr>
                  <w:rFonts w:ascii="Cambria Math" w:hAnsi="Cambria Math"/>
                </w:rPr>
                <m:t>·</m:t>
              </m:r>
              <m:r>
                <w:rPr>
                  <w:rFonts w:ascii="Cambria Math" w:hAnsi="Cambria Math"/>
                </w:rPr>
                <m:t>R</m:t>
              </m:r>
            </m:num>
            <m:den>
              <m:r>
                <w:rPr>
                  <w:rFonts w:ascii="Cambria Math" w:hAnsi="Cambria Math"/>
                </w:rPr>
                <m:t>P</m:t>
              </m:r>
              <m:r>
                <w:rPr>
                  <w:rFonts w:ascii="Cambria Math" w:hAnsi="Cambria Math"/>
                </w:rPr>
                <m:t>+</m:t>
              </m:r>
              <m:r>
                <w:rPr>
                  <w:rFonts w:ascii="Cambria Math" w:hAnsi="Cambria Math"/>
                </w:rPr>
                <m:t>R</m:t>
              </m:r>
            </m:den>
          </m:f>
        </m:oMath>
      </m:oMathPara>
    </w:p>
    <w:p>
      <w:pPr>
        <w:spacing w:before="20" w:after="40"/>
        <w:ind w:left="360"/>
      </w:pPr>
      <w:r>
        <w:rPr>
          <w:rFonts w:ascii="Times New Roman" w:hAnsi="Times New Roman"/>
          <w:b/>
          <w:sz w:val="20"/>
        </w:rPr>
        <w:t xml:space="preserve">3. </w:t>
      </w:r>
      <w:r>
        <w:rPr>
          <w:rFonts w:ascii="Times New Roman" w:hAnsi="Times New Roman"/>
          <w:b/>
          <w:sz w:val="20"/>
        </w:rPr>
        <w:t>Character Error Rate (CER)</w:t>
      </w:r>
      <w:r>
        <w:rPr>
          <w:rFonts w:ascii="Times New Roman" w:hAnsi="Times New Roman"/>
          <w:sz w:val="20"/>
        </w:rPr>
        <w:t>: Levenshtein character edit distance between canonically normalized predicted field strings and expected ground truth field strings, normalized by the total ground truth character length (</w:t>
      </w:r>
      <m:oMath>
        <m:sSub>
          <m:e>
            <m:r>
              <w:rPr>
                <w:rFonts w:ascii="Cambria Math" w:hAnsi="Cambria Math"/>
              </w:rPr>
              <m:t>L</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CER</m:t>
          </m:r>
          <m:r>
            <w:rPr>
              <w:rFonts w:ascii="Cambria Math" w:hAnsi="Cambria Math"/>
            </w:rPr>
            <m:t>=</m:t>
          </m:r>
          <m:f>
            <m:num>
              <m:sSub>
                <m:e>
                  <m:r>
                    <w:rPr>
                      <w:rFonts w:ascii="Cambria Math" w:hAnsi="Cambria Math"/>
                    </w:rPr>
                    <m:t>S</m:t>
                  </m:r>
                </m:e>
                <m:sub>
                  <m:r>
                    <w:rPr>
                      <w:rFonts w:ascii="Times New Roman" w:hAnsi="Times New Roman"/>
                      <w:i w:val="0"/>
                    </w:rPr>
                    <m:t>char</m:t>
                  </m:r>
                </m:sub>
              </m:sSub>
              <m:r>
                <w:rPr>
                  <w:rFonts w:ascii="Cambria Math" w:hAnsi="Cambria Math"/>
                </w:rPr>
                <m:t>+</m:t>
              </m:r>
              <m:sSub>
                <m:e>
                  <m:r>
                    <w:rPr>
                      <w:rFonts w:ascii="Cambria Math" w:hAnsi="Cambria Math"/>
                    </w:rPr>
                    <m:t>D</m:t>
                  </m:r>
                </m:e>
                <m:sub>
                  <m:r>
                    <w:rPr>
                      <w:rFonts w:ascii="Times New Roman" w:hAnsi="Times New Roman"/>
                      <w:i w:val="0"/>
                    </w:rPr>
                    <m:t>char</m:t>
                  </m:r>
                </m:sub>
              </m:sSub>
              <m:r>
                <w:rPr>
                  <w:rFonts w:ascii="Cambria Math" w:hAnsi="Cambria Math"/>
                </w:rPr>
                <m:t>+</m:t>
              </m:r>
              <m:sSub>
                <m:e>
                  <m:r>
                    <w:rPr>
                      <w:rFonts w:ascii="Cambria Math" w:hAnsi="Cambria Math"/>
                    </w:rPr>
                    <m:t>I</m:t>
                  </m:r>
                </m:e>
                <m:sub>
                  <m:r>
                    <w:rPr>
                      <w:rFonts w:ascii="Times New Roman" w:hAnsi="Times New Roman"/>
                      <w:i w:val="0"/>
                    </w:rPr>
                    <m:t>char</m:t>
                  </m:r>
                </m:sub>
              </m:sSub>
            </m:num>
            <m:den>
              <m:sSub>
                <m:e>
                  <m:r>
                    <w:rPr>
                      <w:rFonts w:ascii="Cambria Math" w:hAnsi="Cambria Math"/>
                    </w:rPr>
                    <m:t>L</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4. </w:t>
      </w:r>
      <w:r>
        <w:rPr>
          <w:rFonts w:ascii="Times New Roman" w:hAnsi="Times New Roman"/>
          <w:b/>
          <w:sz w:val="20"/>
        </w:rPr>
        <w:t>Word Error Rate (WER)</w:t>
      </w:r>
      <w:r>
        <w:rPr>
          <w:rFonts w:ascii="Times New Roman" w:hAnsi="Times New Roman"/>
          <w:sz w:val="20"/>
        </w:rPr>
        <w:t>: Tokenized word-level edit distance between predicted field strings and ground truth field strings, normalized by total ground truth word count (</w:t>
      </w:r>
      <m:oMath>
        <m:sSub>
          <m:e>
            <m:r>
              <w:rPr>
                <w:rFonts w:ascii="Cambria Math" w:hAnsi="Cambria Math"/>
              </w:rPr>
              <m:t>W</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WER</m:t>
          </m:r>
          <m:r>
            <w:rPr>
              <w:rFonts w:ascii="Cambria Math" w:hAnsi="Cambria Math"/>
            </w:rPr>
            <m:t>=</m:t>
          </m:r>
          <m:f>
            <m:num>
              <m:sSub>
                <m:e>
                  <m:r>
                    <w:rPr>
                      <w:rFonts w:ascii="Cambria Math" w:hAnsi="Cambria Math"/>
                    </w:rPr>
                    <m:t>S</m:t>
                  </m:r>
                </m:e>
                <m:sub>
                  <m:r>
                    <w:rPr>
                      <w:rFonts w:ascii="Times New Roman" w:hAnsi="Times New Roman"/>
                      <w:i w:val="0"/>
                    </w:rPr>
                    <m:t>word</m:t>
                  </m:r>
                </m:sub>
              </m:sSub>
              <m:r>
                <w:rPr>
                  <w:rFonts w:ascii="Cambria Math" w:hAnsi="Cambria Math"/>
                </w:rPr>
                <m:t>+</m:t>
              </m:r>
              <m:sSub>
                <m:e>
                  <m:r>
                    <w:rPr>
                      <w:rFonts w:ascii="Cambria Math" w:hAnsi="Cambria Math"/>
                    </w:rPr>
                    <m:t>D</m:t>
                  </m:r>
                </m:e>
                <m:sub>
                  <m:r>
                    <w:rPr>
                      <w:rFonts w:ascii="Times New Roman" w:hAnsi="Times New Roman"/>
                      <w:i w:val="0"/>
                    </w:rPr>
                    <m:t>word</m:t>
                  </m:r>
                </m:sub>
              </m:sSub>
              <m:r>
                <w:rPr>
                  <w:rFonts w:ascii="Cambria Math" w:hAnsi="Cambria Math"/>
                </w:rPr>
                <m:t>+</m:t>
              </m:r>
              <m:sSub>
                <m:e>
                  <m:r>
                    <w:rPr>
                      <w:rFonts w:ascii="Cambria Math" w:hAnsi="Cambria Math"/>
                    </w:rPr>
                    <m:t>I</m:t>
                  </m:r>
                </m:e>
                <m:sub>
                  <m:r>
                    <w:rPr>
                      <w:rFonts w:ascii="Times New Roman" w:hAnsi="Times New Roman"/>
                      <w:i w:val="0"/>
                    </w:rPr>
                    <m:t>word</m:t>
                  </m:r>
                </m:sub>
              </m:sSub>
            </m:num>
            <m:den>
              <m:sSub>
                <m:e>
                  <m:r>
                    <w:rPr>
                      <w:rFonts w:ascii="Cambria Math" w:hAnsi="Cambria Math"/>
                    </w:rPr>
                    <m:t>W</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5. </w:t>
      </w:r>
      <w:r>
        <w:rPr>
          <w:rFonts w:ascii="Times New Roman" w:hAnsi="Times New Roman"/>
          <w:b/>
          <w:sz w:val="20"/>
        </w:rPr>
        <w:t>Joint Record Exact Match Rate (EM)</w:t>
      </w:r>
      <w:r>
        <w:rPr>
          <w:rFonts w:ascii="Times New Roman" w:hAnsi="Times New Roman"/>
          <w:sz w:val="20"/>
        </w:rPr>
        <w:t>: The percentage of specimens that achieve both 100% key-value field extraction AND correct top-level category classification simultaneously.</w:t>
      </w:r>
    </w:p>
    <w:p>
      <w:pPr>
        <w:spacing w:before="20" w:after="40"/>
        <w:ind w:left="360"/>
      </w:pPr>
      <w:r>
        <w:rPr>
          <w:rFonts w:ascii="Times New Roman" w:hAnsi="Times New Roman"/>
          <w:b/>
          <w:sz w:val="20"/>
        </w:rPr>
        <w:t xml:space="preserve">6. </w:t>
      </w:r>
      <w:r>
        <w:rPr>
          <w:rFonts w:ascii="Times New Roman" w:hAnsi="Times New Roman"/>
          <w:b/>
          <w:sz w:val="20"/>
        </w:rPr>
        <w:t>Latency &amp; Throughput</w:t>
      </w:r>
      <w:r>
        <w:rPr>
          <w:rFonts w:ascii="Times New Roman" w:hAnsi="Times New Roman"/>
          <w:sz w:val="20"/>
        </w:rPr>
        <w:t>: Execution latency per specimen (</w:t>
      </w:r>
      <m:oMath>
        <m:r>
          <w:rPr>
            <w:rFonts w:ascii="Times New Roman" w:hAnsi="Times New Roman"/>
            <w:i w:val="0"/>
          </w:rPr>
          <m:t>ms/sample</m:t>
        </m:r>
      </m:oMath>
      <w:r>
        <w:rPr>
          <w:rFonts w:ascii="Times New Roman" w:hAnsi="Times New Roman"/>
          <w:sz w:val="20"/>
        </w:rPr>
        <w:t>) and framework processing throughput (</w:t>
      </w:r>
      <m:oMath>
        <m:r>
          <w:rPr>
            <w:rFonts w:ascii="Times New Roman" w:hAnsi="Times New Roman"/>
            <w:i w:val="0"/>
          </w:rPr>
          <m:t>samples/sec</m:t>
        </m:r>
      </m:oMath>
      <w:r>
        <w:rPr>
          <w:rFonts w:ascii="Times New Roman" w:hAnsi="Times New Roman"/>
          <w:sz w:val="20"/>
        </w:rPr>
        <w:t>).</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7. Results &amp; Validation</w:t>
      </w:r>
    </w:p>
    <w:p>
      <w:pPr>
        <w:keepNext/>
        <w:spacing w:before="200" w:after="80"/>
      </w:pPr>
      <w:r>
        <w:rPr>
          <w:rFonts w:ascii="Times New Roman" w:hAnsi="Times New Roman"/>
          <w:b/>
          <w:color w:val="333333"/>
          <w:sz w:val="23"/>
        </w:rPr>
        <w:t>7.1 Distinction Between Framework Validation, Benchmark Validation, and Model Performance</w:t>
      </w:r>
    </w:p>
    <w:p>
      <w:pPr>
        <w:spacing w:before="40" w:after="80" w:line="276" w:lineRule="auto"/>
      </w:pPr>
      <w:r>
        <w:rPr>
          <w:rFonts w:ascii="Times New Roman" w:hAnsi="Times New Roman"/>
          <w:sz w:val="20"/>
        </w:rPr>
        <w:t>To ensure complete scientific integrity, we explicitly distinguish between three evaluation dimensions:</w:t>
      </w:r>
    </w:p>
    <w:p>
      <w:pPr>
        <w:spacing w:before="20" w:after="40"/>
        <w:ind w:left="360"/>
      </w:pPr>
      <w:r>
        <w:rPr>
          <w:rFonts w:ascii="Times New Roman" w:hAnsi="Times New Roman"/>
          <w:b/>
          <w:sz w:val="20"/>
        </w:rPr>
        <w:t xml:space="preserve">1. </w:t>
      </w:r>
      <w:r>
        <w:rPr>
          <w:rFonts w:ascii="Times New Roman" w:hAnsi="Times New Roman"/>
          <w:b/>
          <w:sz w:val="20"/>
        </w:rPr>
        <w:t>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w:t>
      </w:r>
    </w:p>
    <w:p>
      <w:pPr>
        <w:spacing w:before="20" w:after="40"/>
        <w:ind w:left="360"/>
      </w:pPr>
      <w:r>
        <w:rPr>
          <w:rFonts w:ascii="Times New Roman" w:hAnsi="Times New Roman"/>
          <w:b/>
          <w:sz w:val="20"/>
        </w:rPr>
        <w:t xml:space="preserve">2. </w:t>
      </w:r>
      <w:r>
        <w:rPr>
          <w:rFonts w:ascii="Times New Roman" w:hAnsi="Times New Roman"/>
          <w:b/>
          <w:sz w:val="20"/>
        </w:rPr>
        <w:t>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pPr>
        <w:spacing w:before="20" w:after="40"/>
        <w:ind w:left="360"/>
      </w:pPr>
      <w:r>
        <w:rPr>
          <w:rFonts w:ascii="Times New Roman" w:hAnsi="Times New Roman"/>
          <w:b/>
          <w:sz w:val="20"/>
        </w:rPr>
        <w:t xml:space="preserve">3. </w:t>
      </w:r>
      <w:r>
        <w:rPr>
          <w:rFonts w:ascii="Times New Roman" w:hAnsi="Times New Roman"/>
          <w:b/>
          <w:sz w:val="20"/>
        </w:rPr>
        <w:t>Model Extraction Performance (Model Evaluation)</w:t>
      </w:r>
      <w:r>
        <w:rPr>
          <w:rFonts w:ascii="Times New Roman" w:hAnsi="Times New Roman"/>
          <w:sz w:val="20"/>
        </w:rPr>
        <w:t>: Measures extraction performance metrics (Precision, Recall, F1, CER, WER) across live neural models.</w:t>
      </w:r>
    </w:p>
    <w:p>
      <w:pPr>
        <w:keepNext/>
        <w:spacing w:before="200" w:after="80"/>
      </w:pPr>
      <w:r>
        <w:rPr>
          <w:rFonts w:ascii="Times New Roman" w:hAnsi="Times New Roman"/>
          <w:b/>
          <w:color w:val="333333"/>
          <w:sz w:val="23"/>
        </w:rPr>
        <w:t>7.2 Framework Execution &amp; System Verification Metrics</w:t>
      </w:r>
    </w:p>
    <w:p>
      <w:pPr>
        <w:spacing w:before="40" w:after="80" w:line="276" w:lineRule="auto"/>
      </w:pPr>
      <w:r>
        <w:rPr>
          <w:rFonts w:ascii="Times New Roman" w:hAnsi="Times New Roman"/>
          <w:sz w:val="20"/>
        </w:rPr>
        <w:t>Table 1 summarizes the framework system verification metrics evaluated across the 360 benchmark specimens (AU_DIC_Benchmark_v1.0).</w:t>
      </w:r>
    </w:p>
    <w:p>
      <w:pPr>
        <w:keepNext/>
        <w:spacing w:before="160" w:after="80"/>
        <w:jc w:val="center"/>
      </w:pPr>
      <w:r>
        <w:rPr>
          <w:rFonts w:ascii="Times New Roman" w:hAnsi="Times New Roman"/>
          <w:b/>
          <w:color w:val="003366"/>
          <w:sz w:val="19"/>
        </w:rPr>
        <w:t>Table 1: Framework Execution Verification Metrics Across Quality Profiles on AU DIC Benchmark v1.0</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Overall Total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r>
    </w:tbl>
    <w:p>
      <w:pPr>
        <w:spacing w:after="120"/>
      </w:pPr>
    </w:p>
    <w:p>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pPr>
        <w:keepNext/>
        <w:spacing w:before="200" w:after="80"/>
      </w:pPr>
      <w:r>
        <w:rPr>
          <w:rFonts w:ascii="Times New Roman" w:hAnsi="Times New Roman"/>
          <w:b/>
          <w:color w:val="333333"/>
          <w:sz w:val="23"/>
        </w:rPr>
        <w:t>7.3 System Throughput &amp; Execution Latency</w:t>
      </w:r>
    </w:p>
    <w:p>
      <w:pPr>
        <w:pStyle w:val="ListBullet"/>
        <w:spacing w:before="20" w:after="40"/>
      </w:pPr>
      <w:r>
        <w:rPr>
          <w:rFonts w:ascii="Times New Roman" w:hAnsi="Times New Roman"/>
          <w:b/>
          <w:sz w:val="20"/>
        </w:rPr>
        <w:t>Total Samples Evaluated</w:t>
      </w:r>
      <w:r>
        <w:rPr>
          <w:rFonts w:ascii="Times New Roman" w:hAnsi="Times New Roman"/>
          <w:sz w:val="20"/>
        </w:rPr>
        <w:t>: 360</w:t>
      </w:r>
    </w:p>
    <w:p>
      <w:pPr>
        <w:pStyle w:val="ListBullet"/>
        <w:spacing w:before="20" w:after="40"/>
      </w:pPr>
      <w:r>
        <w:rPr>
          <w:rFonts w:ascii="Times New Roman" w:hAnsi="Times New Roman"/>
          <w:b/>
          <w:sz w:val="20"/>
        </w:rPr>
        <w:t>Successful / Failed Ratio</w:t>
      </w:r>
      <w:r>
        <w:rPr>
          <w:rFonts w:ascii="Times New Roman" w:hAnsi="Times New Roman"/>
          <w:sz w:val="20"/>
        </w:rPr>
        <w:t>: 360 / 0</w:t>
      </w:r>
    </w:p>
    <w:p>
      <w:pPr>
        <w:pStyle w:val="ListBullet"/>
        <w:spacing w:before="20" w:after="40"/>
      </w:pPr>
      <w:r>
        <w:rPr>
          <w:rFonts w:ascii="Times New Roman" w:hAnsi="Times New Roman"/>
          <w:b/>
          <w:sz w:val="20"/>
        </w:rPr>
        <w:t>Total System Verification Execution Time</w:t>
      </w:r>
      <w:r>
        <w:rPr>
          <w:rFonts w:ascii="Times New Roman" w:hAnsi="Times New Roman"/>
          <w:sz w:val="20"/>
        </w:rPr>
        <w:t>: 1.48 seconds</w:t>
      </w:r>
    </w:p>
    <w:p>
      <w:pPr>
        <w:pStyle w:val="ListBullet"/>
        <w:spacing w:before="20" w:after="40"/>
      </w:pPr>
      <w:r>
        <w:rPr>
          <w:rFonts w:ascii="Times New Roman" w:hAnsi="Times New Roman"/>
          <w:b/>
          <w:sz w:val="20"/>
        </w:rPr>
        <w:t>System Verification Throughput</w:t>
      </w:r>
      <w:r>
        <w:rPr>
          <w:rFonts w:ascii="Times New Roman" w:hAnsi="Times New Roman"/>
          <w:sz w:val="20"/>
        </w:rPr>
        <w:t>: 242.59 samples/sec</w:t>
      </w:r>
    </w:p>
    <w:p>
      <w:pPr>
        <w:pStyle w:val="ListBullet"/>
        <w:spacing w:before="20" w:after="40"/>
      </w:pPr>
      <w:r>
        <w:rPr>
          <w:rFonts w:ascii="Times New Roman" w:hAnsi="Times New Roman"/>
          <w:b/>
          <w:sz w:val="20"/>
        </w:rPr>
        <w:t>Mean System Processing Latency</w:t>
      </w:r>
      <w:r>
        <w:rPr>
          <w:rFonts w:ascii="Times New Roman" w:hAnsi="Times New Roman"/>
          <w:sz w:val="20"/>
        </w:rPr>
        <w:t>: 4.12 ms/sample (</w:t>
      </w:r>
      <m:oMath>
        <m:r>
          <w:rPr>
            <w:rFonts w:ascii="Cambria Math" w:hAnsi="Cambria Math"/>
          </w:rPr>
          <m:t>σ</m:t>
        </m:r>
        <m:r>
          <w:rPr>
            <w:rFonts w:ascii="Cambria Math" w:hAnsi="Cambria Math"/>
          </w:rPr>
          <m:t>=</m:t>
        </m:r>
        <m:r>
          <w:rPr>
            <w:rFonts w:ascii="Cambria Math" w:hAnsi="Cambria Math"/>
          </w:rPr>
          <m:t>0.45</m:t>
        </m:r>
        <m:r>
          <w:rPr>
            <w:rFonts w:ascii="Times New Roman" w:hAnsi="Times New Roman"/>
            <w:i w:val="0"/>
          </w:rPr>
          <m:t>ms</m:t>
        </m:r>
      </m:oMath>
      <w:r>
        <w:rPr>
          <w:rFonts w:ascii="Times New Roman" w:hAnsi="Times New Roman"/>
          <w:sz w:val="20"/>
        </w:rPr>
        <w:t>)</w:t>
      </w:r>
    </w:p>
    <w:p>
      <w:pPr>
        <w:keepNext/>
        <w:spacing w:before="200" w:after="80"/>
      </w:pPr>
      <w:r>
        <w:rPr>
          <w:rFonts w:ascii="Times New Roman" w:hAnsi="Times New Roman"/>
          <w:b/>
          <w:color w:val="333333"/>
          <w:sz w:val="23"/>
        </w:rPr>
        <w:t>7.4 Empirical Live Neural Model Evaluation Results</w:t>
      </w:r>
    </w:p>
    <w:p>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pPr>
        <w:keepNext/>
        <w:spacing w:before="160" w:after="40"/>
      </w:pPr>
      <w:r>
        <w:rPr>
          <w:rFonts w:ascii="Times New Roman" w:hAnsi="Times New Roman"/>
          <w:b/>
          <w:i/>
          <w:sz w:val="21"/>
        </w:rPr>
        <w:t>7.4.1 Inference Pipeline Disambiguation (Option B)</w:t>
      </w:r>
    </w:p>
    <w:p>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pPr>
        <w:spacing w:before="160" w:after="80"/>
        <w:jc w:val="center"/>
      </w:pPr>
      <w:r>
        <w:drawing>
          <wp:inline xmlns:a="http://schemas.openxmlformats.org/drawingml/2006/main" xmlns:pic="http://schemas.openxmlformats.org/drawingml/2006/picture">
            <wp:extent cx="5943600" cy="2806700"/>
            <wp:docPr id="2" name="Picture 2"/>
            <wp:cNvGraphicFramePr>
              <a:graphicFrameLocks noChangeAspect="1"/>
            </wp:cNvGraphicFramePr>
            <a:graphic>
              <a:graphicData uri="http://schemas.openxmlformats.org/drawingml/2006/picture">
                <pic:pic>
                  <pic:nvPicPr>
                    <pic:cNvPr id="0" name="figure2_option_b_pipeline.png"/>
                    <pic:cNvPicPr/>
                  </pic:nvPicPr>
                  <pic:blipFill>
                    <a:blip r:embed="rId11"/>
                    <a:stretch>
                      <a:fillRect/>
                    </a:stretch>
                  </pic:blipFill>
                  <pic:spPr>
                    <a:xfrm>
                      <a:off x="0" y="0"/>
                      <a:ext cx="5943600" cy="2806700"/>
                    </a:xfrm>
                    <a:prstGeom prst="rect"/>
                  </pic:spPr>
                </pic:pic>
              </a:graphicData>
            </a:graphic>
          </wp:inline>
        </w:drawing>
      </w:r>
    </w:p>
    <w:p>
      <w:pPr>
        <w:spacing w:after="160"/>
        <w:jc w:val="center"/>
      </w:pPr>
      <w:r>
        <w:rPr>
          <w:rFonts w:ascii="Times New Roman" w:hAnsi="Times New Roman"/>
          <w:b/>
          <w:color w:val="003366"/>
          <w:sz w:val="19"/>
        </w:rPr>
        <w:t>Fig. 2. Option B Zero-Shot Text-Prompted Neural LLM Evaluation Pipeline Architecture.</w:t>
      </w:r>
    </w:p>
    <w:p>
      <w:pPr>
        <w:spacing w:before="40" w:after="80" w:line="276" w:lineRule="auto"/>
      </w:pPr>
      <w:r>
        <w:rPr>
          <w:rFonts w:ascii="Times New Roman" w:hAnsi="Times New Roman"/>
          <w:sz w:val="20"/>
        </w:rPr>
        <w:t xml:space="preserve">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pPr>
        <w:keepNext/>
        <w:spacing w:before="160" w:after="80"/>
        <w:jc w:val="center"/>
      </w:pPr>
      <w:r>
        <w:rPr>
          <w:rFonts w:ascii="Times New Roman" w:hAnsi="Times New Roman"/>
          <w:b/>
          <w:color w:val="003366"/>
          <w:sz w:val="19"/>
        </w:rPr>
        <w:t>Table 2: Live Model Extraction &amp; Classification Performance (Groq Llama 3.1 8B Instant)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Precision</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Recall</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F1 Score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Joint Record EM</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Overall Dataset</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bl>
    <w:p>
      <w:pPr>
        <w:spacing w:after="120"/>
      </w:pPr>
    </w:p>
    <w:p>
      <w:pPr>
        <w:keepNext/>
        <w:spacing w:before="160" w:after="40"/>
      </w:pPr>
      <w:r>
        <w:rPr>
          <w:rFonts w:ascii="Times New Roman" w:hAnsi="Times New Roman"/>
          <w:b/>
          <w:i/>
          <w:sz w:val="21"/>
        </w:rPr>
        <w:t>Empirical Analysis of Discovered Sub-Task Metrics:</w:t>
      </w:r>
    </w:p>
    <w:p>
      <w:pPr>
        <w:spacing w:before="20" w:after="40"/>
        <w:ind w:left="360"/>
      </w:pPr>
      <w:r>
        <w:rPr>
          <w:rFonts w:ascii="Times New Roman" w:hAnsi="Times New Roman"/>
          <w:b/>
          <w:sz w:val="20"/>
        </w:rPr>
        <w:t xml:space="preserve">1. </w:t>
      </w:r>
      <w:r>
        <w:rPr>
          <w:rFonts w:ascii="Times New Roman" w:hAnsi="Times New Roman"/>
          <w:b/>
          <w:sz w:val="20"/>
        </w:rPr>
        <w:t>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pPr>
        <w:spacing w:before="20" w:after="40"/>
        <w:ind w:left="360"/>
      </w:pPr>
      <w:r>
        <w:rPr>
          <w:rFonts w:ascii="Times New Roman" w:hAnsi="Times New Roman"/>
          <w:b/>
          <w:sz w:val="20"/>
        </w:rPr>
        <w:t xml:space="preserve">2. </w:t>
      </w:r>
      <w:r>
        <w:rPr>
          <w:rFonts w:ascii="Times New Roman" w:hAnsi="Times New Roman"/>
          <w:b/>
          <w:sz w:val="20"/>
        </w:rPr>
        <w:t>Document Category Classification Task (66.67% Category Accuracy)</w:t>
      </w:r>
      <w:r>
        <w:rPr>
          <w:rFonts w:ascii="Times New Roman" w:hAnsi="Times New Roman"/>
          <w:sz w:val="20"/>
        </w:rPr>
        <w: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pPr>
        <w:spacing w:before="20" w:after="40"/>
        <w:ind w:left="360"/>
      </w:pPr>
      <w:r>
        <w:rPr>
          <w:rFonts w:ascii="Times New Roman" w:hAnsi="Times New Roman"/>
          <w:b/>
          <w:sz w:val="20"/>
        </w:rPr>
        <w:t xml:space="preserve">3. </w:t>
      </w:r>
      <w:r>
        <w:rPr>
          <w:rFonts w:ascii="Times New Roman" w:hAnsi="Times New Roman"/>
          <w:b/>
          <w:sz w:val="20"/>
        </w:rPr>
        <w:t>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pPr>
        <w:keepNext/>
        <w:spacing w:before="200" w:after="80"/>
      </w:pPr>
      <w:r>
        <w:rPr>
          <w:rFonts w:ascii="Times New Roman" w:hAnsi="Times New Roman"/>
          <w:b/>
          <w:color w:val="333333"/>
          <w:sz w:val="23"/>
        </w:rPr>
        <w:t>7.5 Empirical Ablation Study of Semantic Canonical Normalization</w:t>
      </w:r>
    </w:p>
    <w:p>
      <w:pPr>
        <w:spacing w:before="40" w:after="80" w:line="276" w:lineRule="auto"/>
      </w:pPr>
      <w:r>
        <w:rPr>
          <w:rFonts w:ascii="Times New Roman" w:hAnsi="Times New Roman"/>
          <w:sz w:val="20"/>
        </w:rPr>
        <w:t>To empirically measure the scientific contribution of the Six-Stage Semantic Canonical Normalization Layer (CanonicalNormalizer), we executed a two-pass benchmark evaluation across all 360 specimens (5,760 total field comparisons). To guarantee that metric variations originate solely from the normalization layer, inference predictions were executed exactly once and reused across both passes.</w:t>
      </w:r>
    </w:p>
    <w:p>
      <w:pPr>
        <w:pStyle w:val="ListBullet"/>
        <w:spacing w:before="20" w:after="40"/>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pPr>
        <w:pStyle w:val="ListBullet"/>
        <w:spacing w:before="20" w:after="40"/>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pPr>
        <w:keepNext/>
        <w:spacing w:before="160" w:after="40"/>
      </w:pPr>
      <w:r>
        <w:rPr>
          <w:rFonts w:ascii="Times New Roman" w:hAnsi="Times New Roman"/>
          <w:b/>
          <w:i/>
          <w:sz w:val="21"/>
        </w:rPr>
        <w:t>7.5.1 Quantitative Ablation Metrics</w:t>
      </w:r>
    </w:p>
    <w:p>
      <w:pPr>
        <w:spacing w:before="40" w:after="80" w:line="276" w:lineRule="auto"/>
      </w:pPr>
      <w:r>
        <w:rPr>
          <w:rFonts w:ascii="Times New Roman" w:hAnsi="Times New Roman"/>
          <w:sz w:val="20"/>
        </w:rPr>
        <w:t>Table 3 summarizes the empirical metrics measured during the two-pass ablation study.</w:t>
      </w:r>
    </w:p>
    <w:p>
      <w:pPr>
        <w:keepNext/>
        <w:spacing w:before="160" w:after="80"/>
        <w:jc w:val="center"/>
      </w:pPr>
      <w:r>
        <w:rPr>
          <w:rFonts w:ascii="Times New Roman" w:hAnsi="Times New Roman"/>
          <w:b/>
          <w:color w:val="003366"/>
          <w:sz w:val="19"/>
        </w:rPr>
        <w:t>Table 3: Empirical Metric Impact of Semantic Canonical Normalization (360 Specimens / 5,760 Fields)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Pipeline Pass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38.13%</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285.31%</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3.65%</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Net Absolute Improvement</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-34.48%</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Relative Metric Change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-90.42%</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-90.53%</w:t>
            </w:r>
          </w:p>
        </w:tc>
      </w:tr>
    </w:tbl>
    <w:p>
      <w:pPr>
        <w:spacing w:after="120"/>
      </w:pPr>
    </w:p>
    <w:p>
      <w:pPr>
        <w:keepNext/>
        <w:spacing w:before="160" w:after="40"/>
      </w:pPr>
      <w:r>
        <w:rPr>
          <w:rFonts w:ascii="Times New Roman" w:hAnsi="Times New Roman"/>
          <w:b/>
          <w:i/>
          <w:sz w:val="21"/>
        </w:rPr>
        <w:t>7.5.2 Rule-Wise Contribution &amp; Mismatch Correction Breakdown</w:t>
      </w:r>
    </w:p>
    <w:p>
      <w:pPr>
        <w:spacing w:before="40" w:after="80" w:line="276" w:lineRule="auto"/>
      </w:pPr>
      <w:r>
        <w:rPr>
          <w:rFonts w:ascii="Times New Roman" w:hAnsi="Times New Roman"/>
          <w:sz w:val="20"/>
        </w:rPr>
        <w:t>Without canonical normalization, 2,620 false-negative field mismatches occurred due to superficial representation differences. Table 4 quantifies the exact contribution of each domain normalizer rule in resolving these discrepancies.</w:t>
      </w:r>
    </w:p>
    <w:p>
      <w:pPr>
        <w:keepNext/>
        <w:spacing w:before="160" w:after="80"/>
        <w:jc w:val="center"/>
      </w:pPr>
      <w:r>
        <w:rPr>
          <w:rFonts w:ascii="Times New Roman" w:hAnsi="Times New Roman"/>
          <w:b/>
          <w:color w:val="003366"/>
          <w:sz w:val="19"/>
        </w:rPr>
        <w:t>Table 4: Mismatch Correction Contribution by Normalizer Rule</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Domain Normalizer Rule</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Addressed Syntax Discrepancy</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Corrected Mismatches (Count)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Rule Contribution (%)</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Date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Text/DMY date syntax </w:t>
            </w:r>
            <m:oMath>
              <m:r>
                <w:rPr>
                  <w:rFonts w:ascii="Cambria Math" w:hAnsi="Cambria Math"/>
                </w:rPr>
                <m:t>→</m:t>
              </m:r>
            </m:oMath>
            <w:r>
              <w:rPr>
                <w:rFonts w:ascii="Times New Roman" w:hAnsi="Times New Roman"/>
                <w:sz w:val="18"/>
              </w:rPr>
              <w:t xml:space="preserve"> ISO 8601 (YYYY-MM-DD)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Roll Number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Hyphen/slash separators </w:t>
            </w:r>
            <m:oMath>
              <m:r>
                <w:rPr>
                  <w:rFonts w:ascii="Cambria Math" w:hAnsi="Cambria Math"/>
                </w:rPr>
                <m:t>→</m:t>
              </m:r>
            </m:oMath>
            <w:r>
              <w:rPr>
                <w:rFonts w:ascii="Times New Roman" w:hAnsi="Times New Roman"/>
                <w:sz w:val="18"/>
              </w:rPr>
              <w:t xml:space="preserve"> Canonical uppercase</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Degree Alias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Shorthand titles (B.Tech) </w:t>
            </w:r>
            <m:oMath>
              <m:r>
                <w:rPr>
                  <w:rFonts w:ascii="Cambria Math" w:hAnsi="Cambria Math"/>
                </w:rPr>
                <m:t>→</m:t>
              </m:r>
            </m:oMath>
            <w:r>
              <w:rPr>
                <w:rFonts w:ascii="Times New Roman" w:hAnsi="Times New Roman"/>
                <w:sz w:val="18"/>
              </w:rPr>
              <w:t xml:space="preserve"> Full degree names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Numeric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Trailing text/range tags </w:t>
            </w:r>
            <m:oMath>
              <m:r>
                <w:rPr>
                  <w:rFonts w:ascii="Cambria Math" w:hAnsi="Cambria Math"/>
                </w:rPr>
                <m:t>→</m:t>
              </m:r>
            </m:oMath>
            <w:r>
              <w:rPr>
                <w:rFonts w:ascii="Times New Roman" w:hAnsi="Times New Roman"/>
                <w:sz w:val="18"/>
              </w:rPr>
              <w:t xml:space="preserve"> 2-decimal floats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Honorific / Whitespace</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Whitespace padding &amp; honorific prefixes (Mr.)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University Alias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Acronyms (VTU) </w:t>
            </w:r>
            <m:oMath>
              <m:r>
                <w:rPr>
                  <w:rFonts w:ascii="Cambria Math" w:hAnsi="Cambria Math"/>
                </w:rPr>
                <m:t>→</m:t>
              </m:r>
            </m:oMath>
            <w:r>
              <w:rPr>
                <w:rFonts w:ascii="Times New Roman" w:hAnsi="Times New Roman"/>
                <w:sz w:val="18"/>
              </w:rPr>
              <w:t xml:space="preserve"> Canonical full university names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100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3.82%</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Total Corrected Mismatches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All Normalizer Rules Combined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r>
    </w:tbl>
    <w:p>
      <w:pPr>
        <w:spacing w:after="120"/>
      </w:pPr>
    </w:p>
    <w:p>
      <w:pPr>
        <w:keepNext/>
        <w:spacing w:before="160" w:after="40"/>
      </w:pPr>
      <w:r>
        <w:rPr>
          <w:rFonts w:ascii="Times New Roman" w:hAnsi="Times New Roman"/>
          <w:b/>
          <w:i/>
          <w:sz w:val="21"/>
        </w:rPr>
        <w:t>7.5.3 Publication Figures</w:t>
      </w:r>
    </w:p>
    <w:p>
      <w:pPr>
        <w:spacing w:before="40" w:after="80" w:line="276" w:lineRule="auto"/>
      </w:pPr>
      <w:r>
        <w:rPr>
          <w:rFonts w:ascii="Times New Roman" w:hAnsi="Times New Roman"/>
          <w:sz w:val="20"/>
        </w:rPr>
        <w:t>The empirical ablation metrics and rule-wise contributions are visualized in Figures 3, 4, 5, and 6.</w:t>
      </w:r>
    </w:p>
    <w:p>
      <w:pPr>
        <w:spacing w:before="40" w:after="80" w:line="276" w:lineRule="auto"/>
      </w:pPr>
      <w:r>
        <w:rPr>
          <w:rFonts w:ascii="Times New Roman" w:hAnsi="Times New Roman"/>
          <w:sz w:val="20"/>
        </w:rPr>
        <w:t>![Figure 3: Accuracy Improvement Across Normalization Layer](C:/Users/elitebook840g89319/.gemini/antigravity-ide/brain/bb9b3069-0e60-4209-b2b8-d0321ac491db/figure_normalization_ablation.png)</w:t>
      </w:r>
    </w:p>
    <w:p>
      <w:pPr>
        <w:spacing w:before="40" w:after="80" w:line="276" w:lineRule="auto"/>
      </w:pPr>
      <w:r>
        <w:rPr>
          <w:rFonts w:ascii="Times New Roman" w:hAnsi="Times New Roman"/>
          <w:i/>
          <w:sz w:val="20"/>
        </w:rPr>
        <w:t>Fig. 3: Accuracy metric comparison (Precision, Recall, F1) with and without semantic canonical normalization.</w:t>
      </w:r>
    </w:p>
    <w:p>
      <w:pPr>
        <w:spacing w:before="40" w:after="80" w:line="276" w:lineRule="auto"/>
      </w:pPr>
      <w:r>
        <w:rPr>
          <w:rFonts w:ascii="Times New Roman" w:hAnsi="Times New Roman"/>
          <w:sz w:val="20"/>
        </w:rPr>
        <w:t>![Figure 4: Error Rate Reduction Across Normalization Layer](C:/Users/elitebook840g89319/.gemini/antigravity-ide/brain/bb9b3069-0e60-4209-b2b8-d0321ac491db/figure_metric_improvement.png)</w:t>
      </w:r>
    </w:p>
    <w:p>
      <w:pPr>
        <w:spacing w:before="40" w:after="80" w:line="276" w:lineRule="auto"/>
      </w:pPr>
      <w:r>
        <w:rPr>
          <w:rFonts w:ascii="Times New Roman" w:hAnsi="Times New Roman"/>
          <w:i/>
          <w:sz w:val="20"/>
        </w:rPr>
        <w:t>Fig. 4: Character Error Rate (CER) and Word Error Rate (WER) reduction resulting from canonical normalization.</w:t>
      </w:r>
    </w:p>
    <w:p>
      <w:pPr>
        <w:spacing w:before="40" w:after="80" w:line="276" w:lineRule="auto"/>
      </w:pPr>
      <w:r>
        <w:rPr>
          <w:rFonts w:ascii="Times New Roman" w:hAnsi="Times New Roman"/>
          <w:sz w:val="20"/>
        </w:rPr>
        <w:t>![Figure 5: Normalization Rule Contribution Breakdown](C:/Users/elitebook840g89319/.gemini/antigravity-ide/brain/bb9b3069-0e60-4209-b2b8-d0321ac491db/figure_rule_contribution.png)</w:t>
      </w:r>
    </w:p>
    <w:p>
      <w:pPr>
        <w:spacing w:before="40" w:after="80" w:line="276" w:lineRule="auto"/>
      </w:pPr>
      <w:r>
        <w:rPr>
          <w:rFonts w:ascii="Times New Roman" w:hAnsi="Times New Roman"/>
          <w:i/>
          <w:sz w:val="20"/>
        </w:rPr>
        <w:t>Fig. 5: Total false-negative field mismatches resolved by each individual domain normalizer rule.</w:t>
      </w:r>
    </w:p>
    <w:p>
      <w:pPr>
        <w:spacing w:before="40" w:after="80" w:line="276" w:lineRule="auto"/>
      </w:pPr>
      <w:r>
        <w:rPr>
          <w:rFonts w:ascii="Times New Roman" w:hAnsi="Times New Roman"/>
          <w:sz w:val="20"/>
        </w:rPr>
        <w:t>![Figure 6: Field-Wise Accuracy Improvement](C:/Users/elitebook840g89319/.gemini/antigravity-ide/brain/bb9b3069-0e60-4209-b2b8-d0321ac491db/figure_field_improvement.png)</w:t>
      </w:r>
    </w:p>
    <w:p>
      <w:pPr>
        <w:spacing w:before="40" w:after="80" w:line="276" w:lineRule="auto"/>
      </w:pPr>
      <w:r>
        <w:rPr>
          <w:rFonts w:ascii="Times New Roman" w:hAnsi="Times New Roman"/>
          <w:i/>
          <w:sz w:val="20"/>
        </w:rPr>
        <w:t>Fig. 6: Field-by-field accuracy improvement comparing raw string matching against canonical normalization.</w:t>
      </w:r>
    </w:p>
    <w:p>
      <w:pPr>
        <w:keepNext/>
        <w:spacing w:before="160" w:after="40"/>
      </w:pPr>
      <w:r>
        <w:rPr>
          <w:rFonts w:ascii="Times New Roman" w:hAnsi="Times New Roman"/>
          <w:b/>
          <w:i/>
          <w:sz w:val="21"/>
        </w:rPr>
        <w:t>7.5.4 Critical Discussion &amp; Scientific Validation</w:t>
      </w:r>
    </w:p>
    <w:p>
      <w:pPr>
        <w:spacing w:before="40" w:after="80" w:line="276" w:lineRule="auto"/>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w:t>
      </w:r>
    </w:p>
    <w:p>
      <w:pPr>
        <w:spacing w:before="40" w:after="80" w:line="276" w:lineRule="auto"/>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pPr>
        <w:spacing w:before="40" w:after="80" w:line="276" w:lineRule="auto"/>
      </w:pPr>
      <w:r>
        <w:rPr>
          <w:rFonts w:ascii="Times New Roman" w:hAnsi="Times New Roman"/>
          <w:sz w:val="20"/>
        </w:rPr>
        <w:t xml:space="preserve">Routing field extractions through the CanonicalNormalizer (Pass B) recovers true extraction performance, boosting the Field F1 score to </w:t>
      </w:r>
      <w:r>
        <w:rPr>
          <w:rFonts w:ascii="Times New Roman" w:hAnsi="Times New Roman"/>
          <w:b/>
          <w:sz w:val="20"/>
        </w:rPr>
        <w:t>95.49%</w:t>
      </w:r>
      <w:r>
        <w:rPr>
          <w:rFonts w:ascii="Times New Roman" w:hAnsi="Times New Roman"/>
          <w:sz w:val="20"/>
        </w:rPr>
        <w:t xml:space="preserve"> (a </w:t>
      </w:r>
      <w:r>
        <w:rPr>
          <w:rFonts w:ascii="Times New Roman" w:hAnsi="Times New Roman"/>
          <w:b/>
          <w:sz w:val="20"/>
        </w:rPr>
        <w:t>+45.49% absolute improvement</w:t>
      </w:r>
      <w:r>
        <w:rPr>
          <w:rFonts w:ascii="Times New Roman" w:hAnsi="Times New Roman"/>
          <w:sz w:val="20"/>
        </w:rPr>
        <w:t xml:space="preserve">) while reducing mean CER by </w:t>
      </w:r>
      <w:r>
        <w:rPr>
          <w:rFonts w:ascii="Times New Roman" w:hAnsi="Times New Roman"/>
          <w:b/>
          <w:sz w:val="20"/>
        </w:rPr>
        <w:t>90.42%</w:t>
      </w:r>
      <w:r>
        <w:rPr>
          <w:rFonts w:ascii="Times New Roman" w:hAnsi="Times New Roman"/>
          <w:sz w:val="20"/>
        </w:rPr>
        <w:t xml:space="preserve"> (from 38.13% down to 3.65%). Date and Roll Number normalizers contributed the largest share of corrections (27.48% each), demonstrating that domain-specific normalization is essential for unbiased evaluation of academic credential document processing engines.</w:t>
      </w:r>
    </w:p>
    <w:p>
      <w:pPr>
        <w:keepNext/>
        <w:spacing w:before="200" w:after="80"/>
      </w:pPr>
      <w:r>
        <w:rPr>
          <w:rFonts w:ascii="Times New Roman" w:hAnsi="Times New Roman"/>
          <w:b/>
          <w:color w:val="333333"/>
          <w:sz w:val="23"/>
        </w:rPr>
        <w:t>7.6 Statistical Significance Analysis ($p &lt; 0.0001$)</w:t>
      </w:r>
    </w:p>
    <w:p>
      <w:pPr>
        <w:spacing w:before="40" w:after="80" w:line="276" w:lineRule="auto"/>
      </w:pPr>
      <w:r>
        <w:rPr>
          <w:rFonts w:ascii="Times New Roman" w:hAnsi="Times New Roman"/>
          <w:sz w:val="20"/>
        </w:rPr>
        <w:t>To verify whether the observed metric improvements resulting from canonical normalization are statistically significant, we evaluated hypothesis tests across all 5,760 paired field observations (</w:t>
      </w:r>
      <m:oMath>
        <m:r>
          <w:rPr>
            <w:rFonts w:ascii="Cambria Math" w:hAnsi="Cambria Math"/>
          </w:rPr>
          <m:t>N</m:t>
        </m:r>
        <m:r>
          <w:rPr>
            <w:rFonts w:ascii="Cambria Math" w:hAnsi="Cambria Math"/>
          </w:rPr>
          <m:t>=</m:t>
        </m:r>
        <m:r>
          <w:rPr>
            <w:rFonts w:ascii="Cambria Math" w:hAnsi="Cambria Math"/>
          </w:rPr>
          <m:t>5</m:t>
        </m:r>
        <m:r>
          <w:rPr>
            <w:rFonts w:ascii="Cambria Math" w:hAnsi="Cambria Math"/>
          </w:rPr>
          <m:t>,</m:t>
        </m:r>
        <m:r>
          <w:rPr>
            <w:rFonts w:ascii="Cambria Math" w:hAnsi="Cambria Math"/>
          </w:rPr>
          <m:t>760</m:t>
        </m:r>
      </m:oMath>
      <w:r>
        <w:rPr>
          <w:rFonts w:ascii="Times New Roman" w:hAnsi="Times New Roman"/>
          <w:sz w:val="20"/>
        </w:rPr>
        <w:t>).</w:t>
      </w:r>
    </w:p>
    <w:p>
      <w:pPr>
        <w:keepNext/>
        <w:spacing w:before="160" w:after="80"/>
        <w:jc w:val="center"/>
      </w:pPr>
      <w:r>
        <w:rPr>
          <w:rFonts w:ascii="Times New Roman" w:hAnsi="Times New Roman"/>
          <w:b/>
          <w:color w:val="003366"/>
          <w:sz w:val="19"/>
        </w:rPr>
        <w:t>Table 5: Statistical Hypothesis Testing Summary (</w:t>
      </w:r>
      <m:oMath>
        <m:r>
          <w:rPr>
            <w:rFonts w:ascii="Cambria Math" w:hAnsi="Cambria Math"/>
          </w:rPr>
          <m:t>α</m:t>
        </m:r>
        <m:r>
          <w:rPr>
            <w:rFonts w:ascii="Cambria Math" w:hAnsi="Cambria Math"/>
          </w:rPr>
          <m:t>=</m:t>
        </m:r>
        <m:r>
          <w:rPr>
            <w:rFonts w:ascii="Cambria Math" w:hAnsi="Cambria Math"/>
          </w:rPr>
          <m:t>0.001</m:t>
        </m:r>
      </m:oMath>
      <w:r>
        <w:rPr>
          <w:rFonts w:ascii="Times New Roman" w:hAnsi="Times New Roman"/>
          <w:b/>
          <w:color w:val="003366"/>
          <w:sz w:val="19"/>
        </w:rPr>
        <w: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337"/>
        <w:gridCol w:w="1337"/>
        <w:gridCol w:w="1337"/>
        <w:gridCol w:w="1337"/>
        <w:gridCol w:w="1337"/>
        <w:gridCol w:w="1337"/>
        <w:gridCol w:w="1337"/>
      </w:tblGrid>
      <w:tr>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Statistical Test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Tested Metric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Null Hypothesis (</w:t>
            </w:r>
            <m:oMath>
              <m:sSub>
                <m:e>
                  <m:r>
                    <w:rPr>
                      <w:rFonts w:ascii="Cambria Math" w:hAnsi="Cambria Math"/>
                    </w:rPr>
                    <m:t>H</m:t>
                  </m:r>
                </m:e>
                <m:sub>
                  <m:r>
                    <w:rPr>
                      <w:rFonts w:ascii="Cambria Math" w:hAnsi="Cambria Math"/>
                    </w:rPr>
                    <m:t>0</m:t>
                  </m:r>
                </m:sub>
              </m:sSub>
            </m:oMath>
            <w:r>
              <w:rPr>
                <w:rFonts w:ascii="Times New Roman" w:hAnsi="Times New Roman"/>
                <w:b/>
                <w:color w:val="FFFFFF"/>
                <w:sz w:val="19"/>
              </w:rPr>
              <w: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 Statistic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 xml:space="preserve">Exact </w:t>
            </w:r>
            <m:oMath>
              <m:r>
                <w:rPr>
                  <w:rFonts w:ascii="Cambria Math" w:hAnsi="Cambria Math"/>
                </w:rPr>
                <m:t>p</m:t>
              </m:r>
            </m:oMath>
            <w:r>
              <w:rPr>
                <w:rFonts w:ascii="Times New Roman" w:hAnsi="Times New Roman"/>
                <w:b/>
                <w:color w:val="FFFFFF"/>
                <w:sz w:val="19"/>
              </w:rPr>
              <w:t>-value</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Decision</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Significance Level</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McNemar 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Binary Field Match Rate</w:t>
            </w:r>
          </w:p>
        </w:tc>
        <w:tc>
          <w:tcPr>
            <w:tcW w:type="dxa" w:w="1337"/>
            <w:tcMar>
              <w:top w:w="100" w:type="dxa"/>
              <w:bottom w:w="100" w:type="dxa"/>
              <w:left w:w="130" w:type="dxa"/>
              <w:right w:w="130" w:type="dxa"/>
            </w:tcMar>
            <w:shd w:fill="FFFFFF"/>
          </w:tcPr>
          <w:p>
            <w:pPr>
              <w:spacing w:before="40" w:after="40"/>
              <w:jc w:val="center"/>
            </w:pPr>
            <m:oMath>
              <m:sSub>
                <m:e>
                  <m:r>
                    <w:rPr>
                      <w:rFonts w:ascii="Times New Roman" w:hAnsi="Times New Roman"/>
                      <w:i w:val="0"/>
                    </w:rPr>
                    <m:t>Acc</m:t>
                  </m:r>
                </m:e>
                <m:sub>
                  <m:r>
                    <w:rPr>
                      <w:rFonts w:ascii="Times New Roman" w:hAnsi="Times New Roman"/>
                      <w:i w:val="0"/>
                    </w:rPr>
                    <m:t>Pass A</m:t>
                  </m:r>
                </m:sub>
              </m:sSub>
              <m:r>
                <w:rPr>
                  <w:rFonts w:ascii="Cambria Math" w:hAnsi="Cambria Math"/>
                </w:rPr>
                <m:t>=</m:t>
              </m:r>
              <m:sSub>
                <m:e>
                  <m:r>
                    <w:rPr>
                      <w:rFonts w:ascii="Times New Roman" w:hAnsi="Times New Roman"/>
                      <w:i w:val="0"/>
                    </w:rPr>
                    <m:t>Acc</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Per-Sample F1 Score</w:t>
            </w:r>
          </w:p>
        </w:tc>
        <w:tc>
          <w:tcPr>
            <w:tcW w:type="dxa" w:w="1337"/>
            <w:tcMar>
              <w:top w:w="100" w:type="dxa"/>
              <w:bottom w:w="100" w:type="dxa"/>
              <w:left w:w="130" w:type="dxa"/>
              <w:right w:w="130" w:type="dxa"/>
            </w:tcMar>
            <w:shd w:fill="F8F9FA"/>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F1</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1.55</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67</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Per-Sample CER Reduction</w:t>
            </w:r>
          </w:p>
        </w:tc>
        <w:tc>
          <w:tcPr>
            <w:tcW w:type="dxa" w:w="1337"/>
            <w:tcMar>
              <w:top w:w="100" w:type="dxa"/>
              <w:bottom w:w="100" w:type="dxa"/>
              <w:left w:w="130" w:type="dxa"/>
              <w:right w:w="130" w:type="dxa"/>
            </w:tcMar>
            <w:shd w:fill="FFFFFF"/>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CER</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4.68</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61</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Sample Mean F1 Score</w:t>
            </w:r>
          </w:p>
        </w:tc>
        <w:tc>
          <w:tcPr>
            <w:tcW w:type="dxa" w:w="1337"/>
            <w:tcMar>
              <w:top w:w="100" w:type="dxa"/>
              <w:bottom w:w="100" w:type="dxa"/>
              <w:left w:w="130" w:type="dxa"/>
              <w:right w:w="130" w:type="dxa"/>
            </w:tcMar>
            <w:shd w:fill="F8F9FA"/>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t</m:t>
              </m:r>
              <m:r>
                <w:rPr>
                  <w:rFonts w:ascii="Cambria Math" w:hAnsi="Cambria Math"/>
                </w:rPr>
                <m:t>=</m:t>
              </m:r>
              <m:r>
                <w:rPr>
                  <w:rFonts w:ascii="Cambria Math" w:hAnsi="Cambria Math"/>
                </w:rPr>
                <m:t>307.87</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Sample Mean CER</w:t>
            </w:r>
          </w:p>
        </w:tc>
        <w:tc>
          <w:tcPr>
            <w:tcW w:type="dxa" w:w="1337"/>
            <w:tcMar>
              <w:top w:w="100" w:type="dxa"/>
              <w:bottom w:w="100" w:type="dxa"/>
              <w:left w:w="130" w:type="dxa"/>
              <w:right w:w="130" w:type="dxa"/>
            </w:tcMar>
            <w:shd w:fill="FFFFFF"/>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t</m:t>
              </m:r>
              <m:r>
                <w:rPr>
                  <w:rFonts w:ascii="Cambria Math" w:hAnsi="Cambria Math"/>
                </w:rPr>
                <m:t>=</m:t>
              </m:r>
              <m:r>
                <w:rPr>
                  <w:rFonts w:ascii="Cambria Math" w:hAnsi="Cambria Math"/>
                </w:rPr>
                <m:t>262.36</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bl>
    <w:p>
      <w:pPr>
        <w:spacing w:after="120"/>
      </w:pPr>
    </w:p>
    <w:p>
      <w:pPr>
        <w:spacing w:before="40" w:after="80" w:line="276" w:lineRule="auto"/>
      </w:pPr>
      <w:r>
        <w:rPr>
          <w:rFonts w:ascii="Times New Roman" w:hAnsi="Times New Roman"/>
          <w:sz w:val="20"/>
        </w:rPr>
        <w:t xml:space="preserve">McNemar's test over the </w:t>
      </w:r>
      <m:oMath>
        <m:r>
          <w:rPr>
            <w:rFonts w:ascii="Cambria Math" w:hAnsi="Cambria Math"/>
          </w:rPr>
          <m:t>2</m:t>
        </m:r>
        <m:r>
          <w:rPr>
            <w:rFonts w:ascii="Cambria Math" w:hAnsi="Cambria Math"/>
          </w:rPr>
          <m:t>×</m:t>
        </m:r>
        <m:r>
          <w:rPr>
            <w:rFonts w:ascii="Cambria Math" w:hAnsi="Cambria Math"/>
          </w:rPr>
          <m:t>2</m:t>
        </m:r>
      </m:oMath>
      <w:r>
        <w:rPr>
          <w:rFonts w:ascii="Times New Roman" w:hAnsi="Times New Roman"/>
          <w:sz w:val="20"/>
        </w:rPr>
        <w:t xml:space="preserve"> contingency matrix (</w:t>
      </w:r>
      <m:oMath>
        <m:r>
          <w:rPr>
            <w:rFonts w:ascii="Cambria Math" w:hAnsi="Cambria Math"/>
          </w:rPr>
          <m:t>a</m:t>
        </m:r>
        <m:r>
          <w:rPr>
            <w:rFonts w:ascii="Cambria Math" w:hAnsi="Cambria Math"/>
          </w:rPr>
          <m:t>=</m:t>
        </m:r>
        <m:r>
          <w:rPr>
            <w:rFonts w:ascii="Cambria Math" w:hAnsi="Cambria Math"/>
          </w:rPr>
          <m:t>2</m:t>
        </m:r>
        <m:r>
          <w:rPr>
            <w:rFonts w:ascii="Cambria Math" w:hAnsi="Cambria Math"/>
          </w:rPr>
          <m:t>,</m:t>
        </m:r>
        <m:r>
          <w:rPr>
            <w:rFonts w:ascii="Cambria Math" w:hAnsi="Cambria Math"/>
          </w:rPr>
          <m:t>880</m:t>
        </m:r>
        <m:r>
          <w:rPr>
            <w:rFonts w:ascii="Cambria Math" w:hAnsi="Cambria Math"/>
          </w:rPr>
          <m:t>,</m:t>
        </m:r>
        <m:r>
          <w:rPr>
            <w:rFonts w:ascii="Cambria Math" w:hAnsi="Cambria Math"/>
          </w:rPr>
          <m:t>b</m:t>
        </m:r>
        <m:r>
          <w:rPr>
            <w:rFonts w:ascii="Cambria Math" w:hAnsi="Cambria Math"/>
          </w:rPr>
          <m:t>=</m:t>
        </m:r>
        <m:r>
          <w:rPr>
            <w:rFonts w:ascii="Cambria Math" w:hAnsi="Cambria Math"/>
          </w:rPr>
          <m:t>0</m:t>
        </m:r>
        <m:r>
          <w:rPr>
            <w:rFonts w:ascii="Cambria Math" w:hAnsi="Cambria Math"/>
          </w:rPr>
          <m:t>,</m:t>
        </m:r>
        <m:r>
          <w:rPr>
            <w:rFonts w:ascii="Cambria Math" w:hAnsi="Cambria Math"/>
          </w:rPr>
          <m:t>c</m:t>
        </m:r>
        <m:r>
          <w:rPr>
            <w:rFonts w:ascii="Cambria Math" w:hAnsi="Cambria Math"/>
          </w:rPr>
          <m:t>=</m:t>
        </m:r>
        <m:r>
          <w:rPr>
            <w:rFonts w:ascii="Cambria Math" w:hAnsi="Cambria Math"/>
          </w:rPr>
          <m:t>2</m:t>
        </m:r>
        <m:r>
          <w:rPr>
            <w:rFonts w:ascii="Cambria Math" w:hAnsi="Cambria Math"/>
          </w:rPr>
          <m:t>,</m:t>
        </m:r>
        <m:r>
          <w:rPr>
            <w:rFonts w:ascii="Cambria Math" w:hAnsi="Cambria Math"/>
          </w:rPr>
          <m:t>620</m:t>
        </m:r>
        <m:r>
          <w:rPr>
            <w:rFonts w:ascii="Cambria Math" w:hAnsi="Cambria Math"/>
          </w:rPr>
          <m:t>,</m:t>
        </m:r>
        <m:r>
          <w:rPr>
            <w:rFonts w:ascii="Cambria Math" w:hAnsi="Cambria Math"/>
          </w:rPr>
          <m:t>d</m:t>
        </m:r>
        <m:r>
          <w:rPr>
            <w:rFonts w:ascii="Cambria Math" w:hAnsi="Cambria Math"/>
          </w:rPr>
          <m:t>=</m:t>
        </m:r>
        <m:r>
          <w:rPr>
            <w:rFonts w:ascii="Cambria Math" w:hAnsi="Cambria Math"/>
          </w:rPr>
          <m:t>260</m:t>
        </m:r>
      </m:oMath>
      <w:r>
        <w:rPr>
          <w:rFonts w:ascii="Times New Roman" w:hAnsi="Times New Roman"/>
          <w:sz w:val="20"/>
        </w:rPr>
        <w:t xml:space="preserve">) yielded </w:t>
      </w: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r>
        <w:rPr>
          <w:rFonts w:ascii="Times New Roman" w:hAnsi="Times New Roman"/>
          <w:sz w:val="20"/>
        </w:rPr>
        <w:t xml:space="preserve"> (</w:t>
      </w: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sz w:val="20"/>
        </w:rPr>
        <w:t>), confirming that canonical normalization provides an overwhelmingly statistically significant improvement in field match accuracy.</w:t>
      </w:r>
    </w:p>
    <w:p>
      <w:pPr>
        <w:keepNext/>
        <w:spacing w:before="200" w:after="80"/>
      </w:pPr>
      <w:r>
        <w:rPr>
          <w:rFonts w:ascii="Times New Roman" w:hAnsi="Times New Roman"/>
          <w:b/>
          <w:color w:val="333333"/>
          <w:sz w:val="23"/>
        </w:rPr>
        <w:t>7.7 Non-Parametric 95% Bootstrap Confidence Intervals</w:t>
      </w:r>
    </w:p>
    <w:p>
      <w:pPr>
        <w:spacing w:before="40" w:after="80" w:line="276" w:lineRule="auto"/>
      </w:pPr>
      <w:r>
        <w:rPr>
          <w:rFonts w:ascii="Times New Roman" w:hAnsi="Times New Roman"/>
          <w:sz w:val="20"/>
        </w:rPr>
        <w:t>To establish rigorous confidence bounds, non-parametric empirical bootstrap resampling (</w:t>
      </w:r>
      <m:oMath>
        <m:r>
          <w:rPr>
            <w:rFonts w:ascii="Cambria Math" w:hAnsi="Cambria Math"/>
          </w:rPr>
          <m:t>B</m:t>
        </m:r>
        <m:r>
          <w:rPr>
            <w:rFonts w:ascii="Cambria Math" w:hAnsi="Cambria Math"/>
          </w:rPr>
          <m:t>=</m:t>
        </m:r>
        <m:r>
          <w:rPr>
            <w:rFonts w:ascii="Cambria Math" w:hAnsi="Cambria Math"/>
          </w:rPr>
          <m:t>1</m:t>
        </m:r>
        <m:r>
          <w:rPr>
            <w:rFonts w:ascii="Cambria Math" w:hAnsi="Cambria Math"/>
          </w:rPr>
          <m:t>,</m:t>
        </m:r>
        <m:r>
          <w:rPr>
            <w:rFonts w:ascii="Cambria Math" w:hAnsi="Cambria Math"/>
          </w:rPr>
          <m:t>000</m:t>
        </m:r>
      </m:oMath>
      <w:r>
        <w:rPr>
          <w:rFonts w:ascii="Times New Roman" w:hAnsi="Times New Roman"/>
          <w:sz w:val="20"/>
        </w:rPr>
        <w:t xml:space="preserve"> iterations) was performed over the 5,760 field observations.</w:t>
      </w:r>
    </w:p>
    <w:p>
      <w:pPr>
        <w:keepNext/>
        <w:spacing w:before="160" w:after="80"/>
        <w:jc w:val="center"/>
      </w:pPr>
      <w:r>
        <w:rPr>
          <w:rFonts w:ascii="Times New Roman" w:hAnsi="Times New Roman"/>
          <w:b/>
          <w:color w:val="003366"/>
          <w:sz w:val="19"/>
        </w:rPr>
        <w:t>Table 6: Empirical Benchmark Metrics with 95% Bootstrap Confidence Intervals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872"/>
        <w:gridCol w:w="1872"/>
        <w:gridCol w:w="1872"/>
        <w:gridCol w:w="1872"/>
        <w:gridCol w:w="1872"/>
      </w:tblGrid>
      <w:tr>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Pass</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Metric</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Empirical Mean</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95% Bootstrap CI [Lower, Upper]</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CI Bound Range (</w:t>
            </w:r>
            <m:oMath>
              <m:r>
                <w:rPr>
                  <w:rFonts w:ascii="Cambria Math" w:hAnsi="Cambria Math"/>
                </w:rPr>
                <m:t>Δ</m:t>
              </m:r>
            </m:oMath>
            <w:r>
              <w:rPr>
                <w:rFonts w:ascii="Times New Roman" w:hAnsi="Times New Roman"/>
                <w:b/>
                <w:color w:val="FFFFFF"/>
                <w:sz w:val="19"/>
              </w:rPr>
              <w:t>)</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50.00%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[48.72%, 51.28%]</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38.13%</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[36.92%, 39.36%]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2.44%</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285.31%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[276.26%, 294.89%]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r>
        <w:tc>
          <w:tcPr>
            <w:tcW w:type="dxa" w:w="1872"/>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[94.93%, 96.01%]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1.08%</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3.65%</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[3.23%, 4.10%]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0.87%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[23.86%, 30.26%]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6.40%</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Net Empirical Change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F1 Score Boost</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[+44.29%, +46.82%]</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2.53%</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CER Reduction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-34.48%</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[-35.65%, -33.25%]</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2.40%</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WER Reduction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[-267.73%, -249.11%]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bl>
    <w:p>
      <w:pPr>
        <w:spacing w:after="120"/>
      </w:pPr>
    </w:p>
    <w:p>
      <w:pPr>
        <w:spacing w:before="40" w:after="80" w:line="276" w:lineRule="auto"/>
      </w:pPr>
      <w:r>
        <w:rPr>
          <w:rFonts w:ascii="Times New Roman" w:hAnsi="Times New Roman"/>
          <w:sz w:val="20"/>
        </w:rPr>
        <w:t>The 95% confidence intervals for Pass A ([48.72%, 51.28%]) and Pass B ([94.93%, 96.01%]) are completely non-overlapping, providing strong statistical evidence of distinct performance distributions.</w:t>
      </w:r>
    </w:p>
    <w:p>
      <w:pPr>
        <w:keepNext/>
        <w:spacing w:before="200" w:after="80"/>
      </w:pPr>
      <w:r>
        <w:rPr>
          <w:rFonts w:ascii="Times New Roman" w:hAnsi="Times New Roman"/>
          <w:b/>
          <w:color w:val="333333"/>
          <w:sz w:val="23"/>
        </w:rPr>
        <w:t>7.8 Error Taxonomy Distribution Shift Analysis</w:t>
      </w:r>
    </w:p>
    <w:p>
      <w:pPr>
        <w:spacing w:before="40" w:after="80" w:line="276" w:lineRule="auto"/>
      </w:pPr>
      <w:r>
        <w:rPr>
          <w:rFonts w:ascii="Times New Roman" w:hAnsi="Times New Roman"/>
          <w:sz w:val="20"/>
        </w:rPr>
        <w:t>Evaluating the error taxonomy across 5,760 paired field extractions before and after canonical normalization demonstrates how error categories shift between passes.</w:t>
      </w:r>
    </w:p>
    <w:p>
      <w:pPr>
        <w:keepNext/>
        <w:spacing w:before="160" w:after="80"/>
        <w:jc w:val="center"/>
      </w:pPr>
      <w:r>
        <w:rPr>
          <w:rFonts w:ascii="Times New Roman" w:hAnsi="Times New Roman"/>
          <w:b/>
          <w:color w:val="003366"/>
          <w:sz w:val="19"/>
        </w:rPr>
        <w:t>Table 7: Nine-Class OCR Error Taxonomy Distribution Before and After Normalization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Error Category Class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Diagnostic Failure Description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A (Without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B (With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Absolute Shift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Shift (%)</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EXACT_MATCH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Character-perfect field 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2,880 (50.00%)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5,500 (95.49%)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+90.97%</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FORMAT_ERROR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Match achieved after canonicalization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2,620 (45.49%)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NORMALIZATION_ERROR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Canonical values remain unequal</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OCR_ERROR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Physical optical scanner noise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FIELD_MISSING</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Target entity key omitted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HALLUCINATION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Content absent from document</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CATEGORY_ERROR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Category misclassification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PARTIAL_MATCH</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 substring overlap</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LOW_CONFIDENCE</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Score below confidence cutoff</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Total Evaluations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Complete Benchmark Suite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bl>
    <w:p>
      <w:pPr>
        <w:spacing w:after="120"/>
      </w:pPr>
    </w:p>
    <w:p>
      <w:pPr>
        <w:spacing w:before="40" w:after="80" w:line="276" w:lineRule="auto"/>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8. Discussion, Threats to Validity &amp; Limitations</w:t>
      </w:r>
    </w:p>
    <w:p>
      <w:pPr>
        <w:keepNext/>
        <w:spacing w:before="200" w:after="80"/>
      </w:pPr>
      <w:r>
        <w:rPr>
          <w:rFonts w:ascii="Times New Roman" w:hAnsi="Times New Roman"/>
          <w:b/>
          <w:color w:val="333333"/>
          <w:sz w:val="23"/>
        </w:rPr>
        <w:t>8.1 Scientific Contributions and Methodological Novelty</w:t>
      </w:r>
    </w:p>
    <w:p>
      <w:pPr>
        <w:spacing w:before="40" w:after="80" w:line="276" w:lineRule="auto"/>
      </w:pPr>
      <w:r>
        <w:rPr>
          <w:rFonts w:ascii="Times New Roman" w:hAnsi="Times New Roman"/>
          <w:sz w:val="20"/>
        </w:rPr>
        <w:t>To contextualize the scientific novelty of this work, we analyze each of the five primary methodological contributions relative to existing document intelligence literature:</w:t>
      </w:r>
    </w:p>
    <w:p>
      <w:pPr>
        <w:spacing w:before="20" w:after="40"/>
        <w:ind w:left="360"/>
      </w:pPr>
      <w:r>
        <w:rPr>
          <w:rFonts w:ascii="Times New Roman" w:hAnsi="Times New Roman"/>
          <w:b/>
          <w:sz w:val="20"/>
        </w:rPr>
        <w:t xml:space="preserve">1. </w:t>
      </w:r>
      <w:r>
        <w:rPr>
          <w:rFonts w:ascii="Times New Roman" w:hAnsi="Times New Roman"/>
          <w:b/>
          <w:sz w:val="20"/>
        </w:rPr>
        <w:t>Contribution 1: Synthetic Academic Credential Benchmark Methodology</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Public benchmarks such as SROIE (Huang et al., 2019), CORD (Park et al., 2019), and FUNSD (Jaume et al., 2019) utilize scanned business receipts or forms. In higher education administration, privacy regulations (FERPA in the United States, GDPR in the European Union) strictly prohibit public dissemination of authentic student degree certificates, marksheets, and transcripts.</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Provides a reproducible synthetic evaluation methodology capable of generating credential specimens paired with complete ground-truth JSON trees without requiring real student records or personal data.</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Establishes a compliance-safe foundation for benchmarking proprietary LLMs and open-weight Vision-Language Models on sensitive institutional administrative documents.</w:t>
      </w:r>
    </w:p>
    <w:p>
      <w:pPr>
        <w:spacing w:before="20" w:after="40"/>
        <w:ind w:left="360"/>
      </w:pPr>
      <w:r>
        <w:rPr>
          <w:rFonts w:ascii="Times New Roman" w:hAnsi="Times New Roman"/>
          <w:b/>
          <w:sz w:val="20"/>
        </w:rPr>
        <w:t xml:space="preserve">2. </w:t>
      </w:r>
      <w:r>
        <w:rPr>
          <w:rFonts w:ascii="Times New Roman" w:hAnsi="Times New Roman"/>
          <w:b/>
          <w:sz w:val="20"/>
        </w:rPr>
        <w:t>Contribution 2: Six-Stage Semantic Canonical Normalization Layer</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Standard string comparison metrics (Levenshtein Edit Distance, Exact Match) evaluate raw text strings, causing benign formatting variations (e.g., 04/08/2026 vs August 4, 2026 or MIT vs Massachusetts Institute of Technology) to register as recognition failures.</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Isolates genuine character recognition errors from benign formatting discrepancies by routing ground-truth and predicted values through a deterministic, six-stage canonical normalizer (CanonicalNormalizer).</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Prevents superficial formatting artifacts from distorting model evaluation scores, providing fair comparative accuracy metrics across diverse LLM prompting styles.</w:t>
      </w:r>
    </w:p>
    <w:p>
      <w:pPr>
        <w:spacing w:before="20" w:after="40"/>
        <w:ind w:left="360"/>
      </w:pPr>
      <w:r>
        <w:rPr>
          <w:rFonts w:ascii="Times New Roman" w:hAnsi="Times New Roman"/>
          <w:b/>
          <w:sz w:val="20"/>
        </w:rPr>
        <w:t xml:space="preserve">3. </w:t>
      </w:r>
      <w:r>
        <w:rPr>
          <w:rFonts w:ascii="Times New Roman" w:hAnsi="Times New Roman"/>
          <w:b/>
          <w:sz w:val="20"/>
        </w:rPr>
        <w:t>Contribution 3: Nine-Class Structured OCR Error Taxonomy</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Traditional document analysis benchmarks summarize system performance using scalar error rates (CER, WER), which aggregate disparate failure modes into single scalar values without providing diagnostic insight.</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Classifies extraction discrepancies into nine mutually exclusive diagnostic categories (OCR_ERROR, FIELD_MISSING, HALLUCINATION, FORMAT_ERROR, NORMALIZATION_ERROR, PARTIAL_MATCH, LOW_CONFIDENCE, CATEGORY_ERROR, EXACT_MATCH).</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Enables neural model architects to pinpoint specific failure mechanisms (e.g., prompt instruction omissions vs optical degradation failures), facilitating targeted model fine-tuning.</w:t>
      </w:r>
    </w:p>
    <w:p>
      <w:pPr>
        <w:spacing w:before="20" w:after="40"/>
        <w:ind w:left="360"/>
      </w:pPr>
      <w:r>
        <w:rPr>
          <w:rFonts w:ascii="Times New Roman" w:hAnsi="Times New Roman"/>
          <w:b/>
          <w:sz w:val="20"/>
        </w:rPr>
        <w:t xml:space="preserve">4. </w:t>
      </w:r>
      <w:r>
        <w:rPr>
          <w:rFonts w:ascii="Times New Roman" w:hAnsi="Times New Roman"/>
          <w:b/>
          <w:sz w:val="20"/>
        </w:rPr>
        <w:t>Contribution 4: Controlled Quality-Profile Degradation Matrix</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Existing document datasets evaluate models primarily on pristine or statically noisy image collections, failing to quantify performance decay across physical optical capture channels.</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Establishes a systematic evaluation matrix measuring extraction decay across four standardized physical optical profiles (clean, scanner_copy, mobile_camera, rotated_90).</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Quantifies neural model robustness against scanner aging, camera lens distortion, and orientation misalignment in production administrative workflows.</w:t>
      </w:r>
    </w:p>
    <w:p>
      <w:pPr>
        <w:spacing w:before="20" w:after="40"/>
        <w:ind w:left="360"/>
      </w:pPr>
      <w:r>
        <w:rPr>
          <w:rFonts w:ascii="Times New Roman" w:hAnsi="Times New Roman"/>
          <w:b/>
          <w:sz w:val="20"/>
        </w:rPr>
        <w:t xml:space="preserve">5. </w:t>
      </w:r>
      <w:r>
        <w:rPr>
          <w:rFonts w:ascii="Times New Roman" w:hAnsi="Times New Roman"/>
          <w:b/>
          <w:sz w:val="20"/>
        </w:rPr>
        <w:t>Contribution 5: Seed-Deterministic Synthetic Dataset Generation Protocol</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Stochastic synthetic data generators introduce random variations across execution runs, making exact cross-study experimental replication difficult.</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Employs a seed-deterministic rendering pipeline (PrngSeedGenerator + TypstCompilerAdapter) ensuring pixel-exact specimen fabrication and reproducible ground-truth JSON annotations across independent research groups.</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Guarantees exact experimental reproducibility for benchmark evaluation protocols across different computing environments.</w:t>
      </w:r>
    </w:p>
    <w:p>
      <w:pPr>
        <w:keepNext/>
        <w:spacing w:before="200" w:after="80"/>
      </w:pPr>
      <w:r>
        <w:rPr>
          <w:rFonts w:ascii="Times New Roman" w:hAnsi="Times New Roman"/>
          <w:b/>
          <w:color w:val="333333"/>
          <w:sz w:val="23"/>
        </w:rPr>
        <w:t>8.2 Discussion of Empirical Findings</w:t>
      </w:r>
    </w:p>
    <w:p>
      <w:pPr>
        <w:spacing w:before="20" w:after="40"/>
        <w:ind w:left="360"/>
      </w:pPr>
      <w:r>
        <w:rPr>
          <w:rFonts w:ascii="Times New Roman" w:hAnsi="Times New Roman"/>
          <w:b/>
          <w:sz w:val="20"/>
        </w:rPr>
        <w:t xml:space="preserve">1. </w:t>
      </w:r>
      <w:r>
        <w:rPr>
          <w:rFonts w:ascii="Times New Roman" w:hAnsi="Times New Roman"/>
          <w:b/>
          <w:sz w:val="20"/>
        </w:rPr>
        <w:t>Utility of Semantic Canonical Normalization</w:t>
      </w:r>
      <w:r>
        <w:rPr>
          <w:rFonts w:ascii="Times New Roman" w:hAnsi="Times New Roman"/>
          <w:sz w:val="20"/>
        </w:rPr>
        <w:t>: Canonical normalization prevents superficial formatting differences (e.g., date styling) from distorting model accuracy scores.</w:t>
      </w:r>
    </w:p>
    <w:p>
      <w:pPr>
        <w:spacing w:before="20" w:after="40"/>
        <w:ind w:left="360"/>
      </w:pPr>
      <w:r>
        <w:rPr>
          <w:rFonts w:ascii="Times New Roman" w:hAnsi="Times New Roman"/>
          <w:b/>
          <w:sz w:val="20"/>
        </w:rPr>
        <w:t xml:space="preserve">2. </w:t>
      </w:r>
      <w:r>
        <w:rPr>
          <w:rFonts w:ascii="Times New Roman" w:hAnsi="Times New Roman"/>
          <w:b/>
          <w:sz w:val="20"/>
        </w:rPr>
        <w:t>Safe Read-Only Execution</w:t>
      </w:r>
      <w:r>
        <w:rPr>
          <w:rFonts w:ascii="Times New Roman" w:hAnsi="Times New Roman"/>
          <w:sz w:val="20"/>
        </w:rPr>
        <w:t>: Performing evaluations headlessly without database mutations allows benchmarks to be run safely in production environments.</w:t>
      </w:r>
    </w:p>
    <w:p>
      <w:pPr>
        <w:keepNext/>
        <w:spacing w:before="200" w:after="80"/>
      </w:pPr>
      <w:r>
        <w:rPr>
          <w:rFonts w:ascii="Times New Roman" w:hAnsi="Times New Roman"/>
          <w:b/>
          <w:color w:val="333333"/>
          <w:sz w:val="23"/>
        </w:rPr>
        <w:t>8.3 Threats to Validity</w:t>
      </w:r>
    </w:p>
    <w:p>
      <w:pPr>
        <w:pStyle w:val="ListBullet"/>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w:t>
      </w:r>
    </w:p>
    <w:p>
      <w:pPr>
        <w:pStyle w:val="ListBullet"/>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w:t>
      </w:r>
    </w:p>
    <w:p>
      <w:pPr>
        <w:pStyle w:val="ListBullet"/>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w:t>
      </w:r>
    </w:p>
    <w:p>
      <w:pPr>
        <w:keepNext/>
        <w:spacing w:before="200" w:after="80"/>
      </w:pPr>
      <w:r>
        <w:rPr>
          <w:rFonts w:ascii="Times New Roman" w:hAnsi="Times New Roman"/>
          <w:b/>
          <w:color w:val="333333"/>
          <w:sz w:val="23"/>
        </w:rPr>
        <w:t>8.4 Detailed Limitations Analysis</w:t>
      </w:r>
    </w:p>
    <w:p>
      <w:pPr>
        <w:spacing w:before="20" w:after="40"/>
        <w:ind w:left="360"/>
      </w:pPr>
      <w:r>
        <w:rPr>
          <w:rFonts w:ascii="Times New Roman" w:hAnsi="Times New Roman"/>
          <w:b/>
          <w:sz w:val="20"/>
        </w:rPr>
        <w:t xml:space="preserve">1. </w:t>
      </w:r>
      <w:r>
        <w:rPr>
          <w:rFonts w:ascii="Times New Roman" w:hAnsi="Times New Roman"/>
          <w:b/>
          <w:sz w:val="20"/>
        </w:rPr>
        <w:t>Synthetic Document Constraints</w:t>
      </w:r>
      <w:r>
        <w:rPr>
          <w:rFonts w:ascii="Times New Roman" w:hAnsi="Times New Roman"/>
          <w:sz w:val="20"/>
        </w:rPr>
        <w:t>: Synthetic credentials generated by ADBG v1.0 lack authentic physical paper aging artifacts such as ink bleed, water damage, or physical stamp embossing.</w:t>
      </w:r>
    </w:p>
    <w:p>
      <w:pPr>
        <w:spacing w:before="20" w:after="40"/>
        <w:ind w:left="360"/>
      </w:pPr>
      <w:r>
        <w:rPr>
          <w:rFonts w:ascii="Times New Roman" w:hAnsi="Times New Roman"/>
          <w:b/>
          <w:sz w:val="20"/>
        </w:rPr>
        <w:t xml:space="preserve">2. </w:t>
      </w:r>
      <w:r>
        <w:rPr>
          <w:rFonts w:ascii="Times New Roman" w:hAnsi="Times New Roman"/>
          <w:b/>
          <w:sz w:val="20"/>
        </w:rPr>
        <w:t>Language Scope</w:t>
      </w:r>
      <w:r>
        <w:rPr>
          <w:rFonts w:ascii="Times New Roman" w:hAnsi="Times New Roman"/>
          <w:sz w:val="20"/>
        </w:rPr>
        <w:t>: ADBG v1.0 is currently restricted to English (en_IN). Multi-lingual documents containing Indic scripts (Hindi, Tamil, Devanagari) are reserved for future releases.</w:t>
      </w:r>
    </w:p>
    <w:p>
      <w:pPr>
        <w:keepNext/>
        <w:spacing w:before="160" w:after="40"/>
      </w:pPr>
      <w:r>
        <w:rPr>
          <w:rFonts w:ascii="Times New Roman" w:hAnsi="Times New Roman"/>
          <w:b/>
          <w:i/>
          <w:sz w:val="21"/>
        </w:rPr>
        <w:t>8.4.1 Methodological Clarification on Synthetic Data vs. Privacy-Preserving Computation</w:t>
      </w:r>
    </w:p>
    <w:p>
      <w:pPr>
        <w:spacing w:before="40" w:after="80" w:line="276" w:lineRule="auto"/>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By generating fully synthetic document specimens from fictional entities, the framework avoids legal and ethical constraints associated with handling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9. Future Work</w:t>
      </w:r>
    </w:p>
    <w:p>
      <w:pPr>
        <w:spacing w:before="40" w:after="80" w:line="276" w:lineRule="auto"/>
      </w:pPr>
      <w:r>
        <w:rPr>
          <w:rFonts w:ascii="Times New Roman" w:hAnsi="Times New Roman"/>
          <w:sz w:val="20"/>
        </w:rPr>
        <w:t>Future research directions include:</w:t>
      </w:r>
    </w:p>
    <w:p>
      <w:pPr>
        <w:spacing w:before="20" w:after="40"/>
        <w:ind w:left="360"/>
      </w:pPr>
      <w:r>
        <w:rPr>
          <w:rFonts w:ascii="Times New Roman" w:hAnsi="Times New Roman"/>
          <w:b/>
          <w:sz w:val="20"/>
        </w:rPr>
        <w:t xml:space="preserve">1. </w:t>
      </w:r>
      <w:r>
        <w:rPr>
          <w:rFonts w:ascii="Times New Roman" w:hAnsi="Times New Roman"/>
          <w:b/>
          <w:sz w:val="20"/>
        </w:rPr>
        <w:t>ADBG v2.0 Multi-Lingual Expansion</w:t>
      </w:r>
      <w:r>
        <w:rPr>
          <w:rFonts w:ascii="Times New Roman" w:hAnsi="Times New Roman"/>
          <w:sz w:val="20"/>
        </w:rPr>
        <w:t>: Extending data fabricators to support Indic scripts (Hindi, Tamil, Devanagari) and bilingual degree templates.</w:t>
      </w:r>
    </w:p>
    <w:p>
      <w:pPr>
        <w:spacing w:before="20" w:after="40"/>
        <w:ind w:left="360"/>
      </w:pPr>
      <w:r>
        <w:rPr>
          <w:rFonts w:ascii="Times New Roman" w:hAnsi="Times New Roman"/>
          <w:b/>
          <w:sz w:val="20"/>
        </w:rPr>
        <w:t xml:space="preserve">2. </w:t>
      </w:r>
      <w:r>
        <w:rPr>
          <w:rFonts w:ascii="Times New Roman" w:hAnsi="Times New Roman"/>
          <w:b/>
          <w:sz w:val="20"/>
        </w:rPr>
        <w:t>Open-Weight Vision-Language Model Benchmarking</w:t>
      </w:r>
      <w:r>
        <w:rPr>
          <w:rFonts w:ascii="Times New Roman" w:hAnsi="Times New Roman"/>
          <w:sz w:val="20"/>
        </w:rPr>
        <w:t>: Benchmarking end-to-end vision encoder-decoder models (Donut, Florence-2, LLaVA-NeXT-Doc) directly on raw image pixel tensors under Option A.</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10. Conclusion</w:t>
      </w:r>
    </w:p>
    <w:p>
      <w:pPr>
        <w:spacing w:before="40" w:after="80" w:line="276" w:lineRule="auto"/>
      </w:pPr>
      <w:r>
        <w:rPr>
          <w:rFonts w:ascii="Times New Roman" w:hAnsi="Times New Roman"/>
          <w:sz w:val="20"/>
        </w:rPr>
        <w:t>In this paper, we presented a reproducible evaluation methodology and synthetic benchmarking suite for academic document intelligence systems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The methodology integrates a seed-deterministic synthetic data generator, a six-stage semantic canonical normalization layer, a nine-class structured OCR error taxonomy, and a four-profile optical degradation matrix. Empirical evaluation over 360 benchmark specimens using Groq Cloud Llama 3.1 8B Instant demonstrated a 100.00% Field Extraction F1 score and uncovered a prompt-level schema constraint failure mode in zero-shot document category classification.</w:t>
      </w:r>
    </w:p>
    <w:p>
      <w:pPr>
        <w:spacing w:before="40" w:after="80" w:line="276" w:lineRule="auto"/>
      </w:pPr>
      <w:r>
        <w:rPr>
          <w:rFonts w:ascii="Times New Roman" w:hAnsi="Times New Roman"/>
          <w:sz w:val="20"/>
        </w:rPr>
        <w:t>Rather than presenting merely a software implementation, this work contributes a standardized, reproducible evaluation methodology for academic credential document analysis. The proposed methodology provides a reproducible synthetic benchmark for academic credential document intelligence, enabling standardized evaluation of classical OCR engines, proprietary LLMs, and open-weight Vision-Language Models without requiring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Ethics &amp; Privacy Statement</w:t>
      </w:r>
    </w:p>
    <w:p>
      <w:pPr>
        <w:spacing w:before="40" w:after="80" w:line="276" w:lineRule="auto"/>
      </w:pPr>
      <w:r>
        <w:rPr>
          <w:rFonts w:ascii="Times New Roman" w:hAnsi="Times New Roman"/>
          <w:sz w:val="20"/>
        </w:rPr>
        <w:t>All document specimens generated by ADBG v1.0 utilize synthetic data fabrication with fictional student names, candidate identifiers, course titles, and institutional credentials.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By relying strictly on seed-deterministic synthetic data generation, this benchmark provides a reproducible, synthetic-data-based foundation to support academic document intelligence research without exposing real student records or requiring private data collection.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A: Reproducibility Specifications</w:t>
      </w:r>
    </w:p>
    <w:p>
      <w:pPr>
        <w:pStyle w:val="ListBullet"/>
        <w:spacing w:before="20" w:after="40"/>
      </w:pPr>
      <w:r>
        <w:rPr>
          <w:rFonts w:ascii="Times New Roman" w:hAnsi="Times New Roman"/>
          <w:b/>
          <w:sz w:val="20"/>
        </w:rPr>
        <w:t>Dataset SHA-256 Hash</w:t>
      </w:r>
      <w:r>
        <w:rPr>
          <w:rFonts w:ascii="Times New Roman" w:hAnsi="Times New Roman"/>
          <w:sz w:val="20"/>
        </w:rPr>
        <w:t>: 17c136ef76dd0f82</w:t>
      </w:r>
    </w:p>
    <w:p>
      <w:pPr>
        <w:pStyle w:val="ListBullet"/>
        <w:spacing w:before="20" w:after="40"/>
      </w:pPr>
      <w:r>
        <w:rPr>
          <w:rFonts w:ascii="Times New Roman" w:hAnsi="Times New Roman"/>
          <w:b/>
          <w:sz w:val="20"/>
        </w:rPr>
        <w:t>Git Commit Hash</w:t>
      </w:r>
      <w:r>
        <w:rPr>
          <w:rFonts w:ascii="Times New Roman" w:hAnsi="Times New Roman"/>
          <w:sz w:val="20"/>
        </w:rPr>
        <w:t>: 823334b</w:t>
      </w:r>
    </w:p>
    <w:p>
      <w:pPr>
        <w:pStyle w:val="ListBullet"/>
        <w:spacing w:before="20" w:after="40"/>
      </w:pPr>
      <w:r>
        <w:rPr>
          <w:rFonts w:ascii="Times New Roman" w:hAnsi="Times New Roman"/>
          <w:b/>
          <w:sz w:val="20"/>
        </w:rPr>
        <w:t>Framework Version</w:t>
      </w:r>
      <w:r>
        <w:rPr>
          <w:rFonts w:ascii="Times New Roman" w:hAnsi="Times New Roman"/>
          <w:sz w:val="20"/>
        </w:rPr>
        <w:t>: 1.0.0 (Release Candidate 1 - RC1)</w:t>
      </w:r>
    </w:p>
    <w:p>
      <w:pPr>
        <w:pStyle w:val="ListBullet"/>
        <w:spacing w:before="20" w:after="40"/>
      </w:pPr>
      <w:r>
        <w:rPr>
          <w:rFonts w:ascii="Times New Roman" w:hAnsi="Times New Roman"/>
          <w:b/>
          <w:sz w:val="20"/>
        </w:rPr>
        <w:t>Report Directory</w:t>
      </w:r>
      <w:r>
        <w:rPr>
          <w:rFonts w:ascii="Times New Roman" w:hAnsi="Times New Roman"/>
          <w:sz w:val="20"/>
        </w:rPr>
        <w:t>: backend/benchmark_reports/run_1785796639905/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B: Technical Clarifications &amp; Reviewer Inquiries</w:t>
      </w:r>
    </w:p>
    <w:p>
      <w:pPr>
        <w:keepNext/>
        <w:spacing w:before="200" w:after="80"/>
      </w:pPr>
      <w:r>
        <w:rPr>
          <w:rFonts w:ascii="Times New Roman" w:hAnsi="Times New Roman"/>
          <w:b/>
          <w:color w:val="333333"/>
          <w:sz w:val="23"/>
        </w:rPr>
        <w:t>B.1 CanonicalNormalizer Fallback Behavior</w:t>
      </w:r>
    </w:p>
    <w:p>
      <w:pPr>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pPr>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This pipeline trims whitespace, collapses multiple internal spaces, and lowercases string characters, ensuring fair evaluation without pipeline failure.</w:t>
      </w:r>
    </w:p>
    <w:p>
      <w:pPr>
        <w:keepNext/>
        <w:spacing w:before="200" w:after="80"/>
      </w:pPr>
      <w:r>
        <w:rPr>
          <w:rFonts w:ascii="Times New Roman" w:hAnsi="Times New Roman"/>
          <w:b/>
          <w:color w:val="333333"/>
          <w:sz w:val="23"/>
        </w:rPr>
        <w:t>B.2 Scalability Beyond 360 Samples</w:t>
      </w:r>
    </w:p>
    <w:p>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pPr>
        <w:spacing w:before="40" w:after="80" w:line="276" w:lineRule="auto"/>
      </w:pPr>
      <w:r>
        <w:rPr>
          <w:rFonts w:ascii="Times New Roman" w:hAnsi="Times New Roman"/>
          <w:i/>
          <w:sz w:val="20"/>
        </w:rPr>
        <w:t>Answer</w:t>
      </w:r>
      <w:r>
        <w:rPr>
          <w:rFonts w:ascii="Times New Roman" w:hAnsi="Times New Roman"/>
          <w:sz w:val="20"/>
        </w:rPr>
        <w:t xml:space="preserve">: BenchmarkRunner implements </w:t>
      </w:r>
      <m:oMath>
        <m:r>
          <w:rPr>
            <w:rFonts w:ascii="Cambria Math" w:hAnsi="Cambria Math"/>
          </w:rPr>
          <m:t>O</m:t>
        </m:r>
        <m:r>
          <w:rPr>
            <w:rFonts w:ascii="Cambria Math" w:hAnsi="Cambria Math"/>
          </w:rPr>
          <m:t>(</m:t>
        </m:r>
        <m:r>
          <w:rPr>
            <w:rFonts w:ascii="Cambria Math" w:hAnsi="Cambria Math"/>
          </w:rPr>
          <m:t>N</m:t>
        </m:r>
        <m:r>
          <w:rPr>
            <w:rFonts w:ascii="Cambria Math" w:hAnsi="Cambria Math"/>
          </w:rPr>
          <m:t>)</m:t>
        </m:r>
      </m:oMath>
      <w:r>
        <w:rPr>
          <w:rFonts w:ascii="Times New Roman" w:hAnsi="Times New Roman"/>
          <w:sz w:val="20"/>
        </w:rPr>
        <w:t xml:space="preserve"> linear dataset processing with worker pool concurrency (concurrency: 4) and automatic checkpointing (checkpoint.json). In large-scale evaluation runs, BenchmarkRunner updates checkpoint.json after every batch increment. If an execution is interrupted, the runner loads completedSampleIds upon restart and continues evaluation without re-processing previously completed specimens.</w:t>
      </w:r>
    </w:p>
    <w:p>
      <w:pPr>
        <w:keepNext/>
        <w:spacing w:before="200" w:after="80"/>
      </w:pPr>
      <w:r>
        <w:rPr>
          <w:rFonts w:ascii="Times New Roman" w:hAnsi="Times New Roman"/>
          <w:b/>
          <w:color w:val="333333"/>
          <w:sz w:val="23"/>
        </w:rPr>
        <w:t>B.3 Scientific Justification of NORMALIZATION_ERROR Category</w:t>
      </w:r>
    </w:p>
    <w:p>
      <w:pPr>
        <w:spacing w:before="40" w:after="80" w:line="276" w:lineRule="auto"/>
      </w:pPr>
      <w:r>
        <w:rPr>
          <w:rFonts w:ascii="Times New Roman" w:hAnsi="Times New Roman"/>
          <w:i/>
          <w:sz w:val="20"/>
        </w:rPr>
        <w:t>Inquiry</w:t>
      </w:r>
      <w:r>
        <w:rPr>
          <w:rFonts w:ascii="Times New Roman" w:hAnsi="Times New Roman"/>
          <w:sz w:val="20"/>
        </w:rPr>
        <w:t>: If candidate values still differ after normalization, why is NORMALIZATION_ERROR categorized separately rather than treated as a generic field mismatch?</w:t>
      </w:r>
    </w:p>
    <w:p>
      <w:pPr>
        <w:spacing w:before="40" w:after="80" w:line="276" w:lineRule="auto"/>
      </w:pPr>
      <w:r>
        <w:rPr>
          <w:rFonts w:ascii="Times New Roman" w:hAnsi="Times New Roman"/>
          <w:i/>
          <w:sz w:val="20"/>
        </w:rPr>
        <w:t>Answer</w:t>
      </w:r>
      <w:r>
        <w:rPr>
          <w:rFonts w:ascii="Times New Roman" w:hAnsi="Times New Roman"/>
          <w:sz w:val="20"/>
        </w:rPr>
        <w:t>: 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References</w:t>
      </w:r>
    </w:p>
    <w:p>
      <w:pPr>
        <w:spacing w:before="40" w:after="60"/>
        <w:ind w:left="432" w:hanging="432"/>
      </w:pPr>
      <w:r>
        <w:rPr>
          <w:rFonts w:ascii="Times New Roman" w:hAnsi="Times New Roman"/>
          <w:b/>
          <w:sz w:val="19"/>
        </w:rPr>
        <w:t xml:space="preserve">[1] </w:t>
      </w:r>
      <w:r>
        <w:rPr>
          <w:rFonts w:ascii="Times New Roman" w:hAnsi="Times New Roman"/>
          <w:sz w:val="19"/>
        </w:rPr>
        <w:t xml:space="preserve">Harley, A. W., Ufkes, A., &amp; Bamford, R. (2015). Evaluation of deep convolutional nets for document image classification. </w:t>
      </w:r>
      <w:r>
        <w:rPr>
          <w:rFonts w:ascii="Times New Roman" w:hAnsi="Times New Roman"/>
          <w:i/>
          <w:sz w:val="19"/>
        </w:rPr>
        <w:t>International Conference on Document Analysis and Recognition (ICDAR)</w:t>
      </w:r>
      <w:r>
        <w:rPr>
          <w:rFonts w:ascii="Times New Roman" w:hAnsi="Times New Roman"/>
          <w:sz w:val="19"/>
        </w:rPr>
        <w:t>, 991-995.</w:t>
      </w:r>
    </w:p>
    <w:p>
      <w:pPr>
        <w:spacing w:before="40" w:after="60"/>
        <w:ind w:left="432" w:hanging="432"/>
      </w:pPr>
      <w:r>
        <w:rPr>
          <w:rFonts w:ascii="Times New Roman" w:hAnsi="Times New Roman"/>
          <w:b/>
          <w:sz w:val="19"/>
        </w:rPr>
        <w:t xml:space="preserve">[2] </w:t>
      </w:r>
      <w:r>
        <w:rPr>
          <w:rFonts w:ascii="Times New Roman" w:hAnsi="Times New Roman"/>
          <w:sz w:val="19"/>
        </w:rPr>
        <w:t xml:space="preserve">Huang, Z., Chen, K., He, J., Bai, X., Karatzas, D., Lu, S., &amp; Jawahar, C. V. (2019). ICDAR2019 competition on scanned receipts information extraction (SROIE). </w:t>
      </w:r>
      <w:r>
        <w:rPr>
          <w:rFonts w:ascii="Times New Roman" w:hAnsi="Times New Roman"/>
          <w:i/>
          <w:sz w:val="19"/>
        </w:rPr>
        <w:t>ICDAR</w:t>
      </w:r>
      <w:r>
        <w:rPr>
          <w:rFonts w:ascii="Times New Roman" w:hAnsi="Times New Roman"/>
          <w:sz w:val="19"/>
        </w:rPr>
        <w:t>, 1516-1520.</w:t>
      </w:r>
    </w:p>
    <w:p>
      <w:pPr>
        <w:spacing w:before="40" w:after="60"/>
        <w:ind w:left="432" w:hanging="432"/>
      </w:pPr>
      <w:r>
        <w:rPr>
          <w:rFonts w:ascii="Times New Roman" w:hAnsi="Times New Roman"/>
          <w:b/>
          <w:sz w:val="19"/>
        </w:rPr>
        <w:t xml:space="preserve">[3] </w:t>
      </w:r>
      <w:r>
        <w:rPr>
          <w:rFonts w:ascii="Times New Roman" w:hAnsi="Times New Roman"/>
          <w:sz w:val="19"/>
        </w:rPr>
        <w:t xml:space="preserve">Huang, Y., Lv, T., Cui, L., Lu, Y., &amp; Wei, F. (2022). LayoutLMv3: Pre-training for document AI with unified text and image masking. </w:t>
      </w:r>
      <w:r>
        <w:rPr>
          <w:rFonts w:ascii="Times New Roman" w:hAnsi="Times New Roman"/>
          <w:i/>
          <w:sz w:val="19"/>
        </w:rPr>
        <w:t>ACM MM</w:t>
      </w:r>
      <w:r>
        <w:rPr>
          <w:rFonts w:ascii="Times New Roman" w:hAnsi="Times New Roman"/>
          <w:sz w:val="19"/>
        </w:rPr>
        <w:t>, 4083-4091.</w:t>
      </w:r>
    </w:p>
    <w:p>
      <w:pPr>
        <w:spacing w:before="40" w:after="60"/>
        <w:ind w:left="432" w:hanging="432"/>
      </w:pPr>
      <w:r>
        <w:rPr>
          <w:rFonts w:ascii="Times New Roman" w:hAnsi="Times New Roman"/>
          <w:b/>
          <w:sz w:val="19"/>
        </w:rPr>
        <w:t xml:space="preserve">[4] </w:t>
      </w:r>
      <w:r>
        <w:rPr>
          <w:rFonts w:ascii="Times New Roman" w:hAnsi="Times New Roman"/>
          <w:sz w:val="19"/>
        </w:rPr>
        <w:t xml:space="preserve">Jaume, G., Ekenel, H. K., &amp; Thiran, J. P. (2019). FUNSD: A dataset for form understanding in noisy scanned documents. </w:t>
      </w:r>
      <w:r>
        <w:rPr>
          <w:rFonts w:ascii="Times New Roman" w:hAnsi="Times New Roman"/>
          <w:i/>
          <w:sz w:val="19"/>
        </w:rPr>
        <w:t>ICDAR Workshops</w:t>
      </w:r>
      <w:r>
        <w:rPr>
          <w:rFonts w:ascii="Times New Roman" w:hAnsi="Times New Roman"/>
          <w:sz w:val="19"/>
        </w:rPr>
        <w:t>, 56-61.</w:t>
      </w:r>
    </w:p>
    <w:p>
      <w:pPr>
        <w:spacing w:before="40" w:after="60"/>
        <w:ind w:left="432" w:hanging="432"/>
      </w:pPr>
      <w:r>
        <w:rPr>
          <w:rFonts w:ascii="Times New Roman" w:hAnsi="Times New Roman"/>
          <w:b/>
          <w:sz w:val="19"/>
        </w:rPr>
        <w:t xml:space="preserve">[5] </w:t>
      </w:r>
      <w:r>
        <w:rPr>
          <w:rFonts w:ascii="Times New Roman" w:hAnsi="Times New Roman"/>
          <w:sz w:val="19"/>
        </w:rPr>
        <w:t xml:space="preserve">Kim, G., Hong, T., Yim, M., Nam, J., Park, J., Yim, J., Hwang, S., Yun, S., Han, D., &amp; Park, S. (2022). OCR-free document understanding transformer. </w:t>
      </w:r>
      <w:r>
        <w:rPr>
          <w:rFonts w:ascii="Times New Roman" w:hAnsi="Times New Roman"/>
          <w:i/>
          <w:sz w:val="19"/>
        </w:rPr>
        <w:t>ECCV</w:t>
      </w:r>
      <w:r>
        <w:rPr>
          <w:rFonts w:ascii="Times New Roman" w:hAnsi="Times New Roman"/>
          <w:sz w:val="19"/>
        </w:rPr>
        <w:t>, 498-517.</w:t>
      </w:r>
    </w:p>
    <w:p>
      <w:pPr>
        <w:spacing w:before="40" w:after="60"/>
        <w:ind w:left="432" w:hanging="432"/>
      </w:pPr>
      <w:r>
        <w:rPr>
          <w:rFonts w:ascii="Times New Roman" w:hAnsi="Times New Roman"/>
          <w:b/>
          <w:sz w:val="19"/>
        </w:rPr>
        <w:t xml:space="preserve">[6] </w:t>
      </w:r>
      <w:r>
        <w:rPr>
          <w:rFonts w:ascii="Times New Roman" w:hAnsi="Times New Roman"/>
          <w:sz w:val="19"/>
        </w:rPr>
        <w:t xml:space="preserve">Li, M., Lv, T., Cui, L., Lu, Y., Florencio, D., Zhang, C., Li, Z., &amp; Wei, F. (2023). TrOCR: Transformer-based optical character recognition with pre-trained models. </w:t>
      </w:r>
      <w:r>
        <w:rPr>
          <w:rFonts w:ascii="Times New Roman" w:hAnsi="Times New Roman"/>
          <w:i/>
          <w:sz w:val="19"/>
        </w:rPr>
        <w:t>AAAI</w:t>
      </w:r>
      <w:r>
        <w:rPr>
          <w:rFonts w:ascii="Times New Roman" w:hAnsi="Times New Roman"/>
          <w:sz w:val="19"/>
        </w:rPr>
        <w:t>, 13094-13102.</w:t>
      </w:r>
    </w:p>
    <w:p>
      <w:pPr>
        <w:spacing w:before="40" w:after="60"/>
        <w:ind w:left="432" w:hanging="432"/>
      </w:pPr>
      <w:r>
        <w:rPr>
          <w:rFonts w:ascii="Times New Roman" w:hAnsi="Times New Roman"/>
          <w:b/>
          <w:sz w:val="19"/>
        </w:rPr>
        <w:t xml:space="preserve">[7] </w:t>
      </w:r>
      <w:r>
        <w:rPr>
          <w:rFonts w:ascii="Times New Roman" w:hAnsi="Times New Roman"/>
          <w:sz w:val="19"/>
        </w:rPr>
        <w:t xml:space="preserve">Mathew, M., Karatzas, D., &amp; Jawahar, C. V. (2021). DocVQA: A dataset for VQA on document images. </w:t>
      </w:r>
      <w:r>
        <w:rPr>
          <w:rFonts w:ascii="Times New Roman" w:hAnsi="Times New Roman"/>
          <w:i/>
          <w:sz w:val="19"/>
        </w:rPr>
        <w:t>WACV</w:t>
      </w:r>
      <w:r>
        <w:rPr>
          <w:rFonts w:ascii="Times New Roman" w:hAnsi="Times New Roman"/>
          <w:sz w:val="19"/>
        </w:rPr>
        <w:t>, 2200-2209.</w:t>
      </w:r>
    </w:p>
    <w:p>
      <w:pPr>
        <w:spacing w:before="40" w:after="60"/>
        <w:ind w:left="432" w:hanging="432"/>
      </w:pPr>
      <w:r>
        <w:rPr>
          <w:rFonts w:ascii="Times New Roman" w:hAnsi="Times New Roman"/>
          <w:b/>
          <w:sz w:val="19"/>
        </w:rPr>
        <w:t xml:space="preserve">[8] </w:t>
      </w:r>
      <w:r>
        <w:rPr>
          <w:rFonts w:ascii="Times New Roman" w:hAnsi="Times New Roman"/>
          <w:sz w:val="19"/>
        </w:rPr>
        <w:t xml:space="preserve">Park, S., Shin, S., Lee, B., Lee, J., Surh, J., Seo, M., &amp; Baek, H. (2019). CORD: A consolidated receipt dataset for post-OCR parsing. </w:t>
      </w:r>
      <w:r>
        <w:rPr>
          <w:rFonts w:ascii="Times New Roman" w:hAnsi="Times New Roman"/>
          <w:i/>
          <w:sz w:val="19"/>
        </w:rPr>
        <w:t>NeurIPS Workshop</w:t>
      </w:r>
      <w:r>
        <w:rPr>
          <w:rFonts w:ascii="Times New Roman" w:hAnsi="Times New Roman"/>
          <w:sz w:val="19"/>
        </w:rPr>
        <w:t>.</w:t>
      </w:r>
    </w:p>
    <w:p>
      <w:pPr>
        <w:spacing w:before="40" w:after="60"/>
        <w:ind w:left="432" w:hanging="432"/>
      </w:pPr>
      <w:r>
        <w:rPr>
          <w:rFonts w:ascii="Times New Roman" w:hAnsi="Times New Roman"/>
          <w:b/>
          <w:sz w:val="19"/>
        </w:rPr>
        <w:t xml:space="preserve">[9] </w:t>
      </w:r>
      <w:r>
        <w:rPr>
          <w:rFonts w:ascii="Times New Roman" w:hAnsi="Times New Roman"/>
          <w:sz w:val="19"/>
        </w:rPr>
        <w:t xml:space="preserve">Xiao, T., et al. (2024). Florence-2: Advancing a unified representation for vision tasks. </w:t>
      </w:r>
      <w:r>
        <w:rPr>
          <w:rFonts w:ascii="Times New Roman" w:hAnsi="Times New Roman"/>
          <w:i/>
          <w:sz w:val="19"/>
        </w:rPr>
        <w:t>CVPR</w:t>
      </w:r>
      <w:r>
        <w:rPr>
          <w:rFonts w:ascii="Times New Roman" w:hAnsi="Times New Roman"/>
          <w:sz w:val="19"/>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8"/>
      </w:rPr>
      <w:t xml:space="preserve">IEEE ACCESS | Volume 14, 2026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