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widowControl w:val="1"/>
      </w:pPr>
      <w:r>
        <w:rPr>
          <w:rFonts w:ascii="Times New Roman" w:hAnsi="Times New Roman"/>
          <w:b/>
          <w:color w:val="003366"/>
          <w:sz w:val="36"/>
        </w:rPr>
        <w:t>ADBG v1.0 &amp; AU DIC Benchmark Evaluation Framework: A Reproducible Synthetic Benchmark Suite and Normalization Pipeline for Academic Document Intelligence</w:t>
      </w:r>
    </w:p>
    <w:p>
      <w:pPr>
        <w:spacing w:before="120" w:after="120" w:line="276" w:lineRule="auto"/>
        <w:jc w:val="center"/>
        <w:widowControl w:val="1"/>
      </w:pPr>
      <w:r>
        <w:rPr>
          <w:rFonts w:ascii="Times New Roman" w:hAnsi="Times New Roman"/>
          <w:b w:val="0"/>
          <w:color w:val="333333"/>
          <w:sz w:val="20"/>
        </w:rPr>
        <w:t>Author Name¹, Co-Author Name²</w:t>
        <w:br/>
        <w:t>¹Department of Computer Science, University Name, City, Country</w:t>
        <w:br/>
        <w:t>²Department of Information Technology, University Name, City, Country</w:t>
        <w:br/>
        <w:t>Corresponding Email: author@university.edu</w:t>
      </w:r>
      <w:r>
        <w:rPr>
          <w:rFonts w:ascii="Times New Roman" w:hAnsi="Times New Roman"/>
          <w:sz w:val="20"/>
        </w:rPr>
      </w:r>
    </w:p>
    <w:p>
      <w:pPr>
        <w:spacing w:before="40" w:after="80" w:line="276" w:lineRule="auto"/>
        <w:jc w:val="center"/>
        <w:widowControl w:val="1"/>
      </w:pPr>
      <w:r>
        <w:rPr>
          <w:rFonts w:ascii="Times New Roman" w:hAnsi="Times New Roman"/>
          <w:b/>
          <w:i/>
          <w:color w:val="646464"/>
          <w:sz w:val="18"/>
        </w:rPr>
        <w:t>Manuscript submitted for review to IEEE Access</w:t>
      </w:r>
      <w:r>
        <w:rPr>
          <w:rFonts w:ascii="Times New Roman" w:hAnsi="Times New Roman"/>
          <w:sz w:val="20"/>
        </w:rPr>
      </w:r>
    </w:p>
    <w:p>
      <w:pPr>
        <w:spacing w:before="40" w:after="240" w:line="276" w:lineRule="auto"/>
        <w:jc w:val="center"/>
        <w:widowControl w:val="1"/>
      </w:pPr>
      <w:r>
        <w:rPr>
          <w:rFonts w:ascii="Times New Roman" w:hAnsi="Times New Roman"/>
          <w:b/>
          <w:color w:val="787878"/>
          <w:sz w:val="16"/>
        </w:rPr>
        <w:t>Repository &amp; Artifact Build</w:t>
      </w:r>
      <w:r>
        <w:rPr>
          <w:rFonts w:ascii="Times New Roman" w:hAnsi="Times New Roman"/>
          <w:color w:val="787878"/>
          <w:sz w:val="16"/>
        </w:rPr>
        <w:t>: run_1785796639905 | Dataset Hash: 17c136ef76dd0f82 | Commit: 823334b</w:t>
      </w:r>
    </w:p>
    <w:p>
      <w:pPr>
        <w:spacing w:before="80" w:after="80" w:line="276" w:lineRule="auto"/>
        <w:widowControl w:val="1"/>
      </w:pPr>
      <w:r>
        <w:rPr>
          <w:rFonts w:ascii="Times New Roman" w:hAnsi="Times New Roman"/>
          <w:sz w:val="20"/>
        </w:rPr>
      </w:r>
    </w:p>
    <w:p>
      <w:pPr>
        <w:keepNext/>
        <w:spacing w:before="280" w:after="120"/>
        <w:jc w:val="center"/>
        <w:widowControl w:val="1"/>
      </w:pPr>
      <w:r>
        <w:rPr>
          <w:rFonts w:ascii="Times New Roman" w:hAnsi="Times New Roman"/>
          <w:b/>
          <w:color w:val="003366"/>
          <w:sz w:val="24"/>
        </w:rPr>
        <w:t>Abstract</w:t>
      </w:r>
    </w:p>
    <w:p>
      <w:pPr>
        <w:spacing w:before="40" w:after="80" w:line="276" w:lineRule="auto"/>
        <w:widowControl w:val="1"/>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 (FERPA, GDPR) 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widowControl w:val="1"/>
      </w:pPr>
      <w:r>
        <w:rPr>
          <w:rFonts w:ascii="Times New Roman" w:hAnsi="Times New Roman"/>
          <w:sz w:val="20"/>
        </w:rPr>
        <w:t>We evaluate the benchmark suite across 360 specimens (</w:t>
      </w:r>
      <w:r>
        <w:rPr>
          <w:rFonts w:ascii="Cambria Math" w:hAnsi="Cambria Math"/>
          <w:i/>
          <w:color w:val="003366"/>
          <w:sz w:val="20"/>
        </w:rPr>
        <w:t>3  categories  x  30  instances  x  4  degradation profiles</w:t>
      </w:r>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120" w:after="200" w:line="276" w:lineRule="auto"/>
        <w:widowControl w:val="1"/>
      </w:pPr>
      <w:r>
        <w:rPr>
          <w:rFonts w:ascii="Times New Roman" w:hAnsi="Times New Roman"/>
          <w:b/>
          <w:sz w:val="19"/>
        </w:rPr>
        <w:t>Index Terms</w:t>
      </w:r>
      <w:r>
        <w:rPr>
          <w:rFonts w:ascii="Times New Roman" w:hAnsi="Times New Roman"/>
          <w:b/>
          <w:sz w:val="19"/>
        </w:rPr>
        <w:t>—Document Intelligence, Synthetic Benchmark Generation, Information Extraction, Canonical Normalization, Error Taxonomy, Optical Degradation, Privacy-Safe AI.</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I. INTRODUCTION</w:t>
      </w:r>
    </w:p>
    <w:p>
      <w:pPr>
        <w:keepNext/>
        <w:spacing w:before="200" w:after="80" w:line="276" w:lineRule="auto"/>
        <w:widowControl w:val="1"/>
      </w:pPr>
      <w:r>
        <w:rPr>
          <w:rFonts w:ascii="Times New Roman" w:hAnsi="Times New Roman"/>
          <w:b/>
          <w:i/>
          <w:color w:val="333333"/>
          <w:sz w:val="22"/>
        </w:rPr>
        <w:t>A. Background &amp; Motivation</w:t>
      </w:r>
    </w:p>
    <w:p>
      <w:pPr>
        <w:spacing w:before="40" w:after="80" w:line="276" w:lineRule="auto"/>
        <w:widowControl w:val="1"/>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widowControl w:val="1"/>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keepNext/>
        <w:spacing w:before="200" w:after="80" w:line="276" w:lineRule="auto"/>
        <w:widowControl w:val="1"/>
      </w:pPr>
      <w:r>
        <w:rPr>
          <w:rFonts w:ascii="Times New Roman" w:hAnsi="Times New Roman"/>
          <w:b/>
          <w:i/>
          <w:color w:val="333333"/>
          <w:sz w:val="22"/>
        </w:rPr>
        <w:t>B. Research Objectives</w:t>
      </w:r>
    </w:p>
    <w:p>
      <w:pPr>
        <w:spacing w:before="40" w:after="80" w:line="276" w:lineRule="auto"/>
        <w:widowControl w:val="1"/>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widowControl w:val="1"/>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pPr>
        <w:pStyle w:val="ListBullet"/>
        <w:spacing w:before="20" w:after="40"/>
        <w:widowControl w:val="1"/>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widowControl w:val="1"/>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line="276" w:lineRule="auto"/>
        <w:widowControl w:val="1"/>
      </w:pPr>
      <w:r>
        <w:rPr>
          <w:rFonts w:ascii="Times New Roman" w:hAnsi="Times New Roman"/>
          <w:b/>
          <w:i/>
          <w:color w:val="333333"/>
          <w:sz w:val="22"/>
        </w:rPr>
        <w:t>C. Main Research Contributions</w:t>
      </w:r>
    </w:p>
    <w:p>
      <w:pPr>
        <w:spacing w:before="40" w:after="80" w:line="276" w:lineRule="auto"/>
        <w:widowControl w:val="1"/>
      </w:pPr>
      <w:r>
        <w:rPr>
          <w:rFonts w:ascii="Times New Roman" w:hAnsi="Times New Roman"/>
          <w:sz w:val="20"/>
        </w:rPr>
        <w:t>The primary contributions of this work are summarized as follows: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ADBG v1.0 Dataset Generator</w:t>
      </w:r>
      <w:r>
        <w:rPr>
          <w:rFonts w:ascii="Times New Roman" w:hAnsi="Times New Roman"/>
          <w:sz w:val="20"/>
        </w:rPr>
        <w:t>: A seed-deterministic synthetic data fabrication engine capable of rendering multi-page vector PDF and raster image credentials across three document categories (</w:t>
      </w:r>
      <w:r>
        <w:rPr>
          <w:rFonts w:ascii="Times New Roman" w:hAnsi="Times New Roman"/>
          <w:i/>
          <w:sz w:val="20"/>
        </w:rPr>
        <w:t>Certificates</w:t>
      </w:r>
      <w:r>
        <w:rPr>
          <w:rFonts w:ascii="Times New Roman" w:hAnsi="Times New Roman"/>
          <w:sz w:val="20"/>
        </w:rPr>
        <w:t xml:space="preserve">, </w:t>
      </w:r>
      <w:r>
        <w:rPr>
          <w:rFonts w:ascii="Times New Roman" w:hAnsi="Times New Roman"/>
          <w:i/>
          <w:sz w:val="20"/>
        </w:rPr>
        <w:t>Marksheets</w:t>
      </w:r>
      <w:r>
        <w:rPr>
          <w:rFonts w:ascii="Times New Roman" w:hAnsi="Times New Roman"/>
          <w:sz w:val="20"/>
        </w:rPr>
        <w:t xml:space="preserve">, </w:t>
      </w:r>
      <w:r>
        <w:rPr>
          <w:rFonts w:ascii="Times New Roman" w:hAnsi="Times New Roman"/>
          <w:i/>
          <w:sz w:val="20"/>
        </w:rPr>
        <w:t>Student IDs</w:t>
      </w:r>
      <w:r>
        <w:rPr>
          <w:rFonts w:ascii="Times New Roman" w:hAnsi="Times New Roman"/>
          <w:sz w:val="20"/>
        </w:rPr>
        <w:t>).</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line="276" w:lineRule="auto"/>
        <w:ind w:left="360"/>
        <w:widowControl w:val="1"/>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line="276" w:lineRule="auto"/>
        <w:ind w:left="360"/>
        <w:widowControl w:val="1"/>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line="276" w:lineRule="auto"/>
        <w:widowControl w:val="1"/>
      </w:pPr>
      <w:r>
        <w:rPr>
          <w:rFonts w:ascii="Times New Roman" w:hAnsi="Times New Roman"/>
          <w:b/>
          <w:i/>
          <w:color w:val="333333"/>
          <w:sz w:val="22"/>
        </w:rPr>
        <w:t>D. Paper Organization</w:t>
      </w:r>
    </w:p>
    <w:p>
      <w:pPr>
        <w:spacing w:before="40" w:after="80" w:line="276" w:lineRule="auto"/>
        <w:widowControl w:val="1"/>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findings, limitations, and threats to validity. Section 9 outlines future research directions, Section 10 concludes the paper, and Appendices A and B provide reproducibility specifications and technical answers to reviewer inquiries.</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II. RELATED WORK</w:t>
      </w:r>
    </w:p>
    <w:p>
      <w:pPr>
        <w:keepNext/>
        <w:spacing w:before="200" w:after="80" w:line="276" w:lineRule="auto"/>
        <w:widowControl w:val="1"/>
      </w:pPr>
      <w:r>
        <w:rPr>
          <w:rFonts w:ascii="Times New Roman" w:hAnsi="Times New Roman"/>
          <w:b/>
          <w:i/>
          <w:color w:val="333333"/>
          <w:sz w:val="22"/>
        </w:rPr>
        <w:t>A. Information Extraction &amp; Neural Document AI Architectures</w:t>
      </w:r>
    </w:p>
    <w:p>
      <w:pPr>
        <w:spacing w:before="40" w:after="80" w:line="276" w:lineRule="auto"/>
        <w:widowControl w:val="1"/>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line="276" w:lineRule="auto"/>
        <w:widowControl w:val="1"/>
      </w:pPr>
      <w:r>
        <w:rPr>
          <w:rFonts w:ascii="Times New Roman" w:hAnsi="Times New Roman"/>
          <w:b/>
          <w:i/>
          <w:color w:val="333333"/>
          <w:sz w:val="22"/>
        </w:rPr>
        <w:t>B. Public Document Intelligence Benchmarks</w:t>
      </w:r>
    </w:p>
    <w:p>
      <w:pPr>
        <w:spacing w:before="40" w:after="80" w:line="276" w:lineRule="auto"/>
        <w:widowControl w:val="1"/>
      </w:pPr>
      <w:r>
        <w:rPr>
          <w:rFonts w:ascii="Times New Roman" w:hAnsi="Times New Roman"/>
          <w:sz w:val="20"/>
        </w:rPr>
        <w:t>Several public datasets exist for document analysis research:</w:t>
      </w:r>
    </w:p>
    <w:p>
      <w:pPr>
        <w:pStyle w:val="ListBullet"/>
        <w:spacing w:before="20" w:after="40"/>
        <w:widowControl w:val="1"/>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pPr>
        <w:pStyle w:val="ListBullet"/>
        <w:spacing w:before="20" w:after="40"/>
        <w:widowControl w:val="1"/>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pPr>
        <w:pStyle w:val="ListBullet"/>
        <w:spacing w:before="20" w:after="40"/>
        <w:widowControl w:val="1"/>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pPr>
        <w:pStyle w:val="ListBullet"/>
        <w:spacing w:before="20" w:after="40"/>
        <w:widowControl w:val="1"/>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pPr>
        <w:spacing w:before="40" w:after="80" w:line="276" w:lineRule="auto"/>
        <w:widowControl w:val="1"/>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line="276" w:lineRule="auto"/>
        <w:widowControl w:val="1"/>
      </w:pPr>
      <w:r>
        <w:rPr>
          <w:rFonts w:ascii="Times New Roman" w:hAnsi="Times New Roman"/>
          <w:b/>
          <w:i/>
          <w:color w:val="333333"/>
          <w:sz w:val="22"/>
        </w:rPr>
        <w:t>C. Synthetic Document Generation &amp; Benchmark Comparison</w:t>
      </w:r>
    </w:p>
    <w:p>
      <w:pPr>
        <w:spacing w:before="40" w:after="80" w:line="276" w:lineRule="auto"/>
        <w:widowControl w:val="1"/>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widowControl w:val="1"/>
      </w:pPr>
      <w:r>
        <w:rPr>
          <w:rFonts w:ascii="Times New Roman" w:hAnsi="Times New Roman"/>
          <w:sz w:val="20"/>
        </w:rPr>
        <w:t>Table 0 presents a comparative feature matrix contrasting ADBG v1.0 with existing public document analysis benchmarks.</w:t>
      </w:r>
    </w:p>
    <w:p>
      <w:pPr>
        <w:keepNext/>
        <w:spacing w:before="160" w:after="80"/>
        <w:jc w:val="center"/>
        <w:widowControl w:val="1"/>
      </w:pPr>
      <w:r>
        <w:rPr>
          <w:rFonts w:ascii="Times New Roman" w:hAnsi="Times New Roman"/>
          <w:b/>
          <w:color w:val="003366"/>
          <w:sz w:val="19"/>
        </w:rPr>
        <w:t>Table 0: Comparative Feature Matrix of Document Intelligence Benchmarks</w:t>
      </w:r>
    </w:p>
    <w:tbl>
      <w:tblPr>
        <w:tblW w:type="auto" w:w="0"/>
        <w:tblLook w:firstColumn="1" w:firstRow="1" w:lastColumn="0" w:lastRow="0" w:noHBand="0" w:noVBand="1" w:val="04A0"/>
        <w:jc w:val="center"/>
        <w:tblBorders>
          <w:top w:val="single" w:sz="12" w:space="0" w:color="003366"/>
          <w:bottom w:val="single" w:sz="12" w:space="0" w:color="003366"/>
          <w:insideH w:val="single" w:sz="4" w:space="0" w:color="CCCCCC"/>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Benchmark</w:t>
            </w:r>
          </w:p>
        </w:tc>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Document Domain</w:t>
            </w:r>
          </w:p>
        </w:tc>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Privacy-Safe Synthetic</w:t>
            </w:r>
          </w:p>
        </w:tc>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Tabular Grade Array Support</w:t>
            </w:r>
          </w:p>
        </w:tc>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Controlled Quality Degradation Matrix</w:t>
            </w:r>
          </w:p>
        </w:tc>
        <w:tc>
          <w:tcPr>
            <w:tcW w:type="dxa" w:w="156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Semantic Canonical Normalization</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shd w:fill="F5F7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Scanned Receipts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 (Anonymized)</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shd w:fill="F5F7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Mixed Documents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shd w:fill="F5F7FA"/>
          </w:tcPr>
          <w:p>
            <w:pPr>
              <w:spacing w:before="40" w:after="40"/>
              <w:jc w:val="left"/>
            </w:pPr>
            <w:r>
              <w:rPr>
                <w:rFonts w:ascii="Times New Roman" w:hAnsi="Times New Roman"/>
                <w:b/>
                <w:sz w:val="18"/>
              </w:rPr>
              <w:t>ADBG v1.0 / AU DIC (Ours)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sz w:val="18"/>
              </w:rPr>
              <w:t>Academic Credentials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b/>
                <w:sz w:val="18"/>
              </w:rPr>
              <w:t>Yes (100% Synthetic)</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b/>
                <w:sz w:val="18"/>
              </w:rPr>
              <w:t>Yes (Semester Arrays)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b/>
                <w:sz w:val="18"/>
              </w:rPr>
              <w:t>Yes (4 Profiles)</w:t>
            </w:r>
          </w:p>
        </w:tc>
        <w:tc>
          <w:tcPr>
            <w:tcW w:type="dxa" w:w="1560"/>
            <w:tcMar>
              <w:top w:w="100" w:type="dxa"/>
              <w:bottom w:w="100" w:type="dxa"/>
              <w:left w:w="130" w:type="dxa"/>
              <w:right w:w="130" w:type="dxa"/>
            </w:tcMar>
            <w:shd w:fill="F8F9FA"/>
            <w:shd w:fill="F5F7FA"/>
          </w:tcPr>
          <w:p>
            <w:pPr>
              <w:spacing w:before="40" w:after="40"/>
              <w:jc w:val="center"/>
            </w:pPr>
            <w:r>
              <w:rPr>
                <w:rFonts w:ascii="Times New Roman" w:hAnsi="Times New Roman"/>
                <w:b/>
                <w:sz w:val="18"/>
              </w:rPr>
              <w:t>Yes (6 Stages)</w:t>
            </w:r>
          </w:p>
        </w:tc>
      </w:tr>
    </w:tbl>
    <w:p>
      <w:pPr>
        <w:spacing w:after="120"/>
        <w:widowControl w:val="1"/>
      </w:pP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III. SYSTEM ARCHITECTURE OVERVIEW</w:t>
      </w:r>
    </w:p>
    <w:p>
      <w:pPr>
        <w:spacing w:before="40" w:after="80" w:line="276" w:lineRule="auto"/>
        <w:widowControl w:val="1"/>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widowControl w:val="1"/>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200" w:before="80"/>
        <w:jc w:val="center"/>
        <w:widowControl w:val="1"/>
      </w:pPr>
      <w:r>
        <w:rPr>
          <w:rFonts w:ascii="Times New Roman" w:hAnsi="Times New Roman"/>
          <w:b/>
          <w:color w:val="003366"/>
          <w:sz w:val="19"/>
        </w:rPr>
        <w:t>Fig. 1. Decoupled System Architecture of the ADBG Synthetic Generation and AU DIC Evaluation Subsystems.</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IV. ADBG SYNTHETIC DATA GENERATION METHODOLOGY</w:t>
      </w:r>
    </w:p>
    <w:p>
      <w:pPr>
        <w:keepNext/>
        <w:spacing w:before="200" w:after="80" w:line="276" w:lineRule="auto"/>
        <w:widowControl w:val="1"/>
      </w:pPr>
      <w:r>
        <w:rPr>
          <w:rFonts w:ascii="Times New Roman" w:hAnsi="Times New Roman"/>
          <w:b/>
          <w:i/>
          <w:color w:val="333333"/>
          <w:sz w:val="22"/>
        </w:rPr>
        <w:t>A. Seed-Deterministic Profile Generation</w:t>
      </w:r>
    </w:p>
    <w:p>
      <w:pPr>
        <w:spacing w:before="40" w:after="80" w:line="276" w:lineRule="auto"/>
        <w:widowControl w:val="1"/>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160" w:after="160" w:line="276" w:lineRule="auto"/>
        <w:jc w:val="center"/>
        <w:widowControl w:val="1"/>
      </w:pPr>
      <w:r>
        <w:rPr>
          <w:rFonts w:ascii="Cambria Math" w:hAnsi="Cambria Math"/>
          <w:i/>
          <w:color w:val="003366"/>
          <w:sz w:val="22"/>
        </w:rPr>
        <w:t>DocumentSpecimen = G(Seed, Category, Profile)</w:t>
      </w:r>
    </w:p>
    <w:p>
      <w:pPr>
        <w:keepNext/>
        <w:spacing w:before="200" w:after="80" w:line="276" w:lineRule="auto"/>
        <w:widowControl w:val="1"/>
      </w:pPr>
      <w:r>
        <w:rPr>
          <w:rFonts w:ascii="Times New Roman" w:hAnsi="Times New Roman"/>
          <w:b/>
          <w:i/>
          <w:color w:val="333333"/>
          <w:sz w:val="22"/>
        </w:rPr>
        <w:t>B. Template Compilation Engine</w:t>
      </w:r>
    </w:p>
    <w:p>
      <w:pPr>
        <w:spacing w:before="40" w:after="80" w:line="276" w:lineRule="auto"/>
        <w:widowControl w:val="1"/>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line="276" w:lineRule="auto"/>
        <w:widowControl w:val="1"/>
      </w:pPr>
      <w:r>
        <w:rPr>
          <w:rFonts w:ascii="Times New Roman" w:hAnsi="Times New Roman"/>
          <w:b/>
          <w:i/>
          <w:color w:val="333333"/>
          <w:sz w:val="22"/>
        </w:rPr>
        <w:t>C. Optical Degradation Pipeline</w:t>
      </w:r>
    </w:p>
    <w:p>
      <w:pPr>
        <w:spacing w:before="40" w:after="80" w:line="276" w:lineRule="auto"/>
        <w:widowControl w:val="1"/>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160" w:after="160" w:line="276" w:lineRule="auto"/>
        <w:jc w:val="center"/>
        <w:widowControl w:val="1"/>
      </w:pPr>
      <w:r>
        <w:rPr>
          <w:rFonts w:ascii="Cambria Math" w:hAnsi="Cambria Math"/>
          <w:i/>
          <w:color w:val="003366"/>
          <w:sz w:val="22"/>
        </w:rPr>
        <w:t>I_{degraded} = D_{rotation}  o  D_{contrast}  o  D_{gaussian}  o  D_{blur}(I_{clean})</w:t>
      </w:r>
    </w:p>
    <w:p>
      <w:pPr>
        <w:spacing w:before="40" w:after="80" w:line="276" w:lineRule="auto"/>
        <w:widowControl w:val="1"/>
      </w:pPr>
      <w:r>
        <w:rPr>
          <w:rFonts w:ascii="Times New Roman" w:hAnsi="Times New Roman"/>
          <w:sz w:val="20"/>
        </w:rPr>
        <w:t>Four standard quality profiles are instantiated in AU_DIC_Benchmark_v1.0:</w:t>
      </w:r>
    </w:p>
    <w:p>
      <w:pPr>
        <w:pStyle w:val="ListBullet"/>
        <w:spacing w:before="20" w:after="40"/>
        <w:widowControl w:val="1"/>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widowControl w:val="1"/>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widowControl w:val="1"/>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widowControl w:val="1"/>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V. AU DIC EVALUATION SUBSYSTEM &amp; SEMANTIC NORMALIZATION LAYER</w:t>
      </w:r>
    </w:p>
    <w:p>
      <w:pPr>
        <w:keepNext/>
        <w:spacing w:before="200" w:after="80" w:line="276" w:lineRule="auto"/>
        <w:widowControl w:val="1"/>
      </w:pPr>
      <w:r>
        <w:rPr>
          <w:rFonts w:ascii="Times New Roman" w:hAnsi="Times New Roman"/>
          <w:b/>
          <w:i/>
          <w:color w:val="333333"/>
          <w:sz w:val="22"/>
        </w:rPr>
        <w:t>A. Decoupled Read-Only Execution Engine</w:t>
      </w:r>
    </w:p>
    <w:p>
      <w:pPr>
        <w:spacing w:before="40" w:after="80" w:line="276" w:lineRule="auto"/>
        <w:widowControl w:val="1"/>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line="276" w:lineRule="auto"/>
        <w:widowControl w:val="1"/>
      </w:pPr>
      <w:r>
        <w:rPr>
          <w:rFonts w:ascii="Times New Roman" w:hAnsi="Times New Roman"/>
          <w:b/>
          <w:i/>
          <w:color w:val="333333"/>
          <w:sz w:val="22"/>
        </w:rPr>
        <w:t>B. Six-Stage Semantic Canonical Normalization Layer</w:t>
      </w:r>
    </w:p>
    <w:p>
      <w:pPr>
        <w:spacing w:before="40" w:after="80" w:line="276" w:lineRule="auto"/>
        <w:widowControl w:val="1"/>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line="276" w:lineRule="auto"/>
        <w:ind w:left="360"/>
        <w:widowControl w:val="1"/>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line="276" w:lineRule="auto"/>
        <w:ind w:left="360"/>
        <w:widowControl w:val="1"/>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w:r>
        <w:rPr>
          <w:rFonts w:ascii="Times New Roman" w:hAnsi="Times New Roman"/>
          <w:i/>
          <w:color w:val="003366"/>
          <w:sz w:val="20"/>
        </w:rPr>
        <w:t xml:space="preserve"> -&gt; </w:t>
      </w:r>
      <w:r>
        <w:rPr>
          <w:rFonts w:ascii="Times New Roman" w:hAnsi="Times New Roman"/>
          <w:sz w:val="20"/>
        </w:rPr>
        <w:t xml:space="preserve"> Massachusetts Institute of Technology) using an institutional lexicon directory.</w:t>
      </w:r>
    </w:p>
    <w:p>
      <w:pPr>
        <w:spacing w:before="20" w:after="40" w:line="276" w:lineRule="auto"/>
        <w:ind w:left="360"/>
        <w:widowControl w:val="1"/>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line="276" w:lineRule="auto"/>
        <w:widowControl w:val="1"/>
      </w:pPr>
      <w:r>
        <w:rPr>
          <w:rFonts w:ascii="Times New Roman" w:hAnsi="Times New Roman"/>
          <w:b/>
          <w:i/>
          <w:color w:val="333333"/>
          <w:sz w:val="22"/>
        </w:rPr>
        <w:t>C. Nine-Class Structured OCR Error Taxonomy</w:t>
      </w:r>
    </w:p>
    <w:p>
      <w:pPr>
        <w:spacing w:before="40" w:after="80" w:line="276" w:lineRule="auto"/>
        <w:widowControl w:val="1"/>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120" w:after="120" w:line="276" w:lineRule="auto"/>
        <w:jc w:val="center"/>
        <w:widowControl w:val="1"/>
      </w:pPr>
      <w:r>
        <w:rPr>
          <w:rFonts w:ascii="Cambria Math" w:hAnsi="Cambria Math"/>
          <w:i/>
          <w:color w:val="003366"/>
          <w:sz w:val="22"/>
        </w:rPr>
        <w:t>ErrorCategory  in  \{OCR\_ERROR, FIELD\_MISSING, HALLUCINATION, FORMAT\_ERROR, NORMALIZATION\_ERROR, PARTIAL\_MATCH, LOW\_CONFIDENCE, CATEGORY\_ERROR, EXACT\_MATCH\}</w:t>
      </w:r>
    </w:p>
    <w:p>
      <w:pPr>
        <w:spacing w:before="80" w:after="80" w:line="276" w:lineRule="auto"/>
        <w:widowControl w:val="1"/>
      </w:pPr>
      <w:r>
        <w:rPr>
          <w:rFonts w:ascii="Times New Roman" w:hAnsi="Times New Roman"/>
          <w:sz w:val="20"/>
        </w:rPr>
      </w:r>
    </w:p>
    <w:p>
      <w:pPr>
        <w:keepNext/>
        <w:spacing w:before="280" w:after="120" w:line="276" w:lineRule="auto"/>
        <w:widowControl w:val="1"/>
      </w:pPr>
      <w:r>
        <w:rPr>
          <w:rFonts w:ascii="Times New Roman" w:hAnsi="Times New Roman"/>
          <w:b/>
          <w:color w:val="003366"/>
          <w:sz w:val="26"/>
        </w:rPr>
        <w:t>6. Experimental Setup, Protocol &amp; Metrics</w:t>
      </w:r>
    </w:p>
    <w:p>
      <w:pPr>
        <w:keepNext/>
        <w:spacing w:before="200" w:after="80" w:line="276" w:lineRule="auto"/>
        <w:widowControl w:val="1"/>
      </w:pPr>
      <w:r>
        <w:rPr>
          <w:rFonts w:ascii="Times New Roman" w:hAnsi="Times New Roman"/>
          <w:b/>
          <w:i/>
          <w:color w:val="333333"/>
          <w:sz w:val="22"/>
        </w:rPr>
        <w:t>A. Dataset Composition (AU_DIC_Benchmark_v1.0)</w:t>
      </w:r>
    </w:p>
    <w:p>
      <w:pPr>
        <w:spacing w:before="40" w:after="80" w:line="276" w:lineRule="auto"/>
        <w:widowControl w:val="1"/>
      </w:pPr>
      <w:r>
        <w:rPr>
          <w:rFonts w:ascii="Times New Roman" w:hAnsi="Times New Roman"/>
          <w:sz w:val="20"/>
        </w:rPr>
        <w:t xml:space="preserve">The evaluation dataset consists of 360 image specimens (3 document categories </w:t>
      </w:r>
      <w:r>
        <w:rPr>
          <w:rFonts w:ascii="Cambria Math" w:hAnsi="Cambria Math"/>
          <w:i/>
          <w:color w:val="003366"/>
          <w:sz w:val="20"/>
        </w:rPr>
        <w:t xml:space="preserve"> x </w:t>
      </w:r>
      <w:r>
        <w:rPr>
          <w:rFonts w:ascii="Times New Roman" w:hAnsi="Times New Roman"/>
          <w:sz w:val="20"/>
        </w:rPr>
        <w:t xml:space="preserve"> 30 unique document instances </w:t>
      </w:r>
      <w:r>
        <w:rPr>
          <w:rFonts w:ascii="Cambria Math" w:hAnsi="Cambria Math"/>
          <w:i/>
          <w:color w:val="003366"/>
          <w:sz w:val="20"/>
        </w:rPr>
        <w:t xml:space="preserve"> x </w:t>
      </w:r>
      <w:r>
        <w:rPr>
          <w:rFonts w:ascii="Times New Roman" w:hAnsi="Times New Roman"/>
          <w:sz w:val="20"/>
        </w:rPr>
        <w:t xml:space="preserve"> 4 quality profiles). Each sample contains corresponding PDF, PNG, Ground Truth JSON, and Metadata JSON files.</w:t>
      </w:r>
    </w:p>
    <w:p>
      <w:pPr>
        <w:keepNext/>
        <w:spacing w:before="200" w:after="80" w:line="276" w:lineRule="auto"/>
        <w:widowControl w:val="1"/>
      </w:pPr>
      <w:r>
        <w:rPr>
          <w:rFonts w:ascii="Times New Roman" w:hAnsi="Times New Roman"/>
          <w:b/>
          <w:i/>
          <w:color w:val="333333"/>
          <w:sz w:val="22"/>
        </w:rPr>
        <w:t>B. Evaluation Metrics</w:t>
      </w:r>
    </w:p>
    <w:p>
      <w:pPr>
        <w:spacing w:before="40" w:after="80" w:line="276" w:lineRule="auto"/>
        <w:widowControl w:val="1"/>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w:r>
        <w:rPr>
          <w:rFonts w:ascii="Times New Roman" w:hAnsi="Times New Roman"/>
          <w:i/>
          <w:color w:val="003366"/>
          <w:sz w:val="20"/>
        </w:rPr>
        <w:t>C_hat_i</w:t>
      </w:r>
      <w:r>
        <w:rPr>
          <w:rFonts w:ascii="Times New Roman" w:hAnsi="Times New Roman"/>
          <w:sz w:val="20"/>
        </w:rPr>
        <w:t>) matches the ground truth category (</w:t>
      </w:r>
      <w:r>
        <w:rPr>
          <w:rFonts w:ascii="Times New Roman" w:hAnsi="Times New Roman"/>
          <w:i/>
          <w:color w:val="003366"/>
          <w:sz w:val="20"/>
        </w:rPr>
        <w:t>C_i</w:t>
      </w:r>
      <w:r>
        <w:rPr>
          <w:rFonts w:ascii="Times New Roman" w:hAnsi="Times New Roman"/>
          <w:sz w:val="20"/>
        </w:rPr>
        <w:t>):</w:t>
      </w:r>
    </w:p>
    <w:p>
      <w:pPr>
        <w:spacing w:before="160" w:after="160" w:line="276" w:lineRule="auto"/>
        <w:jc w:val="center"/>
        <w:widowControl w:val="1"/>
      </w:pPr>
      <w:r>
        <w:rPr>
          <w:rFonts w:ascii="Cambria Math" w:hAnsi="Cambria Math"/>
          <w:i/>
          <w:color w:val="003366"/>
          <w:sz w:val="22"/>
        </w:rPr>
      </w:r>
      <w:r>
        <w:rPr>
          <w:rFonts w:ascii="Cambria Math" w:hAnsi="Cambria Math"/>
          <w:i/>
          <w:color w:val="003366"/>
          <w:sz w:val="22"/>
        </w:rPr>
        <w:t>Category Accuracy = (Sum(i=1)^N I(C)_i = C_i)_hat{N}</w:t>
      </w:r>
      <w:r>
        <w:rPr>
          <w:rFonts w:ascii="Cambria Math" w:hAnsi="Cambria Math"/>
          <w:i/>
          <w:color w:val="003366"/>
          <w:sz w:val="22"/>
        </w:rPr>
      </w:r>
    </w:p>
    <w:p>
      <w:pPr>
        <w:spacing w:before="40" w:after="80" w:line="276" w:lineRule="auto"/>
        <w:widowControl w:val="1"/>
      </w:pPr>
      <w:r>
        <w:rPr>
          <w:rFonts w:ascii="Times New Roman" w:hAnsi="Times New Roman"/>
          <w:sz w:val="20"/>
        </w:rPr>
        <w:t xml:space="preserve">where </w:t>
      </w:r>
      <w:r>
        <w:rPr>
          <w:rFonts w:ascii="Cambria Math" w:hAnsi="Cambria Math"/>
          <w:i/>
          <w:color w:val="003366"/>
          <w:sz w:val="20"/>
        </w:rPr>
        <w:t>N=360</w:t>
      </w:r>
      <w:r>
        <w:rPr>
          <w:rFonts w:ascii="Times New Roman" w:hAnsi="Times New Roman"/>
          <w:sz w:val="20"/>
        </w:rPr>
        <w:t xml:space="preserve"> total evaluated specimens.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Field Extraction Precision ($P$)</w:t>
      </w:r>
      <w:r>
        <w:rPr>
          <w:rFonts w:ascii="Times New Roman" w:hAnsi="Times New Roman"/>
          <w:sz w:val="20"/>
        </w:rPr>
        <w:t xml:space="preserve">, </w:t>
      </w:r>
      <w:r>
        <w:rPr>
          <w:rFonts w:ascii="Times New Roman" w:hAnsi="Times New Roman"/>
          <w:b/>
          <w:sz w:val="20"/>
        </w:rPr>
        <w:t>Recall ($R$)</w:t>
      </w:r>
      <w:r>
        <w:rPr>
          <w:rFonts w:ascii="Times New Roman" w:hAnsi="Times New Roman"/>
          <w:sz w:val="20"/>
        </w:rPr>
        <w:t xml:space="preserve">, and </w:t>
      </w:r>
      <w:r>
        <w:rPr>
          <w:rFonts w:ascii="Times New Roman" w:hAnsi="Times New Roman"/>
          <w:b/>
          <w:sz w:val="20"/>
        </w:rPr>
        <w:t>F1 Score ($F_1$)</w:t>
      </w:r>
      <w:r>
        <w:rPr>
          <w:rFonts w:ascii="Times New Roman" w:hAnsi="Times New Roman"/>
          <w:sz w:val="20"/>
        </w:rPr>
        <w:t>: Macro-averaged key-value field extraction metrics across all extracted target entities:</w:t>
      </w:r>
    </w:p>
    <w:p>
      <w:pPr>
        <w:spacing w:before="160" w:after="160" w:line="276" w:lineRule="auto"/>
        <w:jc w:val="center"/>
        <w:widowControl w:val="1"/>
      </w:pPr>
      <w:r>
        <w:rPr>
          <w:rFonts w:ascii="Cambria Math" w:hAnsi="Cambria Math"/>
          <w:i/>
          <w:color w:val="003366"/>
          <w:sz w:val="22"/>
        </w:rPr>
      </w:r>
      <w:r>
        <w:rPr>
          <w:rFonts w:ascii="Cambria Math" w:hAnsi="Cambria Math"/>
          <w:i/>
          <w:color w:val="003366"/>
          <w:sz w:val="22"/>
        </w:rPr>
        <w:t>P = (True Positive Fields){True Positive Fields + False Positive Fields},   R = (True Positive Fields){True Positive Fields + False Negative Fields},   F_1 = 2  *  (P  *  R / P + R)</w:t>
      </w:r>
      <w:r>
        <w:rPr>
          <w:rFonts w:ascii="Cambria Math" w:hAnsi="Cambria Math"/>
          <w:i/>
          <w:color w:val="003366"/>
          <w:sz w:val="22"/>
        </w:rPr>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w:r>
        <w:rPr>
          <w:rFonts w:ascii="Times New Roman" w:hAnsi="Times New Roman"/>
          <w:i/>
          <w:color w:val="003366"/>
          <w:sz w:val="20"/>
        </w:rPr>
        <w:t>L_{GT}</w:t>
      </w:r>
      <w:r>
        <w:rPr>
          <w:rFonts w:ascii="Times New Roman" w:hAnsi="Times New Roman"/>
          <w:sz w:val="20"/>
        </w:rPr>
        <w:t>):</w:t>
      </w:r>
    </w:p>
    <w:p>
      <w:pPr>
        <w:spacing w:before="160" w:after="160" w:line="276" w:lineRule="auto"/>
        <w:jc w:val="center"/>
        <w:widowControl w:val="1"/>
      </w:pPr>
      <w:r>
        <w:rPr>
          <w:rFonts w:ascii="Cambria Math" w:hAnsi="Cambria Math"/>
          <w:i/>
          <w:color w:val="003366"/>
          <w:sz w:val="22"/>
        </w:rPr>
      </w:r>
      <w:r>
        <w:rPr>
          <w:rFonts w:ascii="Cambria Math" w:hAnsi="Cambria Math"/>
          <w:i/>
          <w:color w:val="003366"/>
          <w:sz w:val="22"/>
        </w:rPr>
        <w:t>CER = (S_{char) + D_{char} + I_{char}}{L_{GT}}</w:t>
      </w:r>
      <w:r>
        <w:rPr>
          <w:rFonts w:ascii="Cambria Math" w:hAnsi="Cambria Math"/>
          <w:i/>
          <w:color w:val="003366"/>
          <w:sz w:val="22"/>
        </w:rPr>
      </w:r>
    </w:p>
    <w:p>
      <w:pPr>
        <w:spacing w:before="20" w:after="40" w:line="276" w:lineRule="auto"/>
        <w:ind w:left="360"/>
        <w:widowControl w:val="1"/>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w:r>
        <w:rPr>
          <w:rFonts w:ascii="Times New Roman" w:hAnsi="Times New Roman"/>
          <w:i/>
          <w:color w:val="003366"/>
          <w:sz w:val="20"/>
        </w:rPr>
        <w:t>W_{GT}</w:t>
      </w:r>
      <w:r>
        <w:rPr>
          <w:rFonts w:ascii="Times New Roman" w:hAnsi="Times New Roman"/>
          <w:sz w:val="20"/>
        </w:rPr>
        <w:t>):</w:t>
      </w:r>
    </w:p>
    <w:p>
      <w:pPr>
        <w:spacing w:before="160" w:after="160" w:line="276" w:lineRule="auto"/>
        <w:jc w:val="center"/>
        <w:widowControl w:val="1"/>
      </w:pPr>
      <w:r>
        <w:rPr>
          <w:rFonts w:ascii="Cambria Math" w:hAnsi="Cambria Math"/>
          <w:i/>
          <w:color w:val="003366"/>
          <w:sz w:val="22"/>
        </w:rPr>
      </w:r>
      <w:r>
        <w:rPr>
          <w:rFonts w:ascii="Cambria Math" w:hAnsi="Cambria Math"/>
          <w:i/>
          <w:color w:val="003366"/>
          <w:sz w:val="22"/>
        </w:rPr>
        <w:t>WER = (S_{word) + D_{word} + I_{word}}{W_{GT}}</w:t>
      </w:r>
      <w:r>
        <w:rPr>
          <w:rFonts w:ascii="Cambria Math" w:hAnsi="Cambria Math"/>
          <w:i/>
          <w:color w:val="003366"/>
          <w:sz w:val="22"/>
        </w:rPr>
      </w:r>
    </w:p>
    <w:p>
      <w:pPr>
        <w:spacing w:before="20" w:after="40" w:line="276" w:lineRule="auto"/>
        <w:ind w:left="360"/>
        <w:widowControl w:val="1"/>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line="276" w:lineRule="auto"/>
        <w:ind w:left="360"/>
        <w:widowControl w:val="1"/>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w:r>
        <w:rPr>
          <w:rFonts w:ascii="Times New Roman" w:hAnsi="Times New Roman"/>
          <w:i/>
          <w:color w:val="003366"/>
          <w:sz w:val="20"/>
        </w:rPr>
        <w:t>ms/sample</w:t>
      </w:r>
      <w:r>
        <w:rPr>
          <w:rFonts w:ascii="Times New Roman" w:hAnsi="Times New Roman"/>
          <w:sz w:val="20"/>
        </w:rPr>
        <w:t>) and framework processing throughput (</w:t>
      </w:r>
      <w:r>
        <w:rPr>
          <w:rFonts w:ascii="Times New Roman" w:hAnsi="Times New Roman"/>
          <w:i/>
          <w:color w:val="003366"/>
          <w:sz w:val="20"/>
        </w:rPr>
        <w:t>samples/sec</w:t>
      </w:r>
      <w:r>
        <w:rPr>
          <w:rFonts w:ascii="Times New Roman" w:hAnsi="Times New Roman"/>
          <w:sz w:val="20"/>
        </w:rPr>
        <w:t>).</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VII. RESULTS &amp; VALIDATION</w:t>
      </w:r>
    </w:p>
    <w:p>
      <w:pPr>
        <w:keepNext/>
        <w:spacing w:before="200" w:after="80" w:line="276" w:lineRule="auto"/>
        <w:widowControl w:val="1"/>
      </w:pPr>
      <w:r>
        <w:rPr>
          <w:rFonts w:ascii="Times New Roman" w:hAnsi="Times New Roman"/>
          <w:b/>
          <w:i/>
          <w:color w:val="333333"/>
          <w:sz w:val="22"/>
        </w:rPr>
        <w:t>A. Distinction Between Framework Validation, Benchmark Validation, and Model Performance</w:t>
      </w:r>
    </w:p>
    <w:p>
      <w:pPr>
        <w:spacing w:before="40" w:after="80" w:line="276" w:lineRule="auto"/>
        <w:widowControl w:val="1"/>
      </w:pPr>
      <w:r>
        <w:rPr>
          <w:rFonts w:ascii="Times New Roman" w:hAnsi="Times New Roman"/>
          <w:sz w:val="20"/>
        </w:rPr>
        <w:t>To ensure complete scientific integrity, we explicitly distinguish between three evaluation dimensions: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line="276" w:lineRule="auto"/>
        <w:widowControl w:val="1"/>
      </w:pPr>
      <w:r>
        <w:rPr>
          <w:rFonts w:ascii="Times New Roman" w:hAnsi="Times New Roman"/>
          <w:b/>
          <w:i/>
          <w:color w:val="333333"/>
          <w:sz w:val="22"/>
        </w:rPr>
        <w:t>B. Framework Execution &amp; System Verification Metrics</w:t>
      </w:r>
    </w:p>
    <w:p>
      <w:pPr>
        <w:spacing w:before="40" w:after="80" w:line="276" w:lineRule="auto"/>
        <w:widowControl w:val="1"/>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widowControl w:val="1"/>
      </w:pPr>
      <w:r>
        <w:rPr>
          <w:rFonts w:ascii="Times New Roman" w:hAnsi="Times New Roman"/>
          <w:b/>
          <w:color w:val="003366"/>
          <w:sz w:val="19"/>
        </w:rPr>
        <w:t>Table 1: Framework Execution Verification Metrics Across Quality Profiles on AU DIC Benchmark v1.0</w:t>
      </w:r>
    </w:p>
    <w:tbl>
      <w:tblPr>
        <w:tblW w:type="auto" w:w="0"/>
        <w:tblLook w:firstColumn="1" w:firstRow="1" w:lastColumn="0" w:lastRow="0" w:noHBand="0" w:noVBand="1" w:val="04A0"/>
        <w:jc w:val="center"/>
        <w:tblBorders>
          <w:top w:val="single" w:sz="12" w:space="0" w:color="003366"/>
          <w:bottom w:val="single" w:sz="12" w:space="0" w:color="003366"/>
          <w:insideH w:val="single" w:sz="4" w:space="0" w:color="CCCCCC"/>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Quality Profile</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Evaluated Samples</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Category Accuracy</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Precision</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Recall</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F1 Score</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Mean CER</w:t>
            </w:r>
          </w:p>
        </w:tc>
        <w:tc>
          <w:tcPr>
            <w:tcW w:type="dxa" w:w="117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shd w:fill="F5F7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shd w:fill="F5F7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widowControl w:val="1"/>
      </w:pPr>
    </w:p>
    <w:p>
      <w:pPr>
        <w:spacing w:before="40" w:after="80" w:line="276" w:lineRule="auto"/>
        <w:widowControl w:val="1"/>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line="276" w:lineRule="auto"/>
        <w:widowControl w:val="1"/>
      </w:pPr>
      <w:r>
        <w:rPr>
          <w:rFonts w:ascii="Times New Roman" w:hAnsi="Times New Roman"/>
          <w:b/>
          <w:i/>
          <w:color w:val="333333"/>
          <w:sz w:val="22"/>
        </w:rPr>
        <w:t>C. System Throughput &amp; Execution Latency</w:t>
      </w:r>
    </w:p>
    <w:p>
      <w:pPr>
        <w:pStyle w:val="ListBullet"/>
        <w:spacing w:before="20" w:after="40"/>
        <w:widowControl w:val="1"/>
      </w:pPr>
      <w:r>
        <w:rPr>
          <w:rFonts w:ascii="Times New Roman" w:hAnsi="Times New Roman"/>
          <w:b/>
          <w:sz w:val="20"/>
        </w:rPr>
        <w:t>Total Samples Evaluated</w:t>
      </w:r>
      <w:r>
        <w:rPr>
          <w:rFonts w:ascii="Times New Roman" w:hAnsi="Times New Roman"/>
          <w:sz w:val="20"/>
        </w:rPr>
        <w:t>: 360</w:t>
      </w:r>
    </w:p>
    <w:p>
      <w:pPr>
        <w:pStyle w:val="ListBullet"/>
        <w:spacing w:before="20" w:after="40"/>
        <w:widowControl w:val="1"/>
      </w:pPr>
      <w:r>
        <w:rPr>
          <w:rFonts w:ascii="Times New Roman" w:hAnsi="Times New Roman"/>
          <w:b/>
          <w:sz w:val="20"/>
        </w:rPr>
        <w:t>Successful / Failed Ratio</w:t>
      </w:r>
      <w:r>
        <w:rPr>
          <w:rFonts w:ascii="Times New Roman" w:hAnsi="Times New Roman"/>
          <w:sz w:val="20"/>
        </w:rPr>
        <w:t>: 360 / 0</w:t>
      </w:r>
    </w:p>
    <w:p>
      <w:pPr>
        <w:pStyle w:val="ListBullet"/>
        <w:spacing w:before="20" w:after="40"/>
        <w:widowControl w:val="1"/>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widowControl w:val="1"/>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widowControl w:val="1"/>
      </w:pPr>
      <w:r>
        <w:rPr>
          <w:rFonts w:ascii="Times New Roman" w:hAnsi="Times New Roman"/>
          <w:b/>
          <w:sz w:val="20"/>
        </w:rPr>
        <w:t>Mean System Processing Latency</w:t>
      </w:r>
      <w:r>
        <w:rPr>
          <w:rFonts w:ascii="Times New Roman" w:hAnsi="Times New Roman"/>
          <w:sz w:val="20"/>
        </w:rPr>
        <w:t>: 4.12 ms/sample (</w:t>
      </w:r>
      <w:r>
        <w:rPr>
          <w:rFonts w:ascii="Times New Roman" w:hAnsi="Times New Roman"/>
          <w:i/>
          <w:color w:val="003366"/>
          <w:sz w:val="20"/>
        </w:rPr>
        <w:t>\sigma = 0.45 ms</w:t>
      </w:r>
      <w:r>
        <w:rPr>
          <w:rFonts w:ascii="Times New Roman" w:hAnsi="Times New Roman"/>
          <w:sz w:val="20"/>
        </w:rPr>
        <w:t>)</w:t>
      </w:r>
    </w:p>
    <w:p>
      <w:pPr>
        <w:keepNext/>
        <w:spacing w:before="200" w:after="80" w:line="276" w:lineRule="auto"/>
        <w:widowControl w:val="1"/>
      </w:pPr>
      <w:r>
        <w:rPr>
          <w:rFonts w:ascii="Times New Roman" w:hAnsi="Times New Roman"/>
          <w:b/>
          <w:i/>
          <w:color w:val="333333"/>
          <w:sz w:val="22"/>
        </w:rPr>
        <w:t>D. Empirical Live Neural Model Evaluation Results</w:t>
      </w:r>
    </w:p>
    <w:p>
      <w:pPr>
        <w:spacing w:before="40" w:after="80" w:line="276" w:lineRule="auto"/>
        <w:widowControl w:val="1"/>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60" w:line="276" w:lineRule="auto"/>
        <w:widowControl w:val="1"/>
      </w:pPr>
      <w:r>
        <w:rPr>
          <w:rFonts w:ascii="Times New Roman" w:hAnsi="Times New Roman"/>
          <w:b/>
          <w:i/>
          <w:sz w:val="21"/>
        </w:rPr>
        <w:t>7.4.1 Inference Pipeline Disambiguation (Option B)</w:t>
      </w:r>
    </w:p>
    <w:p>
      <w:pPr>
        <w:spacing w:before="40" w:after="80" w:line="276" w:lineRule="auto"/>
        <w:widowControl w:val="1"/>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widowControl w:val="1"/>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200" w:before="80"/>
        <w:jc w:val="center"/>
        <w:widowControl w:val="1"/>
      </w:pPr>
      <w:r>
        <w:rPr>
          <w:rFonts w:ascii="Times New Roman" w:hAnsi="Times New Roman"/>
          <w:b/>
          <w:color w:val="003366"/>
          <w:sz w:val="19"/>
        </w:rPr>
        <w:t>Fig. 2. Option B Zero-Shot Text-Prompted Neural LLM Evaluation Pipeline Architecture.</w:t>
      </w:r>
    </w:p>
    <w:p>
      <w:pPr>
        <w:spacing w:before="40" w:after="80" w:line="276" w:lineRule="auto"/>
        <w:widowControl w:val="1"/>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widowControl w:val="1"/>
      </w:pPr>
      <w:r>
        <w:rPr>
          <w:rFonts w:ascii="Times New Roman" w:hAnsi="Times New Roman"/>
          <w:b/>
          <w:color w:val="003366"/>
          <w:sz w:val="19"/>
        </w:rPr>
        <w:t>Table 2: Live Model Extraction &amp; Classification Performance (Groq Llama 3.1 8B Instant)</w:t>
      </w:r>
    </w:p>
    <w:tbl>
      <w:tblPr>
        <w:tblW w:type="auto" w:w="0"/>
        <w:tblLook w:firstColumn="1" w:firstRow="1" w:lastColumn="0" w:lastRow="0" w:noHBand="0" w:noVBand="1" w:val="04A0"/>
        <w:jc w:val="center"/>
        <w:tblBorders>
          <w:top w:val="single" w:sz="12" w:space="0" w:color="003366"/>
          <w:bottom w:val="single" w:sz="12" w:space="0" w:color="003366"/>
          <w:insideH w:val="single" w:sz="4" w:space="0" w:color="CCCCCC"/>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Quality Profile</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Evaluated Samples</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Category Accuracy</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Field Precision</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Field Recall</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Field F1 Score</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Mean CER</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Mean WER</w:t>
            </w:r>
          </w:p>
        </w:tc>
        <w:tc>
          <w:tcPr>
            <w:tcW w:type="dxa" w:w="1040"/>
            <w:tcMar>
              <w:top w:w="100" w:type="dxa"/>
              <w:bottom w:w="100" w:type="dxa"/>
              <w:left w:w="130" w:type="dxa"/>
              <w:right w:w="130" w:type="dxa"/>
            </w:tcMar>
            <w:shd w:fill="003366"/>
            <w:shd w:fill="003366"/>
          </w:tcPr>
          <w:p>
            <w:pPr>
              <w:spacing w:before="40" w:after="40"/>
              <w:jc w:val="center"/>
            </w:pPr>
            <w:r>
              <w:rPr>
                <w:rFonts w:ascii="Times New Roman" w:hAnsi="Times New Roman"/>
                <w:b/>
                <w:color w:val="FFFFFF"/>
                <w:sz w:val="18"/>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shd w:fill="F5F7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shd w:fill="F5F7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shd w:fill="F5F7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widowControl w:val="1"/>
      </w:pPr>
    </w:p>
    <w:p>
      <w:pPr>
        <w:keepNext/>
        <w:spacing w:before="160" w:after="40" w:line="276" w:lineRule="auto"/>
        <w:widowControl w:val="1"/>
      </w:pPr>
      <w:r>
        <w:rPr>
          <w:rFonts w:ascii="Times New Roman" w:hAnsi="Times New Roman"/>
          <w:b/>
          <w:i/>
          <w:sz w:val="21"/>
        </w:rPr>
        <w:t>Empirical Analysis of Discovered Sub-Task Metrics: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line="276" w:lineRule="auto"/>
        <w:ind w:left="360"/>
        <w:widowControl w:val="1"/>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VIII. DISCUSSION, THREATS TO VALIDITY &amp; LIMITATIONS</w:t>
      </w:r>
    </w:p>
    <w:p>
      <w:pPr>
        <w:keepNext/>
        <w:spacing w:before="200" w:after="80" w:line="276" w:lineRule="auto"/>
        <w:widowControl w:val="1"/>
      </w:pPr>
      <w:r>
        <w:rPr>
          <w:rFonts w:ascii="Times New Roman" w:hAnsi="Times New Roman"/>
          <w:b/>
          <w:i/>
          <w:color w:val="333333"/>
          <w:sz w:val="22"/>
        </w:rPr>
        <w:t>A. Discussion of Findings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line="276" w:lineRule="auto"/>
        <w:widowControl w:val="1"/>
      </w:pPr>
      <w:r>
        <w:rPr>
          <w:rFonts w:ascii="Times New Roman" w:hAnsi="Times New Roman"/>
          <w:b/>
          <w:i/>
          <w:color w:val="333333"/>
          <w:sz w:val="22"/>
        </w:rPr>
        <w:t>B. Threats to Validity</w:t>
      </w:r>
    </w:p>
    <w:p>
      <w:pPr>
        <w:pStyle w:val="ListBullet"/>
        <w:spacing w:before="20" w:after="40"/>
        <w:widowControl w:val="1"/>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widowControl w:val="1"/>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widowControl w:val="1"/>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line="276" w:lineRule="auto"/>
        <w:widowControl w:val="1"/>
      </w:pPr>
      <w:r>
        <w:rPr>
          <w:rFonts w:ascii="Times New Roman" w:hAnsi="Times New Roman"/>
          <w:b/>
          <w:i/>
          <w:color w:val="333333"/>
          <w:sz w:val="22"/>
        </w:rPr>
        <w:t>C. Detailed Limitations Analysis</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IX. FUTURE WORK</w:t>
      </w:r>
    </w:p>
    <w:p>
      <w:pPr>
        <w:spacing w:before="40" w:after="80" w:line="276" w:lineRule="auto"/>
        <w:widowControl w:val="1"/>
      </w:pPr>
      <w:r>
        <w:rPr>
          <w:rFonts w:ascii="Times New Roman" w:hAnsi="Times New Roman"/>
          <w:sz w:val="20"/>
        </w:rPr>
        <w:t>Future research directions include:</w:t>
      </w:r>
    </w:p>
    <w:p>
      <w:pPr>
        <w:spacing w:before="20" w:after="40" w:line="276" w:lineRule="auto"/>
        <w:ind w:left="360"/>
        <w:widowControl w:val="1"/>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line="276" w:lineRule="auto"/>
        <w:ind w:left="360"/>
        <w:widowControl w:val="1"/>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80" w:after="80" w:line="276" w:lineRule="auto"/>
        <w:widowControl w:val="1"/>
      </w:pPr>
      <w:r>
        <w:rPr>
          <w:rFonts w:ascii="Times New Roman" w:hAnsi="Times New Roman"/>
          <w:sz w:val="20"/>
        </w:rPr>
      </w:r>
    </w:p>
    <w:p>
      <w:pPr>
        <w:keepNext/>
        <w:spacing w:before="320" w:after="160" w:line="276" w:lineRule="auto"/>
        <w:jc w:val="left"/>
        <w:widowControl w:val="1"/>
      </w:pPr>
      <w:r>
        <w:rPr>
          <w:rFonts w:ascii="Times New Roman" w:hAnsi="Times New Roman"/>
          <w:b/>
          <w:color w:val="003366"/>
          <w:sz w:val="26"/>
        </w:rPr>
        <w:t>X. CONCLUSION</w:t>
      </w:r>
    </w:p>
    <w:p>
      <w:pPr>
        <w:spacing w:before="40" w:after="80" w:line="276" w:lineRule="auto"/>
        <w:widowControl w:val="1"/>
      </w:pPr>
      <w:r>
        <w:rPr>
          <w:rFonts w:ascii="Times New Roman" w:hAnsi="Times New Roman"/>
          <w:sz w:val="20"/>
        </w:rPr>
        <w:t xml:space="preserve">In this paper, we presented </w:t>
      </w:r>
      <w:r>
        <w:rPr>
          <w:rFonts w:ascii="Times New Roman" w:hAnsi="Times New Roman"/>
          <w:b/>
          <w:sz w:val="20"/>
        </w:rPr>
        <w:t>ADBG v1.0</w:t>
      </w:r>
      <w:r>
        <w:rPr>
          <w:rFonts w:ascii="Times New Roman" w:hAnsi="Times New Roman"/>
          <w:sz w:val="20"/>
        </w:rPr>
        <w:t xml:space="preserve"> and the </w:t>
      </w:r>
      <w:r>
        <w:rPr>
          <w:rFonts w:ascii="Times New Roman" w:hAnsi="Times New Roman"/>
          <w:b/>
          <w:sz w:val="20"/>
        </w:rPr>
        <w:t>AU DIC Benchmark Evaluation Framework v1.0</w:t>
      </w:r>
      <w:r>
        <w:rPr>
          <w:rFonts w:ascii="Times New Roman" w:hAnsi="Times New Roman"/>
          <w:sz w:val="20"/>
        </w:rPr>
        <w:t xml:space="preserve"> for evaluating academic document intelligence systems. The framework incorporates a seed-deterministic synthetic data generator, a six-stage semantic canonical normalization layer, and a nine-class structured OCR error taxonomy. Live neural model inference over 360 specimens using Groq Cloud Llama 3.1 8B Instant demonstrated a 100.00% Field Extraction F1 score and uncovered a prompt-constraint failure mode in zero-shot category classification. This work establishes a privacy-safe, reproducible foundation for academic document analysis research.</w:t>
      </w:r>
    </w:p>
    <w:p>
      <w:pPr>
        <w:spacing w:before="80" w:after="80" w:line="276" w:lineRule="auto"/>
        <w:widowControl w:val="1"/>
      </w:pPr>
      <w:r>
        <w:rPr>
          <w:rFonts w:ascii="Times New Roman" w:hAnsi="Times New Roman"/>
          <w:sz w:val="20"/>
        </w:rPr>
      </w:r>
    </w:p>
    <w:p>
      <w:pPr>
        <w:keepNext/>
        <w:spacing w:before="280" w:after="120"/>
        <w:widowControl w:val="1"/>
      </w:pPr>
      <w:r>
        <w:rPr>
          <w:rFonts w:ascii="Times New Roman" w:hAnsi="Times New Roman"/>
          <w:b/>
          <w:color w:val="003366"/>
          <w:sz w:val="24"/>
        </w:rPr>
        <w:t>Ethics &amp; Privacy Statement</w:t>
      </w:r>
    </w:p>
    <w:p>
      <w:pPr>
        <w:spacing w:before="40" w:after="80" w:line="276" w:lineRule="auto"/>
        <w:widowControl w:val="1"/>
      </w:pPr>
      <w:r>
        <w:rPr>
          <w:rFonts w:ascii="Times New Roman" w:hAnsi="Times New Roman"/>
          <w:sz w:val="20"/>
        </w:rPr>
        <w:t>All document specimens generated by ADBG v1.0 utilize fictional student names, candidate identifiers, and institutional titles. No authentic student records or personal data were used, ensuring full compliance with FERPA and GDPR privacy regulations.</w:t>
      </w:r>
    </w:p>
    <w:p>
      <w:pPr>
        <w:spacing w:before="80" w:after="80" w:line="276" w:lineRule="auto"/>
        <w:widowControl w:val="1"/>
      </w:pPr>
      <w:r>
        <w:rPr>
          <w:rFonts w:ascii="Times New Roman" w:hAnsi="Times New Roman"/>
          <w:sz w:val="20"/>
        </w:rPr>
      </w:r>
    </w:p>
    <w:p>
      <w:pPr>
        <w:keepNext/>
        <w:spacing w:before="280" w:after="120"/>
        <w:widowControl w:val="1"/>
      </w:pPr>
      <w:r>
        <w:rPr>
          <w:rFonts w:ascii="Times New Roman" w:hAnsi="Times New Roman"/>
          <w:b/>
          <w:color w:val="003366"/>
          <w:sz w:val="24"/>
        </w:rPr>
        <w:t>Appendix A: Reproducibility Specifications</w:t>
      </w:r>
    </w:p>
    <w:p>
      <w:pPr>
        <w:pStyle w:val="ListBullet"/>
        <w:spacing w:before="20" w:after="40"/>
        <w:widowControl w:val="1"/>
      </w:pPr>
      <w:r>
        <w:rPr>
          <w:rFonts w:ascii="Times New Roman" w:hAnsi="Times New Roman"/>
          <w:b/>
          <w:sz w:val="20"/>
        </w:rPr>
        <w:t>Dataset SHA-256 Hash</w:t>
      </w:r>
      <w:r>
        <w:rPr>
          <w:rFonts w:ascii="Times New Roman" w:hAnsi="Times New Roman"/>
          <w:sz w:val="20"/>
        </w:rPr>
        <w:t>: 17c136ef76dd0f82</w:t>
      </w:r>
    </w:p>
    <w:p>
      <w:pPr>
        <w:pStyle w:val="ListBullet"/>
        <w:spacing w:before="20" w:after="40"/>
        <w:widowControl w:val="1"/>
      </w:pPr>
      <w:r>
        <w:rPr>
          <w:rFonts w:ascii="Times New Roman" w:hAnsi="Times New Roman"/>
          <w:b/>
          <w:sz w:val="20"/>
        </w:rPr>
        <w:t>Git Commit Hash</w:t>
      </w:r>
      <w:r>
        <w:rPr>
          <w:rFonts w:ascii="Times New Roman" w:hAnsi="Times New Roman"/>
          <w:sz w:val="20"/>
        </w:rPr>
        <w:t>: 823334b</w:t>
      </w:r>
    </w:p>
    <w:p>
      <w:pPr>
        <w:pStyle w:val="ListBullet"/>
        <w:spacing w:before="20" w:after="40"/>
        <w:widowControl w:val="1"/>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widowControl w:val="1"/>
      </w:pPr>
      <w:r>
        <w:rPr>
          <w:rFonts w:ascii="Times New Roman" w:hAnsi="Times New Roman"/>
          <w:b/>
          <w:sz w:val="20"/>
        </w:rPr>
        <w:t>Report Directory</w:t>
      </w:r>
      <w:r>
        <w:rPr>
          <w:rFonts w:ascii="Times New Roman" w:hAnsi="Times New Roman"/>
          <w:sz w:val="20"/>
        </w:rPr>
        <w:t>: backend/benchmark_reports/run_1785796639905/</w:t>
      </w:r>
    </w:p>
    <w:p>
      <w:pPr>
        <w:spacing w:before="80" w:after="80" w:line="276" w:lineRule="auto"/>
        <w:widowControl w:val="1"/>
      </w:pPr>
      <w:r>
        <w:rPr>
          <w:rFonts w:ascii="Times New Roman" w:hAnsi="Times New Roman"/>
          <w:sz w:val="20"/>
        </w:rPr>
      </w:r>
    </w:p>
    <w:p>
      <w:pPr>
        <w:keepNext/>
        <w:spacing w:before="280" w:after="120"/>
        <w:widowControl w:val="1"/>
      </w:pPr>
      <w:r>
        <w:rPr>
          <w:rFonts w:ascii="Times New Roman" w:hAnsi="Times New Roman"/>
          <w:b/>
          <w:color w:val="003366"/>
          <w:sz w:val="24"/>
        </w:rPr>
        <w:t>Appendix B: Technical Clarifications &amp; Reviewer Inquiries</w:t>
      </w:r>
    </w:p>
    <w:p>
      <w:pPr>
        <w:keepNext/>
        <w:spacing w:before="200" w:after="80"/>
        <w:widowControl w:val="1"/>
      </w:pPr>
      <w:r>
        <w:rPr>
          <w:rFonts w:ascii="Times New Roman" w:hAnsi="Times New Roman"/>
          <w:b/>
          <w:color w:val="333333"/>
          <w:sz w:val="23"/>
        </w:rPr>
        <w:t>B.1 CanonicalNormalizer Fallback Behavior</w:t>
      </w:r>
    </w:p>
    <w:p>
      <w:pPr>
        <w:spacing w:before="40" w:after="80" w:line="276" w:lineRule="auto"/>
        <w:widowControl w:val="1"/>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widowControl w:val="1"/>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widowControl w:val="1"/>
      </w:pPr>
      <w:r>
        <w:rPr>
          <w:rFonts w:ascii="Times New Roman" w:hAnsi="Times New Roman"/>
          <w:b/>
          <w:color w:val="333333"/>
          <w:sz w:val="23"/>
        </w:rPr>
        <w:t>B.2 Scalability Beyond 360 Samples</w:t>
      </w:r>
    </w:p>
    <w:p>
      <w:pPr>
        <w:spacing w:before="40" w:after="80" w:line="276" w:lineRule="auto"/>
        <w:widowControl w:val="1"/>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widowControl w:val="1"/>
      </w:pPr>
      <w:r>
        <w:rPr>
          <w:rFonts w:ascii="Times New Roman" w:hAnsi="Times New Roman"/>
          <w:i/>
          <w:sz w:val="20"/>
        </w:rPr>
        <w:t>Answer</w:t>
      </w:r>
      <w:r>
        <w:rPr>
          <w:rFonts w:ascii="Times New Roman" w:hAnsi="Times New Roman"/>
          <w:sz w:val="20"/>
        </w:rPr>
        <w:t xml:space="preserve">: BenchmarkRunner implements </w:t>
      </w:r>
      <w:r>
        <w:rPr>
          <w:rFonts w:ascii="Cambria Math" w:hAnsi="Cambria Math"/>
          <w:i/>
          <w:color w:val="003366"/>
          <w:sz w:val="20"/>
        </w:rPr>
        <w:t>O(N)</w:t>
      </w:r>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80" w:after="80" w:line="276" w:lineRule="auto"/>
        <w:widowControl w:val="1"/>
      </w:pPr>
      <w:r>
        <w:rPr>
          <w:rFonts w:ascii="Times New Roman" w:hAnsi="Times New Roman"/>
          <w:sz w:val="20"/>
        </w:rPr>
      </w:r>
    </w:p>
    <w:p>
      <w:pPr>
        <w:keepNext/>
        <w:spacing w:before="320" w:after="160"/>
        <w:widowControl w:val="1"/>
      </w:pPr>
      <w:r>
        <w:rPr>
          <w:rFonts w:ascii="Times New Roman" w:hAnsi="Times New Roman"/>
          <w:b/>
          <w:color w:val="003366"/>
          <w:sz w:val="26"/>
        </w:rPr>
        <w:t>References</w:t>
      </w:r>
    </w:p>
    <w:p>
      <w:pPr>
        <w:spacing w:before="40" w:after="60"/>
        <w:ind w:left="432" w:hanging="432"/>
        <w:widowControl w:val="1"/>
      </w:pPr>
      <w:r>
        <w:rPr>
          <w:rFonts w:ascii="Times New Roman" w:hAnsi="Times New Roman"/>
          <w:b/>
          <w:sz w:val="18"/>
        </w:rPr>
        <w:t xml:space="preserve">[1] </w:t>
      </w:r>
      <w:r>
        <w:rPr>
          <w:rFonts w:ascii="Times New Roman" w:hAnsi="Times New Roman"/>
          <w:sz w:val="18"/>
        </w:rPr>
        <w:t xml:space="preserve">Harley, A. W., Ufkes, A., &amp; Bamford, R. (2015). Evaluation of deep convolutional nets for document image classification. </w:t>
      </w:r>
      <w:r>
        <w:rPr>
          <w:rFonts w:ascii="Times New Roman" w:hAnsi="Times New Roman"/>
          <w:i/>
          <w:sz w:val="18"/>
        </w:rPr>
        <w:t>International Conference on Document Analysis and Recognition (ICDAR)</w:t>
      </w:r>
      <w:r>
        <w:rPr>
          <w:rFonts w:ascii="Times New Roman" w:hAnsi="Times New Roman"/>
          <w:sz w:val="18"/>
        </w:rPr>
        <w:t>, 991-995.</w:t>
      </w:r>
    </w:p>
    <w:p>
      <w:pPr>
        <w:spacing w:before="40" w:after="60"/>
        <w:ind w:left="432" w:hanging="432"/>
        <w:widowControl w:val="1"/>
      </w:pPr>
      <w:r>
        <w:rPr>
          <w:rFonts w:ascii="Times New Roman" w:hAnsi="Times New Roman"/>
          <w:b/>
          <w:sz w:val="18"/>
        </w:rPr>
        <w:t xml:space="preserve">[2] </w:t>
      </w:r>
      <w:r>
        <w:rPr>
          <w:rFonts w:ascii="Times New Roman" w:hAnsi="Times New Roman"/>
          <w:sz w:val="18"/>
        </w:rPr>
        <w:t xml:space="preserve">Huang, Z., Chen, K., He, J., Bai, X., Karatzas, D., Lu, S., &amp; Jawahar, C. V. (2019). ICDAR2019 competition on scanned receipts information extraction (SROIE). </w:t>
      </w:r>
      <w:r>
        <w:rPr>
          <w:rFonts w:ascii="Times New Roman" w:hAnsi="Times New Roman"/>
          <w:i/>
          <w:sz w:val="18"/>
        </w:rPr>
        <w:t>ICDAR</w:t>
      </w:r>
      <w:r>
        <w:rPr>
          <w:rFonts w:ascii="Times New Roman" w:hAnsi="Times New Roman"/>
          <w:sz w:val="18"/>
        </w:rPr>
        <w:t>, 1516-1520.</w:t>
      </w:r>
    </w:p>
    <w:p>
      <w:pPr>
        <w:spacing w:before="40" w:after="60"/>
        <w:ind w:left="432" w:hanging="432"/>
        <w:widowControl w:val="1"/>
      </w:pPr>
      <w:r>
        <w:rPr>
          <w:rFonts w:ascii="Times New Roman" w:hAnsi="Times New Roman"/>
          <w:b/>
          <w:sz w:val="18"/>
        </w:rPr>
        <w:t xml:space="preserve">[3] </w:t>
      </w:r>
      <w:r>
        <w:rPr>
          <w:rFonts w:ascii="Times New Roman" w:hAnsi="Times New Roman"/>
          <w:sz w:val="18"/>
        </w:rPr>
        <w:t xml:space="preserve">Huang, Y., Lv, T., Cui, L., Lu, Y., &amp; Wei, F. (2022). LayoutLMv3: Pre-training for document AI with unified text and image masking. </w:t>
      </w:r>
      <w:r>
        <w:rPr>
          <w:rFonts w:ascii="Times New Roman" w:hAnsi="Times New Roman"/>
          <w:i/>
          <w:sz w:val="18"/>
        </w:rPr>
        <w:t>ACM MM</w:t>
      </w:r>
      <w:r>
        <w:rPr>
          <w:rFonts w:ascii="Times New Roman" w:hAnsi="Times New Roman"/>
          <w:sz w:val="18"/>
        </w:rPr>
        <w:t>, 4083-4091.</w:t>
      </w:r>
    </w:p>
    <w:p>
      <w:pPr>
        <w:spacing w:before="40" w:after="60"/>
        <w:ind w:left="432" w:hanging="432"/>
        <w:widowControl w:val="1"/>
      </w:pPr>
      <w:r>
        <w:rPr>
          <w:rFonts w:ascii="Times New Roman" w:hAnsi="Times New Roman"/>
          <w:b/>
          <w:sz w:val="18"/>
        </w:rPr>
        <w:t xml:space="preserve">[4] </w:t>
      </w:r>
      <w:r>
        <w:rPr>
          <w:rFonts w:ascii="Times New Roman" w:hAnsi="Times New Roman"/>
          <w:sz w:val="18"/>
        </w:rPr>
        <w:t xml:space="preserve">Jaume, G., Ekenel, H. K., &amp; Thiran, J. P. (2019). FUNSD: A dataset for form understanding in noisy scanned documents. </w:t>
      </w:r>
      <w:r>
        <w:rPr>
          <w:rFonts w:ascii="Times New Roman" w:hAnsi="Times New Roman"/>
          <w:i/>
          <w:sz w:val="18"/>
        </w:rPr>
        <w:t>ICDAR Workshops</w:t>
      </w:r>
      <w:r>
        <w:rPr>
          <w:rFonts w:ascii="Times New Roman" w:hAnsi="Times New Roman"/>
          <w:sz w:val="18"/>
        </w:rPr>
        <w:t>, 56-61.</w:t>
      </w:r>
    </w:p>
    <w:p>
      <w:pPr>
        <w:spacing w:before="40" w:after="60"/>
        <w:ind w:left="432" w:hanging="432"/>
        <w:widowControl w:val="1"/>
      </w:pPr>
      <w:r>
        <w:rPr>
          <w:rFonts w:ascii="Times New Roman" w:hAnsi="Times New Roman"/>
          <w:b/>
          <w:sz w:val="18"/>
        </w:rPr>
        <w:t xml:space="preserve">[5] </w:t>
      </w:r>
      <w:r>
        <w:rPr>
          <w:rFonts w:ascii="Times New Roman" w:hAnsi="Times New Roman"/>
          <w:sz w:val="18"/>
        </w:rPr>
        <w:t xml:space="preserve">Kim, G., Hong, T., Yim, M., Nam, J., Park, J., Yim, J., Hwang, S., Yun, S., Han, D., &amp; Park, S. (2022). OCR-free document understanding transformer. </w:t>
      </w:r>
      <w:r>
        <w:rPr>
          <w:rFonts w:ascii="Times New Roman" w:hAnsi="Times New Roman"/>
          <w:i/>
          <w:sz w:val="18"/>
        </w:rPr>
        <w:t>ECCV</w:t>
      </w:r>
      <w:r>
        <w:rPr>
          <w:rFonts w:ascii="Times New Roman" w:hAnsi="Times New Roman"/>
          <w:sz w:val="18"/>
        </w:rPr>
        <w:t>, 498-517.</w:t>
      </w:r>
    </w:p>
    <w:p>
      <w:pPr>
        <w:spacing w:before="40" w:after="60"/>
        <w:ind w:left="432" w:hanging="432"/>
        <w:widowControl w:val="1"/>
      </w:pPr>
      <w:r>
        <w:rPr>
          <w:rFonts w:ascii="Times New Roman" w:hAnsi="Times New Roman"/>
          <w:b/>
          <w:sz w:val="18"/>
        </w:rPr>
        <w:t xml:space="preserve">[6] </w:t>
      </w:r>
      <w:r>
        <w:rPr>
          <w:rFonts w:ascii="Times New Roman" w:hAnsi="Times New Roman"/>
          <w:sz w:val="18"/>
        </w:rPr>
        <w:t xml:space="preserve">Li, M., Lv, T., Cui, L., Lu, Y., Florencio, D., Zhang, C., Li, Z., &amp; Wei, F. (2023). TrOCR: Transformer-based optical character recognition with pre-trained models. </w:t>
      </w:r>
      <w:r>
        <w:rPr>
          <w:rFonts w:ascii="Times New Roman" w:hAnsi="Times New Roman"/>
          <w:i/>
          <w:sz w:val="18"/>
        </w:rPr>
        <w:t>AAAI</w:t>
      </w:r>
      <w:r>
        <w:rPr>
          <w:rFonts w:ascii="Times New Roman" w:hAnsi="Times New Roman"/>
          <w:sz w:val="18"/>
        </w:rPr>
        <w:t>, 13094-13102.</w:t>
      </w:r>
    </w:p>
    <w:p>
      <w:pPr>
        <w:spacing w:before="40" w:after="60"/>
        <w:ind w:left="432" w:hanging="432"/>
        <w:widowControl w:val="1"/>
      </w:pPr>
      <w:r>
        <w:rPr>
          <w:rFonts w:ascii="Times New Roman" w:hAnsi="Times New Roman"/>
          <w:b/>
          <w:sz w:val="18"/>
        </w:rPr>
        <w:t xml:space="preserve">[7] </w:t>
      </w:r>
      <w:r>
        <w:rPr>
          <w:rFonts w:ascii="Times New Roman" w:hAnsi="Times New Roman"/>
          <w:sz w:val="18"/>
        </w:rPr>
        <w:t xml:space="preserve">Mathew, M., Karatzas, D., &amp; Jawahar, C. V. (2021). DocVQA: A dataset for VQA on document images. </w:t>
      </w:r>
      <w:r>
        <w:rPr>
          <w:rFonts w:ascii="Times New Roman" w:hAnsi="Times New Roman"/>
          <w:i/>
          <w:sz w:val="18"/>
        </w:rPr>
        <w:t>WACV</w:t>
      </w:r>
      <w:r>
        <w:rPr>
          <w:rFonts w:ascii="Times New Roman" w:hAnsi="Times New Roman"/>
          <w:sz w:val="18"/>
        </w:rPr>
        <w:t>, 2200-2209.</w:t>
      </w:r>
    </w:p>
    <w:p>
      <w:pPr>
        <w:spacing w:before="40" w:after="60"/>
        <w:ind w:left="432" w:hanging="432"/>
        <w:widowControl w:val="1"/>
      </w:pPr>
      <w:r>
        <w:rPr>
          <w:rFonts w:ascii="Times New Roman" w:hAnsi="Times New Roman"/>
          <w:b/>
          <w:sz w:val="18"/>
        </w:rPr>
        <w:t xml:space="preserve">[8] </w:t>
      </w:r>
      <w:r>
        <w:rPr>
          <w:rFonts w:ascii="Times New Roman" w:hAnsi="Times New Roman"/>
          <w:sz w:val="18"/>
        </w:rPr>
        <w:t xml:space="preserve">Park, S., Shin, S., Lee, B., Lee, J., Surh, J., Seo, M., &amp; Baek, H. (2019). CORD: A consolidated receipt dataset for post-OCR parsing. </w:t>
      </w:r>
      <w:r>
        <w:rPr>
          <w:rFonts w:ascii="Times New Roman" w:hAnsi="Times New Roman"/>
          <w:i/>
          <w:sz w:val="18"/>
        </w:rPr>
        <w:t>NeurIPS Workshop</w:t>
      </w:r>
      <w:r>
        <w:rPr>
          <w:rFonts w:ascii="Times New Roman" w:hAnsi="Times New Roman"/>
          <w:sz w:val="18"/>
        </w:rPr>
        <w:t>.</w:t>
      </w:r>
    </w:p>
    <w:p>
      <w:pPr>
        <w:spacing w:before="40" w:after="60"/>
        <w:ind w:left="432" w:hanging="432"/>
        <w:widowControl w:val="1"/>
      </w:pPr>
      <w:r>
        <w:rPr>
          <w:rFonts w:ascii="Times New Roman" w:hAnsi="Times New Roman"/>
          <w:b/>
          <w:sz w:val="18"/>
        </w:rPr>
        <w:t xml:space="preserve">[9] </w:t>
      </w:r>
      <w:r>
        <w:rPr>
          <w:rFonts w:ascii="Times New Roman" w:hAnsi="Times New Roman"/>
          <w:sz w:val="18"/>
        </w:rPr>
        <w:t xml:space="preserve">Xiao, T., et al. (2024). Florence-2: Advancing a unified representation for vision tasks. </w:t>
      </w:r>
      <w:r>
        <w:rPr>
          <w:rFonts w:ascii="Times New Roman" w:hAnsi="Times New Roman"/>
          <w:i/>
          <w:sz w:val="18"/>
        </w:rPr>
        <w:t>CVPR</w:t>
      </w:r>
      <w:r>
        <w:rPr>
          <w:rFonts w:ascii="Times New Roman" w:hAnsi="Times New Roman"/>
          <w:sz w:val="18"/>
        </w:rPr>
        <w:t>.</w:t>
      </w:r>
    </w:p>
    <w:sectPr w:rsidR="00FC693F" w:rsidRPr="0006063C" w:rsidSect="00034616">
      <w:footerReference w:type="default" r:id="rId9"/>
      <w:head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