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pPr>
        <w:spacing w:before="40" w:after="80" w:line="276" w:lineRule="auto"/>
      </w:pPr>
      <w:r>
        <w:rPr>
          <w:rFonts w:ascii="Times New Roman" w:hAnsi="Times New Roman"/>
          <w:b/>
          <w:sz w:val="20"/>
        </w:rPr>
        <w:t>Authors</w:t>
      </w:r>
      <w:r>
        <w:rPr>
          <w:rFonts w:ascii="Times New Roman" w:hAnsi="Times New Roman"/>
          <w:sz w:val="20"/>
        </w:rPr>
        <w:t>: AU DIC Research Team</w:t>
      </w:r>
    </w:p>
    <w:p>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Abstract</w:t>
      </w:r>
    </w:p>
    <w:p>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 (FERPA, GDPR) 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privacy-compliant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pPr>
        <w:spacing w:before="40" w:after="80" w:line="276" w:lineRule="auto"/>
      </w:pPr>
      <w:r>
        <w:rPr>
          <w:rFonts w:ascii="Times New Roman" w:hAnsi="Times New Roman"/>
          <w:sz w:val="20"/>
        </w:rPr>
        <w:t>We evaluate the benchmark suite across 360 specimens (</w:t>
      </w:r>
      <w:r>
        <w:rPr>
          <w:rFonts w:ascii="Cambria Math" w:hAnsi="Cambria Math"/>
          <w:i/>
          <w:color w:val="003366"/>
          <w:sz w:val="20"/>
        </w:rPr>
        <w:t>3  categories  x  30  instances  x  4  degradation profiles</w:t>
      </w:r>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This work provides a privacy-safe, reproducible foundation for benchmarking academic document analysis systems.</w:t>
      </w:r>
    </w:p>
    <w:p>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Privacy-Safe AI.</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1. Introduction</w:t>
      </w:r>
    </w:p>
    <w:p>
      <w:pPr>
        <w:keepNext/>
        <w:spacing w:before="200" w:after="80"/>
      </w:pPr>
      <w:r>
        <w:rPr>
          <w:rFonts w:ascii="Times New Roman" w:hAnsi="Times New Roman"/>
          <w:b/>
          <w:color w:val="333333"/>
          <w:sz w:val="23"/>
        </w:rPr>
        <w:t>1.1 Background &amp; Motivation</w:t>
      </w:r>
    </w:p>
    <w:p>
      <w:pPr>
        <w:spacing w:before="40" w:after="80" w:line="276" w:lineRule="auto"/>
      </w:pPr>
      <w:r>
        <w:rPr>
          <w:rFonts w:ascii="Times New Roman" w:hAnsi="Times New Roman"/>
          <w:sz w:val="20"/>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pPr>
        <w:spacing w:before="40" w:after="80" w:line="276" w:lineRule="auto"/>
      </w:pPr>
      <w:r>
        <w:rPr>
          <w:rFonts w:ascii="Times New Roman" w:hAnsi="Times New Roman"/>
          <w:sz w:val="20"/>
        </w:rPr>
        <w:t>Despite recent advances in Large Language Models (LLMs) and Vision-Language Models (VLMs), benchmarking document extraction algorithms on academic records presents fundamental methodological obstacles:</w:t>
      </w:r>
    </w:p>
    <w:p>
      <w:pPr>
        <w:spacing w:before="20" w:after="40"/>
        <w:ind w:left="360"/>
      </w:pPr>
      <w:r>
        <w:rPr>
          <w:rFonts w:ascii="Times New Roman" w:hAnsi="Times New Roman"/>
          <w:b/>
          <w:sz w:val="20"/>
        </w:rPr>
        <w:t xml:space="preserve">1. </w:t>
      </w:r>
      <w:r>
        <w:rPr>
          <w:rFonts w:ascii="Times New Roman" w:hAnsi="Times New Roman"/>
          <w:b/>
          <w:sz w:val="20"/>
        </w:rPr>
        <w:t>Privacy &amp; Regulatory Barriers</w:t>
      </w:r>
      <w:r>
        <w:rPr>
          <w:rFonts w:ascii="Times New Roman" w:hAnsi="Times New Roman"/>
          <w:sz w:val="20"/>
        </w:rPr>
        <w:t>: Privacy laws such as the Family Educational Rights and Privacy Act (FERPA) in the United States and the General Data Protection Regulation (GDPR) in the European Union prohibit public sharing of authentic student academic records.</w:t>
      </w:r>
    </w:p>
    <w:p>
      <w:pPr>
        <w:spacing w:before="20" w:after="40"/>
        <w:ind w:left="360"/>
      </w:pPr>
      <w:r>
        <w:rPr>
          <w:rFonts w:ascii="Times New Roman" w:hAnsi="Times New Roman"/>
          <w:b/>
          <w:sz w:val="20"/>
        </w:rPr>
        <w:t xml:space="preserve">2. </w:t>
      </w:r>
      <w:r>
        <w:rPr>
          <w:rFonts w:ascii="Times New Roman" w:hAnsi="Times New Roman"/>
          <w:b/>
          <w:sz w:val="20"/>
        </w:rPr>
        <w:t>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w:t>
      </w:r>
    </w:p>
    <w:p>
      <w:pPr>
        <w:spacing w:before="20" w:after="40"/>
        <w:ind w:left="360"/>
      </w:pPr>
      <w:r>
        <w:rPr>
          <w:rFonts w:ascii="Times New Roman" w:hAnsi="Times New Roman"/>
          <w:b/>
          <w:sz w:val="20"/>
        </w:rPr>
        <w:t xml:space="preserve">3. </w:t>
      </w:r>
      <w:r>
        <w:rPr>
          <w:rFonts w:ascii="Times New Roman" w:hAnsi="Times New Roman"/>
          <w:b/>
          <w:sz w:val="20"/>
        </w:rPr>
        <w:t>Superficial Formatting Discrepancies</w:t>
      </w:r>
      <w:r>
        <w:rPr>
          <w:rFonts w:ascii="Times New Roman" w:hAnsi="Times New Roman"/>
          <w:sz w:val="20"/>
        </w:rPr>
        <w:t>: Standard string comparison metrics (e.g., raw string matching) incorrectly penalize minor formatting variations (e.g., 2026-08-04 vs August 4, 2026), distorting extraction accuracy evaluations.</w:t>
      </w:r>
    </w:p>
    <w:p>
      <w:pPr>
        <w:keepNext/>
        <w:spacing w:before="200" w:after="80"/>
      </w:pPr>
      <w:r>
        <w:rPr>
          <w:rFonts w:ascii="Times New Roman" w:hAnsi="Times New Roman"/>
          <w:b/>
          <w:color w:val="333333"/>
          <w:sz w:val="23"/>
        </w:rPr>
        <w:t>1.2 Research Objectives</w:t>
      </w:r>
    </w:p>
    <w:p>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Specifically, we focus on:</w:t>
      </w:r>
    </w:p>
    <w:p>
      <w:pPr>
        <w:pStyle w:val="ListBullet"/>
        <w:spacing w:before="20" w:after="40"/>
      </w:pPr>
      <w:r>
        <w:rPr>
          <w:rFonts w:ascii="Times New Roman" w:hAnsi="Times New Roman"/>
          <w:b/>
          <w:sz w:val="20"/>
        </w:rPr>
        <w:t>O1</w:t>
      </w:r>
      <w:r>
        <w:rPr>
          <w:rFonts w:ascii="Times New Roman" w:hAnsi="Times New Roman"/>
          <w:sz w:val="20"/>
        </w:rPr>
        <w:t>: Developing a deterministic, privacy-compliant synthetic data generator capable of rendering diverse academic credentials with pixel-exact ground truth annotations.</w:t>
      </w:r>
    </w:p>
    <w:p>
      <w:pPr>
        <w:pStyle w:val="ListBullet"/>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pPr>
        <w:pStyle w:val="ListBullet"/>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pPr>
        <w:keepNext/>
        <w:spacing w:before="200" w:after="80"/>
      </w:pPr>
      <w:r>
        <w:rPr>
          <w:rFonts w:ascii="Times New Roman" w:hAnsi="Times New Roman"/>
          <w:b/>
          <w:color w:val="333333"/>
          <w:sz w:val="23"/>
        </w:rPr>
        <w:t>1.3 Main Research Contributions</w:t>
      </w:r>
    </w:p>
    <w:p>
      <w:pPr>
        <w:spacing w:before="40" w:after="80" w:line="276" w:lineRule="auto"/>
      </w:pPr>
      <w:r>
        <w:rPr>
          <w:rFonts w:ascii="Times New Roman" w:hAnsi="Times New Roman"/>
          <w:sz w:val="20"/>
        </w:rPr>
        <w:t>The primary contributions of this work are summarized as follows:</w:t>
      </w:r>
    </w:p>
    <w:p>
      <w:pPr>
        <w:spacing w:before="20" w:after="40"/>
        <w:ind w:left="360"/>
      </w:pPr>
      <w:r>
        <w:rPr>
          <w:rFonts w:ascii="Times New Roman" w:hAnsi="Times New Roman"/>
          <w:b/>
          <w:sz w:val="20"/>
        </w:rPr>
        <w:t xml:space="preserve">1. </w:t>
      </w:r>
      <w:r>
        <w:rPr>
          <w:rFonts w:ascii="Times New Roman" w:hAnsi="Times New Roman"/>
          <w:b/>
          <w:sz w:val="20"/>
        </w:rPr>
        <w:t>ADBG v1.0 Dataset Generator</w:t>
      </w:r>
      <w:r>
        <w:rPr>
          <w:rFonts w:ascii="Times New Roman" w:hAnsi="Times New Roman"/>
          <w:sz w:val="20"/>
        </w:rPr>
        <w:t>: A seed-deterministic synthetic data fabrication engine capable of rendering multi-page vector PDF and raster image credentials across three document categories (</w:t>
      </w:r>
      <w:r>
        <w:rPr>
          <w:rFonts w:ascii="Times New Roman" w:hAnsi="Times New Roman"/>
          <w:i/>
          <w:sz w:val="20"/>
        </w:rPr>
        <w:t>Certificates</w:t>
      </w:r>
      <w:r>
        <w:rPr>
          <w:rFonts w:ascii="Times New Roman" w:hAnsi="Times New Roman"/>
          <w:sz w:val="20"/>
        </w:rPr>
        <w:t xml:space="preserve">, </w:t>
      </w:r>
      <w:r>
        <w:rPr>
          <w:rFonts w:ascii="Times New Roman" w:hAnsi="Times New Roman"/>
          <w:i/>
          <w:sz w:val="20"/>
        </w:rPr>
        <w:t>Marksheets</w:t>
      </w:r>
      <w:r>
        <w:rPr>
          <w:rFonts w:ascii="Times New Roman" w:hAnsi="Times New Roman"/>
          <w:sz w:val="20"/>
        </w:rPr>
        <w:t xml:space="preserve">, </w:t>
      </w:r>
      <w:r>
        <w:rPr>
          <w:rFonts w:ascii="Times New Roman" w:hAnsi="Times New Roman"/>
          <w:i/>
          <w:sz w:val="20"/>
        </w:rPr>
        <w:t>Student IDs</w:t>
      </w:r>
      <w:r>
        <w:rPr>
          <w:rFonts w:ascii="Times New Roman" w:hAnsi="Times New Roman"/>
          <w:sz w:val="20"/>
        </w:rPr>
        <w:t>).</w:t>
      </w:r>
    </w:p>
    <w:p>
      <w:pPr>
        <w:spacing w:before="20" w:after="40"/>
        <w:ind w:left="360"/>
      </w:pPr>
      <w:r>
        <w:rPr>
          <w:rFonts w:ascii="Times New Roman" w:hAnsi="Times New Roman"/>
          <w:b/>
          <w:sz w:val="20"/>
        </w:rPr>
        <w:t xml:space="preserve">2. </w:t>
      </w:r>
      <w:r>
        <w:rPr>
          <w:rFonts w:ascii="Times New Roman" w:hAnsi="Times New Roman"/>
          <w:b/>
          <w:sz w:val="20"/>
        </w:rPr>
        <w:t>AU DIC Evaluation Subsystem</w:t>
      </w:r>
      <w:r>
        <w:rPr>
          <w:rFonts w:ascii="Times New Roman" w:hAnsi="Times New Roman"/>
          <w:sz w:val="20"/>
        </w:rPr>
        <w:t>: A decoupled, strictly read-only benchmark execution engine that evaluates document processing pipelines without modifying production data stores.</w:t>
      </w:r>
    </w:p>
    <w:p>
      <w:pPr>
        <w:spacing w:before="20" w:after="40"/>
        <w:ind w:left="360"/>
      </w:pPr>
      <w:r>
        <w:rPr>
          <w:rFonts w:ascii="Times New Roman" w:hAnsi="Times New Roman"/>
          <w:b/>
          <w:sz w:val="20"/>
        </w:rPr>
        <w:t xml:space="preserve">3. </w:t>
      </w:r>
      <w:r>
        <w:rPr>
          <w:rFonts w:ascii="Times New Roman" w:hAnsi="Times New Roman"/>
          <w:b/>
          <w:sz w:val="20"/>
        </w:rPr>
        <w:t>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w:t>
      </w:r>
    </w:p>
    <w:p>
      <w:pPr>
        <w:spacing w:before="20" w:after="40"/>
        <w:ind w:left="360"/>
      </w:pPr>
      <w:r>
        <w:rPr>
          <w:rFonts w:ascii="Times New Roman" w:hAnsi="Times New Roman"/>
          <w:b/>
          <w:sz w:val="20"/>
        </w:rPr>
        <w:t xml:space="preserve">4. </w:t>
      </w:r>
      <w:r>
        <w:rPr>
          <w:rFonts w:ascii="Times New Roman" w:hAnsi="Times New Roman"/>
          <w:b/>
          <w:sz w:val="20"/>
        </w:rPr>
        <w:t>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w:t>
      </w:r>
    </w:p>
    <w:p>
      <w:pPr>
        <w:spacing w:before="20" w:after="40"/>
        <w:ind w:left="360"/>
      </w:pPr>
      <w:r>
        <w:rPr>
          <w:rFonts w:ascii="Times New Roman" w:hAnsi="Times New Roman"/>
          <w:b/>
          <w:sz w:val="20"/>
        </w:rPr>
        <w:t xml:space="preserve">5. </w:t>
      </w:r>
      <w:r>
        <w:rPr>
          <w:rFonts w:ascii="Times New Roman" w:hAnsi="Times New Roman"/>
          <w:b/>
          <w:sz w:val="20"/>
        </w:rPr>
        <w:t>Quality Profile Robustness Framework</w:t>
      </w:r>
      <w:r>
        <w:rPr>
          <w:rFonts w:ascii="Times New Roman" w:hAnsi="Times New Roman"/>
          <w:sz w:val="20"/>
        </w:rPr>
        <w:t>: A systematic evaluation matrix measuring extraction decay across four standardized optical profiles (clean, scanner_copy, mobile_camera, rotated_90).</w:t>
      </w:r>
    </w:p>
    <w:p>
      <w:pPr>
        <w:keepNext/>
        <w:spacing w:before="200" w:after="80"/>
      </w:pPr>
      <w:r>
        <w:rPr>
          <w:rFonts w:ascii="Times New Roman" w:hAnsi="Times New Roman"/>
          <w:b/>
          <w:color w:val="333333"/>
          <w:sz w:val="23"/>
        </w:rPr>
        <w:t>1.4 Paper Organization</w:t>
      </w:r>
    </w:p>
    <w:p>
      <w:pPr>
        <w:spacing w:before="40" w:after="80" w:line="276" w:lineRule="auto"/>
      </w:pPr>
      <w:r>
        <w:rPr>
          <w:rFonts w:ascii="Times New Roman" w:hAnsi="Times New Roman"/>
          <w:sz w:val="20"/>
        </w:rPr>
        <w:t>The remainder of this paper is organized as follows. Section 2 surveys related work. Section 3 details the system architecture. Section 4 presents the ADBG synthetic data generation methodology. Section 5 describes the AU DIC evaluation framework and normalizers. Section 6 specifies the experimental protocol and metrics. Section 7 presents empirical validation results. Section 8 discusses findings, limitations, and threats to validity. Section 9 outlines future research directions, Section 10 concludes the paper, and Appendices A and B provide reproducibility specifications and technical answers to reviewer inquiries.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2. Related Work</w:t>
      </w:r>
    </w:p>
    <w:p>
      <w:pPr>
        <w:keepNext/>
        <w:spacing w:before="200" w:after="80"/>
      </w:pPr>
      <w:r>
        <w:rPr>
          <w:rFonts w:ascii="Times New Roman" w:hAnsi="Times New Roman"/>
          <w:b/>
          <w:color w:val="333333"/>
          <w:sz w:val="23"/>
        </w:rPr>
        <w:t>2.1 Information Extraction &amp; Neural Document AI Architectures</w:t>
      </w:r>
    </w:p>
    <w:p>
      <w:pPr>
        <w:spacing w:before="40" w:after="80" w:line="276" w:lineRule="auto"/>
      </w:pPr>
      <w:r>
        <w:rPr>
          <w:rFonts w:ascii="Times New Roman" w:hAnsi="Times New Roman"/>
          <w:sz w:val="20"/>
        </w:rPr>
        <w:t xml:space="preserve">Modern Document AI architectures integrate visual features, textual content, and spatial layout coordinates. Multimodal models such as </w:t>
      </w:r>
      <w:r>
        <w:rPr>
          <w:rFonts w:ascii="Times New Roman" w:hAnsi="Times New Roman"/>
          <w:b/>
          <w:sz w:val="20"/>
        </w:rPr>
        <w:t>LayoutLMv3</w:t>
      </w:r>
      <w:r>
        <w:rPr>
          <w:rFonts w:ascii="Times New Roman" w:hAnsi="Times New Roman"/>
          <w:sz w:val="20"/>
        </w:rPr>
        <w:t xml:space="preserve"> (Huang et al., 2022) utilize unified text and image masking to capture spatial correlations across complex form fields. Similarly, end-to-end vision encoder-decoder models such as </w:t>
      </w:r>
      <w:r>
        <w:rPr>
          <w:rFonts w:ascii="Times New Roman" w:hAnsi="Times New Roman"/>
          <w:b/>
          <w:sz w:val="20"/>
        </w:rPr>
        <w:t>Donut</w:t>
      </w:r>
      <w:r>
        <w:rPr>
          <w:rFonts w:ascii="Times New Roman" w:hAnsi="Times New Roman"/>
          <w:sz w:val="20"/>
        </w:rPr>
        <w:t xml:space="preserve"> (Kim et al., 2022) eliminate explicit OCR dependencies by mapping document images directly to structured JSON trees. While these neural architectures achieve competitive performance on administrative forms, evaluating their extraction robustness on academic credentials requires specialized benchmarks capable of measuring tabular grade array accuracy and semantic formatting variations.</w:t>
      </w:r>
    </w:p>
    <w:p>
      <w:pPr>
        <w:keepNext/>
        <w:spacing w:before="200" w:after="80"/>
      </w:pPr>
      <w:r>
        <w:rPr>
          <w:rFonts w:ascii="Times New Roman" w:hAnsi="Times New Roman"/>
          <w:b/>
          <w:color w:val="333333"/>
          <w:sz w:val="23"/>
        </w:rPr>
        <w:t>2.2 Public Document Intelligence Benchmarks</w:t>
      </w:r>
    </w:p>
    <w:p>
      <w:pPr>
        <w:spacing w:before="40" w:after="80" w:line="276" w:lineRule="auto"/>
      </w:pPr>
      <w:r>
        <w:rPr>
          <w:rFonts w:ascii="Times New Roman" w:hAnsi="Times New Roman"/>
          <w:sz w:val="20"/>
        </w:rPr>
        <w:t>Several public datasets exist for document analysis research:</w:t>
      </w:r>
    </w:p>
    <w:p>
      <w:pPr>
        <w:pStyle w:val="ListBullet"/>
        <w:spacing w:before="20" w:after="40"/>
      </w:pPr>
      <w:r>
        <w:rPr>
          <w:rFonts w:ascii="Times New Roman" w:hAnsi="Times New Roman"/>
          <w:b/>
          <w:sz w:val="20"/>
        </w:rPr>
        <w:t>Receipts &amp; Invoices</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(Huang et al., 2019) and </w:t>
      </w:r>
      <w:r>
        <w:rPr>
          <w:rFonts w:ascii="Times New Roman" w:hAnsi="Times New Roman"/>
          <w:b/>
          <w:sz w:val="20"/>
        </w:rPr>
        <w:t>CORD</w:t>
      </w:r>
      <w:r>
        <w:rPr>
          <w:rFonts w:ascii="Times New Roman" w:hAnsi="Times New Roman"/>
          <w:sz w:val="20"/>
        </w:rPr>
        <w:t xml:space="preserve"> (Park et al., 2019) provide key-value annotations for commercial receipt parsing.</w:t>
      </w:r>
    </w:p>
    <w:p>
      <w:pPr>
        <w:pStyle w:val="ListBullet"/>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(Jaume et al., 2019) provides word-level and entity-level relationship annotations for administrative forms.</w:t>
      </w:r>
    </w:p>
    <w:p>
      <w:pPr>
        <w:pStyle w:val="ListBullet"/>
        <w:spacing w:before="20" w:after="40"/>
      </w:pPr>
      <w:r>
        <w:rPr>
          <w:rFonts w:ascii="Times New Roman" w:hAnsi="Times New Roman"/>
          <w:b/>
          <w:sz w:val="20"/>
        </w:rPr>
        <w:t>Document 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(Mathew et al., 2021) evaluates visual question answering across industry documents.</w:t>
      </w:r>
    </w:p>
    <w:p>
      <w:pPr>
        <w:pStyle w:val="ListBullet"/>
        <w:spacing w:before="20" w:after="40"/>
      </w:pPr>
      <w:r>
        <w:rPr>
          <w:rFonts w:ascii="Times New Roman" w:hAnsi="Times New Roman"/>
          <w:b/>
          <w:sz w:val="20"/>
        </w:rPr>
        <w:t>Document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(Harley et al., 2015) provides single-page scanned document categories across 16 administrative classes.</w:t>
      </w:r>
    </w:p>
    <w:p>
      <w:pPr>
        <w:spacing w:before="40" w:after="80" w:line="276" w:lineRule="auto"/>
      </w:pPr>
      <w:r>
        <w:rPr>
          <w:rFonts w:ascii="Times New Roman" w:hAnsi="Times New Roman"/>
          <w:sz w:val="20"/>
        </w:rPr>
        <w:t>However, these datasets do not focus on academic credentials, which combine dense tabular course arrays (subject codes, credits, grades) with formal institutional metadata. Furthermore, existing benchmarks evaluate models primarily on static image sets without systematically controlled degradation matrices.</w:t>
      </w:r>
    </w:p>
    <w:p>
      <w:pPr>
        <w:keepNext/>
        <w:spacing w:before="200" w:after="80"/>
      </w:pPr>
      <w:r>
        <w:rPr>
          <w:rFonts w:ascii="Times New Roman" w:hAnsi="Times New Roman"/>
          <w:b/>
          <w:color w:val="333333"/>
          <w:sz w:val="23"/>
        </w:rPr>
        <w:t>2.3 Synthetic Document Generation &amp; Benchmark Comparison</w:t>
      </w:r>
    </w:p>
    <w:p>
      <w:pPr>
        <w:spacing w:before="40" w:after="80" w:line="276" w:lineRule="auto"/>
      </w:pPr>
      <w:r>
        <w:rPr>
          <w:rFonts w:ascii="Times New Roman" w:hAnsi="Times New Roman"/>
          <w:sz w:val="20"/>
        </w:rPr>
        <w:t>To overcome privacy constraints, synthetic data generation frameworks render synthetic text onto natural images or form templates. ADBG v1.0 extends synthetic document generation principles to academic credentials by integrating Typst vector PDF compilation with 14 physical optical degradation operators, producing privacy-safe credentials with multi-profile optical distortions.</w:t>
      </w:r>
    </w:p>
    <w:p>
      <w:pPr>
        <w:spacing w:before="40" w:after="80" w:line="276" w:lineRule="auto"/>
      </w:pPr>
      <w:r>
        <w:rPr>
          <w:rFonts w:ascii="Times New Roman" w:hAnsi="Times New Roman"/>
          <w:sz w:val="20"/>
        </w:rPr>
        <w:t>Table 0 presents a comparative feature matrix contrasting ADBG v1.0 with existing public document analysis benchmarks.</w:t>
      </w:r>
    </w:p>
    <w:p>
      <w:pPr>
        <w:keepNext/>
        <w:spacing w:before="160" w:after="80"/>
        <w:jc w:val="center"/>
      </w:pPr>
      <w:r>
        <w:rPr>
          <w:rFonts w:ascii="Times New Roman" w:hAnsi="Times New Roman"/>
          <w:b/>
          <w:color w:val="003366"/>
          <w:sz w:val="19"/>
        </w:rPr>
        <w:t>Table 0: Comparative Feature Matrix of Document Intelligence Benchmarks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Document Domain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Privacy-Safe Synthetic</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Tabular Grade Array Support</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Controlled Quality Degradation Matrix</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Semantic Canonical Normalization</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SROIE</w:t>
            </w:r>
            <w:r>
              <w:rPr>
                <w:rFonts w:ascii="Times New Roman" w:hAnsi="Times New Roman"/>
                <w:sz w:val="18"/>
              </w:rPr>
              <w:t xml:space="preserve"> (Huang et al., 2019)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Commercial Receipts</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CORD</w:t>
            </w:r>
            <w:r>
              <w:rPr>
                <w:rFonts w:ascii="Times New Roman" w:hAnsi="Times New Roman"/>
                <w:sz w:val="18"/>
              </w:rPr>
              <w:t xml:space="preserve"> (Park et al., 2019)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Scanned Receipts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 (Anonymized)</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FUNSD</w:t>
            </w:r>
            <w:r>
              <w:rPr>
                <w:rFonts w:ascii="Times New Roman" w:hAnsi="Times New Roman"/>
                <w:sz w:val="18"/>
              </w:rPr>
              <w:t xml:space="preserve"> (Jaume et al., 2019)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Noise-Degraded Forms</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Static Noise Only</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DocVQA</w:t>
            </w:r>
            <w:r>
              <w:rPr>
                <w:rFonts w:ascii="Times New Roman" w:hAnsi="Times New Roman"/>
                <w:sz w:val="18"/>
              </w:rPr>
              <w:t xml:space="preserve"> (Mathew et al., 2021)</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Mixed Documents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RVL-CDIP</w:t>
            </w:r>
            <w:r>
              <w:rPr>
                <w:rFonts w:ascii="Times New Roman" w:hAnsi="Times New Roman"/>
                <w:sz w:val="18"/>
              </w:rPr>
              <w:t xml:space="preserve"> (Harley et al., 2015)</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General Business</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ADBG v1.0 / AU DIC (Ours)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Academic Credentials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Yes (100% Synthetic)</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Yes (Semester Arrays)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Yes (4 Profiles)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Yes (6 Stages)</w:t>
            </w:r>
          </w:p>
        </w:tc>
      </w:tr>
    </w:tbl>
    <w:p>
      <w:pPr>
        <w:spacing w:after="120"/>
      </w:pP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3. System Architecture Overview</w:t>
      </w:r>
    </w:p>
    <w:p>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and the </w:t>
      </w:r>
      <w:r>
        <w:rPr>
          <w:rFonts w:ascii="Times New Roman" w:hAnsi="Times New Roman"/>
          <w:b/>
          <w:sz w:val="20"/>
        </w:rPr>
        <w:t>AU DIC Benchmark Subsystem</w:t>
      </w:r>
      <w:r>
        <w:rPr>
          <w:rFonts w:ascii="Times New Roman" w:hAnsi="Times New Roman"/>
          <w:sz w:val="20"/>
        </w:rPr>
        <w:t xml:space="preserve"> (read-only evaluation framework).</w:t>
      </w:r>
    </w:p>
    <w:p>
      <w:pPr>
        <w:spacing w:before="160" w:after="80"/>
        <w:jc w:val="center"/>
      </w:pPr>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figure1_system_architecture.png"/>
                    <pic:cNvPicPr/>
                  </pic:nvPicPr>
                  <pic:blipFill>
                    <a:blip r:embed="rId10"/>
                    <a:stretch>
                      <a:fillRect/>
                    </a:stretch>
                  </pic:blipFill>
                  <pic:spPr>
                    <a:xfrm>
                      <a:off x="0" y="0"/>
                      <a:ext cx="5943600" cy="2476500"/>
                    </a:xfrm>
                    <a:prstGeom prst="rect"/>
                  </pic:spPr>
                </pic:pic>
              </a:graphicData>
            </a:graphic>
          </wp:inline>
        </w:drawing>
      </w:r>
    </w:p>
    <w:p>
      <w:pPr>
        <w:spacing w:after="160"/>
        <w:jc w:val="center"/>
      </w:pPr>
      <w:r>
        <w:rPr>
          <w:rFonts w:ascii="Times New Roman" w:hAnsi="Times New Roman"/>
          <w:b/>
          <w:color w:val="003366"/>
          <w:sz w:val="19"/>
        </w:rPr>
        <w:t>Fig. 1. Decoupled System Architecture of the ADBG Synthetic Generation and AU DIC Evaluation Subsystems.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4. ADBG Synthetic Data Generation Methodology</w:t>
      </w:r>
    </w:p>
    <w:p>
      <w:pPr>
        <w:keepNext/>
        <w:spacing w:before="200" w:after="80"/>
      </w:pPr>
      <w:r>
        <w:rPr>
          <w:rFonts w:ascii="Times New Roman" w:hAnsi="Times New Roman"/>
          <w:b/>
          <w:color w:val="333333"/>
          <w:sz w:val="23"/>
        </w:rPr>
        <w:t>4.1 Seed-Deterministic Profile Generation</w:t>
      </w:r>
    </w:p>
    <w:p>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w:t>
      </w:r>
    </w:p>
    <w:p>
      <w:pPr>
        <w:spacing w:before="120" w:after="120"/>
        <w:jc w:val="center"/>
      </w:pPr>
      <w:r>
        <w:rPr>
          <w:rFonts w:ascii="Cambria Math" w:hAnsi="Cambria Math"/>
          <w:i/>
          <w:color w:val="003366"/>
          <w:sz w:val="22"/>
        </w:rPr>
        <w:t>DocumentSpecimen = G(Seed, Category, Profile)</w:t>
      </w:r>
    </w:p>
    <w:p>
      <w:pPr>
        <w:keepNext/>
        <w:spacing w:before="200" w:after="80"/>
      </w:pPr>
      <w:r>
        <w:rPr>
          <w:rFonts w:ascii="Times New Roman" w:hAnsi="Times New Roman"/>
          <w:b/>
          <w:color w:val="333333"/>
          <w:sz w:val="23"/>
        </w:rPr>
        <w:t>4.2 Template Compilation Engine</w:t>
      </w:r>
    </w:p>
    <w:p>
      <w:pPr>
        <w:spacing w:before="40" w:after="80" w:line="276" w:lineRule="auto"/>
      </w:pPr>
      <w:r>
        <w:rPr>
          <w:rFonts w:ascii="Times New Roman" w:hAnsi="Times New Roman"/>
          <w:sz w:val="20"/>
        </w:rPr>
        <w:t>The generator utilizes a Typst vector compilation backend (TypstCompilerAdapter) to render high-resolution academic documents. Three primary document categories are supported:</w:t>
      </w:r>
    </w:p>
    <w:p>
      <w:pPr>
        <w:spacing w:before="20" w:after="40"/>
        <w:ind w:left="360"/>
      </w:pPr>
      <w:r>
        <w:rPr>
          <w:rFonts w:ascii="Times New Roman" w:hAnsi="Times New Roman"/>
          <w:b/>
          <w:sz w:val="20"/>
        </w:rPr>
        <w:t xml:space="preserve">1. </w:t>
      </w:r>
      <w:r>
        <w:rPr>
          <w:rFonts w:ascii="Times New Roman" w:hAnsi="Times New Roman"/>
          <w:b/>
          <w:sz w:val="20"/>
        </w:rPr>
        <w:t>Academic Certificates</w:t>
      </w:r>
      <w:r>
        <w:rPr>
          <w:rFonts w:ascii="Times New Roman" w:hAnsi="Times New Roman"/>
          <w:sz w:val="20"/>
        </w:rPr>
        <w:t>: Degree awards, honor certificates, and course completion diplomas.</w:t>
      </w:r>
    </w:p>
    <w:p>
      <w:pPr>
        <w:spacing w:before="20" w:after="40"/>
        <w:ind w:left="360"/>
      </w:pPr>
      <w:r>
        <w:rPr>
          <w:rFonts w:ascii="Times New Roman" w:hAnsi="Times New Roman"/>
          <w:b/>
          <w:sz w:val="20"/>
        </w:rPr>
        <w:t xml:space="preserve">2. </w:t>
      </w:r>
      <w:r>
        <w:rPr>
          <w:rFonts w:ascii="Times New Roman" w:hAnsi="Times New Roman"/>
          <w:b/>
          <w:sz w:val="20"/>
        </w:rPr>
        <w:t>Academic Marksheets</w:t>
      </w:r>
      <w:r>
        <w:rPr>
          <w:rFonts w:ascii="Times New Roman" w:hAnsi="Times New Roman"/>
          <w:sz w:val="20"/>
        </w:rPr>
        <w:t>: Semester grade reports featuring multi-column subject arrays (Course Code, Subject Name, Credits, Grade Point, Letter Grade, SGPA/CGPA).</w:t>
      </w:r>
    </w:p>
    <w:p>
      <w:pPr>
        <w:spacing w:before="20" w:after="40"/>
        <w:ind w:left="360"/>
      </w:pPr>
      <w:r>
        <w:rPr>
          <w:rFonts w:ascii="Times New Roman" w:hAnsi="Times New Roman"/>
          <w:b/>
          <w:sz w:val="20"/>
        </w:rPr>
        <w:t xml:space="preserve">3. </w:t>
      </w:r>
      <w:r>
        <w:rPr>
          <w:rFonts w:ascii="Times New Roman" w:hAnsi="Times New Roman"/>
          <w:b/>
          <w:sz w:val="20"/>
        </w:rPr>
        <w:t>Student ID Cards</w:t>
      </w:r>
      <w:r>
        <w:rPr>
          <w:rFonts w:ascii="Times New Roman" w:hAnsi="Times New Roman"/>
          <w:sz w:val="20"/>
        </w:rPr>
        <w:t>: Institutional identity cards containing student photographs, enrollment numbers, program titles, and issuing authority signatures.</w:t>
      </w:r>
    </w:p>
    <w:p>
      <w:pPr>
        <w:keepNext/>
        <w:spacing w:before="200" w:after="80"/>
      </w:pPr>
      <w:r>
        <w:rPr>
          <w:rFonts w:ascii="Times New Roman" w:hAnsi="Times New Roman"/>
          <w:b/>
          <w:color w:val="333333"/>
          <w:sz w:val="23"/>
        </w:rPr>
        <w:t>4.3 Optical Degradation Pipeline</w:t>
      </w:r>
    </w:p>
    <w:p>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w:t>
      </w:r>
    </w:p>
    <w:p>
      <w:pPr>
        <w:spacing w:before="120" w:after="120"/>
        <w:jc w:val="center"/>
      </w:pPr>
      <w:r>
        <w:rPr>
          <w:rFonts w:ascii="Cambria Math" w:hAnsi="Cambria Math"/>
          <w:i/>
          <w:color w:val="003366"/>
          <w:sz w:val="22"/>
        </w:rPr>
        <w:t>I_{degraded} = D_{rotation}  o  D_{contrast}  o  D_{gaussian}  o  D_{blur}(I_{clean})</w:t>
      </w:r>
    </w:p>
    <w:p>
      <w:pPr>
        <w:spacing w:before="40" w:after="80" w:line="276" w:lineRule="auto"/>
      </w:pPr>
      <w:r>
        <w:rPr>
          <w:rFonts w:ascii="Times New Roman" w:hAnsi="Times New Roman"/>
          <w:sz w:val="20"/>
        </w:rPr>
        <w:t>Four standard quality profiles are instantiated in AU_DIC_Benchmark_v1.0:</w:t>
      </w:r>
    </w:p>
    <w:p>
      <w:pPr>
        <w:pStyle w:val="ListBullet"/>
        <w:spacing w:before="20" w:after="40"/>
      </w:pPr>
      <w:r>
        <w:rPr>
          <w:rFonts w:ascii="Times New Roman" w:hAnsi="Times New Roman"/>
          <w:b/>
          <w:sz w:val="20"/>
        </w:rPr>
        <w:t>clean</w:t>
      </w:r>
      <w:r>
        <w:rPr>
          <w:rFonts w:ascii="Times New Roman" w:hAnsi="Times New Roman"/>
          <w:sz w:val="20"/>
        </w:rPr>
        <w:t>: Pristine vector-rendered digital PDF exports (0% degradation).</w:t>
      </w:r>
    </w:p>
    <w:p>
      <w:pPr>
        <w:pStyle w:val="ListBullet"/>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pPr>
        <w:pStyle w:val="ListBullet"/>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pPr>
        <w:pStyle w:val="ListBullet"/>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5. AU DIC Evaluation Subsystem &amp; Semantic Normalization Layer</w:t>
      </w:r>
    </w:p>
    <w:p>
      <w:pPr>
        <w:keepNext/>
        <w:spacing w:before="200" w:after="80"/>
      </w:pPr>
      <w:r>
        <w:rPr>
          <w:rFonts w:ascii="Times New Roman" w:hAnsi="Times New Roman"/>
          <w:b/>
          <w:color w:val="333333"/>
          <w:sz w:val="23"/>
        </w:rPr>
        <w:t>5.1 Decoupled Read-Only Execution Engine</w:t>
      </w:r>
    </w:p>
    <w:p>
      <w:pPr>
        <w:spacing w:before="40" w:after="80" w:line="276" w:lineRule="auto"/>
      </w:pPr>
      <w:r>
        <w:rPr>
          <w:rFonts w:ascii="Times New Roman" w:hAnsi="Times New Roman"/>
          <w:sz w:val="20"/>
        </w:rPr>
        <w:t>The benchmark runner (BenchmarkRunner) operates strictly in read-only mode (isReadOnly: true). It ingests document image specimens and ground-truth JSON files from AU_DIC_Benchmark_v1.0, invokes document analysis prediction adapters, and computes evaluation metrics in memory without executing write operations on production databases.</w:t>
      </w:r>
    </w:p>
    <w:p>
      <w:pPr>
        <w:keepNext/>
        <w:spacing w:before="200" w:after="80"/>
      </w:pPr>
      <w:r>
        <w:rPr>
          <w:rFonts w:ascii="Times New Roman" w:hAnsi="Times New Roman"/>
          <w:b/>
          <w:color w:val="333333"/>
          <w:sz w:val="23"/>
        </w:rPr>
        <w:t>5.2 Six-Stage Semantic Canonical Normalization Layer</w:t>
      </w:r>
    </w:p>
    <w:p>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(CanonicalNormalizer):</w:t>
      </w:r>
    </w:p>
    <w:p>
      <w:pPr>
        <w:spacing w:before="20" w:after="40"/>
        <w:ind w:left="360"/>
      </w:pPr>
      <w:r>
        <w:rPr>
          <w:rFonts w:ascii="Times New Roman" w:hAnsi="Times New Roman"/>
          <w:b/>
          <w:sz w:val="20"/>
        </w:rPr>
        <w:t xml:space="preserve">1. </w:t>
      </w:r>
      <w:r>
        <w:rPr>
          <w:rFonts w:ascii="Times New Roman" w:hAnsi="Times New Roman"/>
          <w:b/>
          <w:sz w:val="20"/>
        </w:rPr>
        <w:t>Stage 1: Case &amp; Whitespace Normalization</w:t>
      </w:r>
      <w:r>
        <w:rPr>
          <w:rFonts w:ascii="Times New Roman" w:hAnsi="Times New Roman"/>
          <w:sz w:val="20"/>
        </w:rPr>
        <w:t>: Converts characters to lower-case, trims leading/trailing whitespace, and collapses multiple internal space characters into single spaces.</w:t>
      </w:r>
    </w:p>
    <w:p>
      <w:pPr>
        <w:spacing w:before="20" w:after="40"/>
        <w:ind w:left="360"/>
      </w:pPr>
      <w:r>
        <w:rPr>
          <w:rFonts w:ascii="Times New Roman" w:hAnsi="Times New Roman"/>
          <w:b/>
          <w:sz w:val="20"/>
        </w:rPr>
        <w:t xml:space="preserve">2. </w:t>
      </w:r>
      <w:r>
        <w:rPr>
          <w:rFonts w:ascii="Times New Roman" w:hAnsi="Times New Roman"/>
          <w:b/>
          <w:sz w:val="20"/>
        </w:rPr>
        <w:t>Stage 2: ISO Date Canonicalization</w:t>
      </w:r>
      <w:r>
        <w:rPr>
          <w:rFonts w:ascii="Times New Roman" w:hAnsi="Times New Roman"/>
          <w:sz w:val="20"/>
        </w:rPr>
        <w:t>: Standardizes diverse date formats (04/08/2026, August 4, 2026, 2026.08.04) into ISO-8601 string representations (YYYY-MM-DD).</w:t>
      </w:r>
    </w:p>
    <w:p>
      <w:pPr>
        <w:spacing w:before="20" w:after="40"/>
        <w:ind w:left="360"/>
      </w:pPr>
      <w:r>
        <w:rPr>
          <w:rFonts w:ascii="Times New Roman" w:hAnsi="Times New Roman"/>
          <w:b/>
          <w:sz w:val="20"/>
        </w:rPr>
        <w:t xml:space="preserve">3. </w:t>
      </w:r>
      <w:r>
        <w:rPr>
          <w:rFonts w:ascii="Times New Roman" w:hAnsi="Times New Roman"/>
          <w:b/>
          <w:sz w:val="20"/>
        </w:rPr>
        <w:t>Stage 3: Identifier Canonicalization</w:t>
      </w:r>
      <w:r>
        <w:rPr>
          <w:rFonts w:ascii="Times New Roman" w:hAnsi="Times New Roman"/>
          <w:sz w:val="20"/>
        </w:rPr>
        <w:t>: Strips non-alphanumeric separator characters (hyphens, slashes, spaces) from candidate roll numbers and registration IDs.</w:t>
      </w:r>
    </w:p>
    <w:p>
      <w:pPr>
        <w:spacing w:before="20" w:after="40"/>
        <w:ind w:left="360"/>
      </w:pPr>
      <w:r>
        <w:rPr>
          <w:rFonts w:ascii="Times New Roman" w:hAnsi="Times New Roman"/>
          <w:b/>
          <w:sz w:val="20"/>
        </w:rPr>
        <w:t xml:space="preserve">4. </w:t>
      </w:r>
      <w:r>
        <w:rPr>
          <w:rFonts w:ascii="Times New Roman" w:hAnsi="Times New Roman"/>
          <w:b/>
          <w:sz w:val="20"/>
        </w:rPr>
        <w:t>Stage 4: Numerical Precision Standardizer</w:t>
      </w:r>
      <w:r>
        <w:rPr>
          <w:rFonts w:ascii="Times New Roman" w:hAnsi="Times New Roman"/>
          <w:sz w:val="20"/>
        </w:rPr>
        <w:t>: Parses floating-point marks, SGPA/CGPA values, and percentages, formatting numeric values to fixed two-decimal precision.</w:t>
      </w:r>
    </w:p>
    <w:p>
      <w:pPr>
        <w:spacing w:before="20" w:after="40"/>
        <w:ind w:left="360"/>
      </w:pPr>
      <w:r>
        <w:rPr>
          <w:rFonts w:ascii="Times New Roman" w:hAnsi="Times New Roman"/>
          <w:b/>
          <w:sz w:val="20"/>
        </w:rPr>
        <w:t xml:space="preserve">5. </w:t>
      </w:r>
      <w:r>
        <w:rPr>
          <w:rFonts w:ascii="Times New Roman" w:hAnsi="Times New Roman"/>
          <w:b/>
          <w:sz w:val="20"/>
        </w:rPr>
        <w:t>Stage 5: Institutional Alias Mapping</w:t>
      </w:r>
      <w:r>
        <w:rPr>
          <w:rFonts w:ascii="Times New Roman" w:hAnsi="Times New Roman"/>
          <w:sz w:val="20"/>
        </w:rPr>
        <w:t xml:space="preserve">: Maps common university name abbreviations (e.g., MIT </w:t>
      </w:r>
      <w:r>
        <w:rPr>
          <w:rFonts w:ascii="Times New Roman" w:hAnsi="Times New Roman"/>
          <w:i/>
          <w:color w:val="003366"/>
          <w:sz w:val="20"/>
        </w:rPr>
        <w:t xml:space="preserve"> -&gt; </w:t>
      </w:r>
      <w:r>
        <w:rPr>
          <w:rFonts w:ascii="Times New Roman" w:hAnsi="Times New Roman"/>
          <w:sz w:val="20"/>
        </w:rPr>
        <w:t xml:space="preserve"> Massachusetts Institute of Technology) using an institutional lexicon directory.</w:t>
      </w:r>
    </w:p>
    <w:p>
      <w:pPr>
        <w:spacing w:before="20" w:after="40"/>
        <w:ind w:left="360"/>
      </w:pPr>
      <w:r>
        <w:rPr>
          <w:rFonts w:ascii="Times New Roman" w:hAnsi="Times New Roman"/>
          <w:b/>
          <w:sz w:val="20"/>
        </w:rPr>
        <w:t xml:space="preserve">6. </w:t>
      </w:r>
      <w:r>
        <w:rPr>
          <w:rFonts w:ascii="Times New Roman" w:hAnsi="Times New Roman"/>
          <w:b/>
          <w:sz w:val="20"/>
        </w:rPr>
        <w:t>Stage 6: Canonical Honorific Removal</w:t>
      </w:r>
      <w:r>
        <w:rPr>
          <w:rFonts w:ascii="Times New Roman" w:hAnsi="Times New Roman"/>
          <w:sz w:val="20"/>
        </w:rPr>
        <w:t>: Removes standard honorific prefixes (Mr., Ms., Dr., Prof.) prior to candidate name comparison.</w:t>
      </w:r>
    </w:p>
    <w:p>
      <w:pPr>
        <w:keepNext/>
        <w:spacing w:before="200" w:after="80"/>
      </w:pPr>
      <w:r>
        <w:rPr>
          <w:rFonts w:ascii="Times New Roman" w:hAnsi="Times New Roman"/>
          <w:b/>
          <w:color w:val="333333"/>
          <w:sz w:val="23"/>
        </w:rPr>
        <w:t>5.3 Nine-Class Structured OCR Error Taxonomy</w:t>
      </w:r>
    </w:p>
    <w:p>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w:t>
      </w:r>
    </w:p>
    <w:p>
      <w:pPr>
        <w:spacing w:before="120" w:after="120"/>
        <w:jc w:val="center"/>
      </w:pPr>
      <w:r>
        <w:rPr>
          <w:rFonts w:ascii="Cambria Math" w:hAnsi="Cambria Math"/>
          <w:i/>
          <w:color w:val="003366"/>
          <w:sz w:val="22"/>
        </w:rPr>
        <w:t>ErrorCategory  in  \{OCR\_ERROR, FIELD\_MISSING, HALLUCINATION, FORMAT\_ERROR, NORMALIZATION\_ERROR, PARTIAL\_MATCH, LOW\_CONFIDENCE, CATEGORY\_ERROR, EXACT\_MATCH\}</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6. Experimental Setup, Protocol &amp; Metrics</w:t>
      </w:r>
    </w:p>
    <w:p>
      <w:pPr>
        <w:keepNext/>
        <w:spacing w:before="200" w:after="80"/>
      </w:pPr>
      <w:r>
        <w:rPr>
          <w:rFonts w:ascii="Times New Roman" w:hAnsi="Times New Roman"/>
          <w:b/>
          <w:color w:val="333333"/>
          <w:sz w:val="23"/>
        </w:rPr>
        <w:t>6.1 Dataset Composition (AU_DIC_Benchmark_v1.0)</w:t>
      </w:r>
    </w:p>
    <w:p>
      <w:pPr>
        <w:spacing w:before="40" w:after="80" w:line="276" w:lineRule="auto"/>
      </w:pPr>
      <w:r>
        <w:rPr>
          <w:rFonts w:ascii="Times New Roman" w:hAnsi="Times New Roman"/>
          <w:sz w:val="20"/>
        </w:rPr>
        <w:t xml:space="preserve">The evaluation dataset consists of 360 image specimens (3 document categories </w:t>
      </w:r>
      <w:r>
        <w:rPr>
          <w:rFonts w:ascii="Cambria Math" w:hAnsi="Cambria Math"/>
          <w:i/>
          <w:color w:val="003366"/>
          <w:sz w:val="20"/>
        </w:rPr>
        <w:t xml:space="preserve"> x </w:t>
      </w:r>
      <w:r>
        <w:rPr>
          <w:rFonts w:ascii="Times New Roman" w:hAnsi="Times New Roman"/>
          <w:sz w:val="20"/>
        </w:rPr>
        <w:t xml:space="preserve"> 30 unique document instances </w:t>
      </w:r>
      <w:r>
        <w:rPr>
          <w:rFonts w:ascii="Cambria Math" w:hAnsi="Cambria Math"/>
          <w:i/>
          <w:color w:val="003366"/>
          <w:sz w:val="20"/>
        </w:rPr>
        <w:t xml:space="preserve"> x </w:t>
      </w:r>
      <w:r>
        <w:rPr>
          <w:rFonts w:ascii="Times New Roman" w:hAnsi="Times New Roman"/>
          <w:sz w:val="20"/>
        </w:rPr>
        <w:t xml:space="preserve"> 4 quality profiles). Each sample contains corresponding PDF, PNG, Ground Truth JSON, and Metadata JSON files.</w:t>
      </w:r>
    </w:p>
    <w:p>
      <w:pPr>
        <w:keepNext/>
        <w:spacing w:before="200" w:after="80"/>
      </w:pPr>
      <w:r>
        <w:rPr>
          <w:rFonts w:ascii="Times New Roman" w:hAnsi="Times New Roman"/>
          <w:b/>
          <w:color w:val="333333"/>
          <w:sz w:val="23"/>
        </w:rPr>
        <w:t>6.2 Evaluation Metrics</w:t>
      </w:r>
    </w:p>
    <w:p>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The computed quantitative metrics are defined as follows:</w:t>
      </w:r>
    </w:p>
    <w:p>
      <w:pPr>
        <w:spacing w:before="20" w:after="40"/>
        <w:ind w:left="360"/>
      </w:pPr>
      <w:r>
        <w:rPr>
          <w:rFonts w:ascii="Times New Roman" w:hAnsi="Times New Roman"/>
          <w:b/>
          <w:sz w:val="20"/>
        </w:rPr>
        <w:t xml:space="preserve">1. </w:t>
      </w:r>
      <w:r>
        <w:rPr>
          <w:rFonts w:ascii="Times New Roman" w:hAnsi="Times New Roman"/>
          <w:b/>
          <w:sz w:val="20"/>
        </w:rPr>
        <w:t>Category Classification Accuracy</w:t>
      </w:r>
      <w:r>
        <w:rPr>
          <w:rFonts w:ascii="Times New Roman" w:hAnsi="Times New Roman"/>
          <w:sz w:val="20"/>
        </w:rPr>
        <w:t>: The proportion of specimens where the predicted document category (</w:t>
      </w:r>
      <w:r>
        <w:rPr>
          <w:rFonts w:ascii="Times New Roman" w:hAnsi="Times New Roman"/>
          <w:i/>
          <w:color w:val="003366"/>
          <w:sz w:val="20"/>
        </w:rPr>
        <w:t>C_hat_i</w:t>
      </w:r>
      <w:r>
        <w:rPr>
          <w:rFonts w:ascii="Times New Roman" w:hAnsi="Times New Roman"/>
          <w:sz w:val="20"/>
        </w:rPr>
        <w:t>) matches the ground truth category (</w:t>
      </w:r>
      <w:r>
        <w:rPr>
          <w:rFonts w:ascii="Times New Roman" w:hAnsi="Times New Roman"/>
          <w:i/>
          <w:color w:val="003366"/>
          <w:sz w:val="20"/>
        </w:rPr>
        <w:t>C_i</w:t>
      </w:r>
      <w:r>
        <w:rPr>
          <w:rFonts w:ascii="Times New Roman" w:hAnsi="Times New Roman"/>
          <w:sz w:val="20"/>
        </w:rPr>
        <w:t>):</w:t>
      </w:r>
    </w:p>
    <w:p>
      <w:pPr>
        <w:spacing w:before="40" w:after="80" w:line="276" w:lineRule="auto"/>
      </w:pPr>
      <w:r>
        <w:rPr>
          <w:rFonts w:ascii="Cambria Math" w:hAnsi="Cambria Math"/>
          <w:i/>
          <w:color w:val="003366"/>
          <w:sz w:val="20"/>
        </w:rPr>
      </w:r>
      <w:r>
        <w:rPr>
          <w:rFonts w:ascii="Times New Roman" w:hAnsi="Times New Roman"/>
          <w:sz w:val="20"/>
        </w:rPr>
        <w:t>Category Accuracy = (Sum(i=1)^N I(C)_i = C_i)_hat{N}</w:t>
      </w:r>
      <w:r>
        <w:rPr>
          <w:rFonts w:ascii="Cambria Math" w:hAnsi="Cambria Math"/>
          <w:i/>
          <w:color w:val="003366"/>
          <w:sz w:val="20"/>
        </w:rPr>
      </w:r>
    </w:p>
    <w:p>
      <w:pPr>
        <w:spacing w:before="40" w:after="80" w:line="276" w:lineRule="auto"/>
      </w:pPr>
      <w:r>
        <w:rPr>
          <w:rFonts w:ascii="Times New Roman" w:hAnsi="Times New Roman"/>
          <w:sz w:val="20"/>
        </w:rPr>
        <w:t xml:space="preserve">where </w:t>
      </w:r>
      <w:r>
        <w:rPr>
          <w:rFonts w:ascii="Cambria Math" w:hAnsi="Cambria Math"/>
          <w:i/>
          <w:color w:val="003366"/>
          <w:sz w:val="20"/>
        </w:rPr>
        <w:t>N=360</w:t>
      </w:r>
      <w:r>
        <w:rPr>
          <w:rFonts w:ascii="Times New Roman" w:hAnsi="Times New Roman"/>
          <w:sz w:val="20"/>
        </w:rPr>
        <w:t xml:space="preserve"> total evaluated specimens.</w:t>
      </w:r>
    </w:p>
    <w:p>
      <w:pPr>
        <w:spacing w:before="20" w:after="40"/>
        <w:ind w:left="360"/>
      </w:pPr>
      <w:r>
        <w:rPr>
          <w:rFonts w:ascii="Times New Roman" w:hAnsi="Times New Roman"/>
          <w:b/>
          <w:sz w:val="20"/>
        </w:rPr>
        <w:t xml:space="preserve">2. </w:t>
      </w:r>
      <w:r>
        <w:rPr>
          <w:rFonts w:ascii="Times New Roman" w:hAnsi="Times New Roman"/>
          <w:b/>
          <w:sz w:val="20"/>
        </w:rPr>
        <w:t>Field Extraction Precision ($P$)</w:t>
      </w:r>
      <w:r>
        <w:rPr>
          <w:rFonts w:ascii="Times New Roman" w:hAnsi="Times New Roman"/>
          <w:sz w:val="20"/>
        </w:rPr>
        <w:t xml:space="preserve">, </w:t>
      </w:r>
      <w:r>
        <w:rPr>
          <w:rFonts w:ascii="Times New Roman" w:hAnsi="Times New Roman"/>
          <w:b/>
          <w:sz w:val="20"/>
        </w:rPr>
        <w:t>Recall ($R$)</w:t>
      </w:r>
      <w:r>
        <w:rPr>
          <w:rFonts w:ascii="Times New Roman" w:hAnsi="Times New Roman"/>
          <w:sz w:val="20"/>
        </w:rPr>
        <w:t xml:space="preserve">, and </w:t>
      </w:r>
      <w:r>
        <w:rPr>
          <w:rFonts w:ascii="Times New Roman" w:hAnsi="Times New Roman"/>
          <w:b/>
          <w:sz w:val="20"/>
        </w:rPr>
        <w:t>F1 Score ($F_1$)</w:t>
      </w:r>
      <w:r>
        <w:rPr>
          <w:rFonts w:ascii="Times New Roman" w:hAnsi="Times New Roman"/>
          <w:sz w:val="20"/>
        </w:rPr>
        <w:t>: Macro-averaged key-value field extraction metrics across all extracted target entities:</w:t>
      </w:r>
    </w:p>
    <w:p>
      <w:pPr>
        <w:spacing w:before="40" w:after="80" w:line="276" w:lineRule="auto"/>
      </w:pPr>
      <w:r>
        <w:rPr>
          <w:rFonts w:ascii="Cambria Math" w:hAnsi="Cambria Math"/>
          <w:i/>
          <w:color w:val="003366"/>
          <w:sz w:val="20"/>
        </w:rPr>
      </w:r>
      <w:r>
        <w:rPr>
          <w:rFonts w:ascii="Times New Roman" w:hAnsi="Times New Roman"/>
          <w:sz w:val="20"/>
        </w:rPr>
        <w:t>P = (True Positive Fields){True Positive Fields + False Positive Fields},   R = (True Positive Fields){True Positive Fields + False Negative Fields},   F_1 = 2  *  (P  *  R / P + R)</w:t>
      </w:r>
      <w:r>
        <w:rPr>
          <w:rFonts w:ascii="Cambria Math" w:hAnsi="Cambria Math"/>
          <w:i/>
          <w:color w:val="003366"/>
          <w:sz w:val="20"/>
        </w:rPr>
      </w:r>
    </w:p>
    <w:p>
      <w:pPr>
        <w:spacing w:before="20" w:after="40"/>
        <w:ind w:left="360"/>
      </w:pPr>
      <w:r>
        <w:rPr>
          <w:rFonts w:ascii="Times New Roman" w:hAnsi="Times New Roman"/>
          <w:b/>
          <w:sz w:val="20"/>
        </w:rPr>
        <w:t xml:space="preserve">3. </w:t>
      </w:r>
      <w:r>
        <w:rPr>
          <w:rFonts w:ascii="Times New Roman" w:hAnsi="Times New Roman"/>
          <w:b/>
          <w:sz w:val="20"/>
        </w:rPr>
        <w:t>Character Error Rate (CER)</w:t>
      </w:r>
      <w:r>
        <w:rPr>
          <w:rFonts w:ascii="Times New Roman" w:hAnsi="Times New Roman"/>
          <w:sz w:val="20"/>
        </w:rPr>
        <w:t>: Levenshtein character edit distance between canonically normalized predicted field strings and expected ground truth field strings, normalized by the total ground truth character length (</w:t>
      </w:r>
      <w:r>
        <w:rPr>
          <w:rFonts w:ascii="Times New Roman" w:hAnsi="Times New Roman"/>
          <w:i/>
          <w:color w:val="003366"/>
          <w:sz w:val="20"/>
        </w:rPr>
        <w:t>L_{GT}</w:t>
      </w:r>
      <w:r>
        <w:rPr>
          <w:rFonts w:ascii="Times New Roman" w:hAnsi="Times New Roman"/>
          <w:sz w:val="20"/>
        </w:rPr>
        <w:t>):</w:t>
      </w:r>
    </w:p>
    <w:p>
      <w:pPr>
        <w:spacing w:before="40" w:after="80" w:line="276" w:lineRule="auto"/>
      </w:pPr>
      <w:r>
        <w:rPr>
          <w:rFonts w:ascii="Cambria Math" w:hAnsi="Cambria Math"/>
          <w:i/>
          <w:color w:val="003366"/>
          <w:sz w:val="20"/>
        </w:rPr>
      </w:r>
      <w:r>
        <w:rPr>
          <w:rFonts w:ascii="Times New Roman" w:hAnsi="Times New Roman"/>
          <w:sz w:val="20"/>
        </w:rPr>
        <w:t>CER = (S_{char) + D_{char} + I_{char}}{L_{GT}}</w:t>
      </w:r>
      <w:r>
        <w:rPr>
          <w:rFonts w:ascii="Cambria Math" w:hAnsi="Cambria Math"/>
          <w:i/>
          <w:color w:val="003366"/>
          <w:sz w:val="20"/>
        </w:rPr>
      </w:r>
    </w:p>
    <w:p>
      <w:pPr>
        <w:spacing w:before="20" w:after="40"/>
        <w:ind w:left="360"/>
      </w:pPr>
      <w:r>
        <w:rPr>
          <w:rFonts w:ascii="Times New Roman" w:hAnsi="Times New Roman"/>
          <w:b/>
          <w:sz w:val="20"/>
        </w:rPr>
        <w:t xml:space="preserve">4. </w:t>
      </w:r>
      <w:r>
        <w:rPr>
          <w:rFonts w:ascii="Times New Roman" w:hAnsi="Times New Roman"/>
          <w:b/>
          <w:sz w:val="20"/>
        </w:rPr>
        <w:t>Word Error Rate (WER)</w:t>
      </w:r>
      <w:r>
        <w:rPr>
          <w:rFonts w:ascii="Times New Roman" w:hAnsi="Times New Roman"/>
          <w:sz w:val="20"/>
        </w:rPr>
        <w:t>: Tokenized word-level edit distance between predicted field strings and ground truth field strings, normalized by total ground truth word count (</w:t>
      </w:r>
      <w:r>
        <w:rPr>
          <w:rFonts w:ascii="Times New Roman" w:hAnsi="Times New Roman"/>
          <w:i/>
          <w:color w:val="003366"/>
          <w:sz w:val="20"/>
        </w:rPr>
        <w:t>W_{GT}</w:t>
      </w:r>
      <w:r>
        <w:rPr>
          <w:rFonts w:ascii="Times New Roman" w:hAnsi="Times New Roman"/>
          <w:sz w:val="20"/>
        </w:rPr>
        <w:t>):</w:t>
      </w:r>
    </w:p>
    <w:p>
      <w:pPr>
        <w:spacing w:before="40" w:after="80" w:line="276" w:lineRule="auto"/>
      </w:pPr>
      <w:r>
        <w:rPr>
          <w:rFonts w:ascii="Cambria Math" w:hAnsi="Cambria Math"/>
          <w:i/>
          <w:color w:val="003366"/>
          <w:sz w:val="20"/>
        </w:rPr>
      </w:r>
      <w:r>
        <w:rPr>
          <w:rFonts w:ascii="Times New Roman" w:hAnsi="Times New Roman"/>
          <w:sz w:val="20"/>
        </w:rPr>
        <w:t>WER = (S_{word) + D_{word} + I_{word}}{W_{GT}}</w:t>
      </w:r>
      <w:r>
        <w:rPr>
          <w:rFonts w:ascii="Cambria Math" w:hAnsi="Cambria Math"/>
          <w:i/>
          <w:color w:val="003366"/>
          <w:sz w:val="20"/>
        </w:rPr>
      </w:r>
    </w:p>
    <w:p>
      <w:pPr>
        <w:spacing w:before="20" w:after="40"/>
        <w:ind w:left="360"/>
      </w:pPr>
      <w:r>
        <w:rPr>
          <w:rFonts w:ascii="Times New Roman" w:hAnsi="Times New Roman"/>
          <w:b/>
          <w:sz w:val="20"/>
        </w:rPr>
        <w:t xml:space="preserve">5. </w:t>
      </w:r>
      <w:r>
        <w:rPr>
          <w:rFonts w:ascii="Times New Roman" w:hAnsi="Times New Roman"/>
          <w:b/>
          <w:sz w:val="20"/>
        </w:rPr>
        <w:t>Joint Record Exact Match Rate (EM)</w:t>
      </w:r>
      <w:r>
        <w:rPr>
          <w:rFonts w:ascii="Times New Roman" w:hAnsi="Times New Roman"/>
          <w:sz w:val="20"/>
        </w:rPr>
        <w:t>: The percentage of specimens that achieve both 100% key-value field extraction AND correct top-level category classification simultaneously.</w:t>
      </w:r>
    </w:p>
    <w:p>
      <w:pPr>
        <w:spacing w:before="20" w:after="40"/>
        <w:ind w:left="360"/>
      </w:pPr>
      <w:r>
        <w:rPr>
          <w:rFonts w:ascii="Times New Roman" w:hAnsi="Times New Roman"/>
          <w:b/>
          <w:sz w:val="20"/>
        </w:rPr>
        <w:t xml:space="preserve">6. </w:t>
      </w:r>
      <w:r>
        <w:rPr>
          <w:rFonts w:ascii="Times New Roman" w:hAnsi="Times New Roman"/>
          <w:b/>
          <w:sz w:val="20"/>
        </w:rPr>
        <w:t>Latency &amp; Throughput</w:t>
      </w:r>
      <w:r>
        <w:rPr>
          <w:rFonts w:ascii="Times New Roman" w:hAnsi="Times New Roman"/>
          <w:sz w:val="20"/>
        </w:rPr>
        <w:t>: Execution latency per specimen (</w:t>
      </w:r>
      <w:r>
        <w:rPr>
          <w:rFonts w:ascii="Times New Roman" w:hAnsi="Times New Roman"/>
          <w:i/>
          <w:color w:val="003366"/>
          <w:sz w:val="20"/>
        </w:rPr>
        <w:t>ms/sample</w:t>
      </w:r>
      <w:r>
        <w:rPr>
          <w:rFonts w:ascii="Times New Roman" w:hAnsi="Times New Roman"/>
          <w:sz w:val="20"/>
        </w:rPr>
        <w:t>) and framework processing throughput (</w:t>
      </w:r>
      <w:r>
        <w:rPr>
          <w:rFonts w:ascii="Times New Roman" w:hAnsi="Times New Roman"/>
          <w:i/>
          <w:color w:val="003366"/>
          <w:sz w:val="20"/>
        </w:rPr>
        <w:t>samples/sec</w:t>
      </w:r>
      <w:r>
        <w:rPr>
          <w:rFonts w:ascii="Times New Roman" w:hAnsi="Times New Roman"/>
          <w:sz w:val="20"/>
        </w:rPr>
        <w:t>).</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7. Results &amp; Validation</w:t>
      </w:r>
    </w:p>
    <w:p>
      <w:pPr>
        <w:keepNext/>
        <w:spacing w:before="200" w:after="80"/>
      </w:pPr>
      <w:r>
        <w:rPr>
          <w:rFonts w:ascii="Times New Roman" w:hAnsi="Times New Roman"/>
          <w:b/>
          <w:color w:val="333333"/>
          <w:sz w:val="23"/>
        </w:rPr>
        <w:t>7.1 Distinction Between Framework Validation, Benchmark Validation, and Model Performance</w:t>
      </w:r>
    </w:p>
    <w:p>
      <w:pPr>
        <w:spacing w:before="40" w:after="80" w:line="276" w:lineRule="auto"/>
      </w:pPr>
      <w:r>
        <w:rPr>
          <w:rFonts w:ascii="Times New Roman" w:hAnsi="Times New Roman"/>
          <w:sz w:val="20"/>
        </w:rPr>
        <w:t>To ensure complete scientific integrity, we explicitly distinguish between three evaluation dimensions:</w:t>
      </w:r>
    </w:p>
    <w:p>
      <w:pPr>
        <w:spacing w:before="20" w:after="40"/>
        <w:ind w:left="360"/>
      </w:pPr>
      <w:r>
        <w:rPr>
          <w:rFonts w:ascii="Times New Roman" w:hAnsi="Times New Roman"/>
          <w:b/>
          <w:sz w:val="20"/>
        </w:rPr>
        <w:t xml:space="preserve">1. </w:t>
      </w:r>
      <w:r>
        <w:rPr>
          <w:rFonts w:ascii="Times New Roman" w:hAnsi="Times New Roman"/>
          <w:b/>
          <w:sz w:val="20"/>
        </w:rPr>
        <w:t>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w:t>
      </w:r>
    </w:p>
    <w:p>
      <w:pPr>
        <w:spacing w:before="20" w:after="40"/>
        <w:ind w:left="360"/>
      </w:pPr>
      <w:r>
        <w:rPr>
          <w:rFonts w:ascii="Times New Roman" w:hAnsi="Times New Roman"/>
          <w:b/>
          <w:sz w:val="20"/>
        </w:rPr>
        <w:t xml:space="preserve">2. </w:t>
      </w:r>
      <w:r>
        <w:rPr>
          <w:rFonts w:ascii="Times New Roman" w:hAnsi="Times New Roman"/>
          <w:b/>
          <w:sz w:val="20"/>
        </w:rPr>
        <w:t>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pPr>
        <w:spacing w:before="20" w:after="40"/>
        <w:ind w:left="360"/>
      </w:pPr>
      <w:r>
        <w:rPr>
          <w:rFonts w:ascii="Times New Roman" w:hAnsi="Times New Roman"/>
          <w:b/>
          <w:sz w:val="20"/>
        </w:rPr>
        <w:t xml:space="preserve">3. </w:t>
      </w:r>
      <w:r>
        <w:rPr>
          <w:rFonts w:ascii="Times New Roman" w:hAnsi="Times New Roman"/>
          <w:b/>
          <w:sz w:val="20"/>
        </w:rPr>
        <w:t>Model Extraction Performance (Model Evaluation)</w:t>
      </w:r>
      <w:r>
        <w:rPr>
          <w:rFonts w:ascii="Times New Roman" w:hAnsi="Times New Roman"/>
          <w:sz w:val="20"/>
        </w:rPr>
        <w:t>: Measures extraction performance metrics (Precision, Recall, F1, CER, WER) across live neural models.</w:t>
      </w:r>
    </w:p>
    <w:p>
      <w:pPr>
        <w:keepNext/>
        <w:spacing w:before="200" w:after="80"/>
      </w:pPr>
      <w:r>
        <w:rPr>
          <w:rFonts w:ascii="Times New Roman" w:hAnsi="Times New Roman"/>
          <w:b/>
          <w:color w:val="333333"/>
          <w:sz w:val="23"/>
        </w:rPr>
        <w:t>7.2 Framework Execution &amp; System Verification Metrics</w:t>
      </w:r>
    </w:p>
    <w:p>
      <w:pPr>
        <w:spacing w:before="40" w:after="80" w:line="276" w:lineRule="auto"/>
      </w:pPr>
      <w:r>
        <w:rPr>
          <w:rFonts w:ascii="Times New Roman" w:hAnsi="Times New Roman"/>
          <w:sz w:val="20"/>
        </w:rPr>
        <w:t>Table 1 summarizes the framework system verification metrics evaluated across the 360 benchmark specimens (AU_DIC_Benchmark_v1.0).</w:t>
      </w:r>
    </w:p>
    <w:p>
      <w:pPr>
        <w:keepNext/>
        <w:spacing w:before="160" w:after="80"/>
        <w:jc w:val="center"/>
      </w:pPr>
      <w:r>
        <w:rPr>
          <w:rFonts w:ascii="Times New Roman" w:hAnsi="Times New Roman"/>
          <w:b/>
          <w:color w:val="003366"/>
          <w:sz w:val="19"/>
        </w:rPr>
        <w:t>Table 1: Framework Execution Verification Metrics Across Quality Profiles on AU DIC Benchmark v1.0</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Overall Total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r>
    </w:tbl>
    <w:p>
      <w:pPr>
        <w:spacing w:after="120"/>
      </w:pPr>
    </w:p>
    <w:p>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pPr>
        <w:keepNext/>
        <w:spacing w:before="200" w:after="80"/>
      </w:pPr>
      <w:r>
        <w:rPr>
          <w:rFonts w:ascii="Times New Roman" w:hAnsi="Times New Roman"/>
          <w:b/>
          <w:color w:val="333333"/>
          <w:sz w:val="23"/>
        </w:rPr>
        <w:t>7.3 System Throughput &amp; Execution Latency</w:t>
      </w:r>
    </w:p>
    <w:p>
      <w:pPr>
        <w:pStyle w:val="ListBullet"/>
        <w:spacing w:before="20" w:after="40"/>
      </w:pPr>
      <w:r>
        <w:rPr>
          <w:rFonts w:ascii="Times New Roman" w:hAnsi="Times New Roman"/>
          <w:b/>
          <w:sz w:val="20"/>
        </w:rPr>
        <w:t>Total Samples Evaluated</w:t>
      </w:r>
      <w:r>
        <w:rPr>
          <w:rFonts w:ascii="Times New Roman" w:hAnsi="Times New Roman"/>
          <w:sz w:val="20"/>
        </w:rPr>
        <w:t>: 360</w:t>
      </w:r>
    </w:p>
    <w:p>
      <w:pPr>
        <w:pStyle w:val="ListBullet"/>
        <w:spacing w:before="20" w:after="40"/>
      </w:pPr>
      <w:r>
        <w:rPr>
          <w:rFonts w:ascii="Times New Roman" w:hAnsi="Times New Roman"/>
          <w:b/>
          <w:sz w:val="20"/>
        </w:rPr>
        <w:t>Successful / Failed Ratio</w:t>
      </w:r>
      <w:r>
        <w:rPr>
          <w:rFonts w:ascii="Times New Roman" w:hAnsi="Times New Roman"/>
          <w:sz w:val="20"/>
        </w:rPr>
        <w:t>: 360 / 0</w:t>
      </w:r>
    </w:p>
    <w:p>
      <w:pPr>
        <w:pStyle w:val="ListBullet"/>
        <w:spacing w:before="20" w:after="40"/>
      </w:pPr>
      <w:r>
        <w:rPr>
          <w:rFonts w:ascii="Times New Roman" w:hAnsi="Times New Roman"/>
          <w:b/>
          <w:sz w:val="20"/>
        </w:rPr>
        <w:t>Total System Verification Execution Time</w:t>
      </w:r>
      <w:r>
        <w:rPr>
          <w:rFonts w:ascii="Times New Roman" w:hAnsi="Times New Roman"/>
          <w:sz w:val="20"/>
        </w:rPr>
        <w:t>: 1.48 seconds</w:t>
      </w:r>
    </w:p>
    <w:p>
      <w:pPr>
        <w:pStyle w:val="ListBullet"/>
        <w:spacing w:before="20" w:after="40"/>
      </w:pPr>
      <w:r>
        <w:rPr>
          <w:rFonts w:ascii="Times New Roman" w:hAnsi="Times New Roman"/>
          <w:b/>
          <w:sz w:val="20"/>
        </w:rPr>
        <w:t>System Verification Throughput</w:t>
      </w:r>
      <w:r>
        <w:rPr>
          <w:rFonts w:ascii="Times New Roman" w:hAnsi="Times New Roman"/>
          <w:sz w:val="20"/>
        </w:rPr>
        <w:t>: 242.59 samples/sec</w:t>
      </w:r>
    </w:p>
    <w:p>
      <w:pPr>
        <w:pStyle w:val="ListBullet"/>
        <w:spacing w:before="20" w:after="40"/>
      </w:pPr>
      <w:r>
        <w:rPr>
          <w:rFonts w:ascii="Times New Roman" w:hAnsi="Times New Roman"/>
          <w:b/>
          <w:sz w:val="20"/>
        </w:rPr>
        <w:t>Mean System Processing Latency</w:t>
      </w:r>
      <w:r>
        <w:rPr>
          <w:rFonts w:ascii="Times New Roman" w:hAnsi="Times New Roman"/>
          <w:sz w:val="20"/>
        </w:rPr>
        <w:t>: 4.12 ms/sample (</w:t>
      </w:r>
      <w:r>
        <w:rPr>
          <w:rFonts w:ascii="Times New Roman" w:hAnsi="Times New Roman"/>
          <w:i/>
          <w:color w:val="003366"/>
          <w:sz w:val="20"/>
        </w:rPr>
        <w:t>\sigma = 0.45 ms</w:t>
      </w:r>
      <w:r>
        <w:rPr>
          <w:rFonts w:ascii="Times New Roman" w:hAnsi="Times New Roman"/>
          <w:sz w:val="20"/>
        </w:rPr>
        <w:t>)</w:t>
      </w:r>
    </w:p>
    <w:p>
      <w:pPr>
        <w:keepNext/>
        <w:spacing w:before="200" w:after="80"/>
      </w:pPr>
      <w:r>
        <w:rPr>
          <w:rFonts w:ascii="Times New Roman" w:hAnsi="Times New Roman"/>
          <w:b/>
          <w:color w:val="333333"/>
          <w:sz w:val="23"/>
        </w:rPr>
        <w:t>7.4 Empirical Live Neural Model Evaluation Results</w:t>
      </w:r>
    </w:p>
    <w:p>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pPr>
        <w:keepNext/>
        <w:spacing w:before="160" w:after="40"/>
      </w:pPr>
      <w:r>
        <w:rPr>
          <w:rFonts w:ascii="Times New Roman" w:hAnsi="Times New Roman"/>
          <w:b/>
          <w:i/>
          <w:sz w:val="21"/>
        </w:rPr>
        <w:t>7.4.1 Inference Pipeline Disambiguation (Option B)</w:t>
      </w:r>
    </w:p>
    <w:p>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pPr>
        <w:spacing w:before="160" w:after="80"/>
        <w:jc w:val="center"/>
      </w:pPr>
      <w:r>
        <w:drawing>
          <wp:inline xmlns:a="http://schemas.openxmlformats.org/drawingml/2006/main" xmlns:pic="http://schemas.openxmlformats.org/drawingml/2006/picture">
            <wp:extent cx="5943600" cy="2806700"/>
            <wp:docPr id="2" name="Picture 2"/>
            <wp:cNvGraphicFramePr>
              <a:graphicFrameLocks noChangeAspect="1"/>
            </wp:cNvGraphicFramePr>
            <a:graphic>
              <a:graphicData uri="http://schemas.openxmlformats.org/drawingml/2006/picture">
                <pic:pic>
                  <pic:nvPicPr>
                    <pic:cNvPr id="0" name="figure2_option_b_pipeline.png"/>
                    <pic:cNvPicPr/>
                  </pic:nvPicPr>
                  <pic:blipFill>
                    <a:blip r:embed="rId11"/>
                    <a:stretch>
                      <a:fillRect/>
                    </a:stretch>
                  </pic:blipFill>
                  <pic:spPr>
                    <a:xfrm>
                      <a:off x="0" y="0"/>
                      <a:ext cx="5943600" cy="2806700"/>
                    </a:xfrm>
                    <a:prstGeom prst="rect"/>
                  </pic:spPr>
                </pic:pic>
              </a:graphicData>
            </a:graphic>
          </wp:inline>
        </w:drawing>
      </w:r>
    </w:p>
    <w:p>
      <w:pPr>
        <w:spacing w:after="160"/>
        <w:jc w:val="center"/>
      </w:pPr>
      <w:r>
        <w:rPr>
          <w:rFonts w:ascii="Times New Roman" w:hAnsi="Times New Roman"/>
          <w:b/>
          <w:color w:val="003366"/>
          <w:sz w:val="19"/>
        </w:rPr>
        <w:t>Fig. 2. Option B Zero-Shot Text-Prompted Neural LLM Evaluation Pipeline Architecture.</w:t>
      </w:r>
    </w:p>
    <w:p>
      <w:pPr>
        <w:spacing w:before="40" w:after="80" w:line="276" w:lineRule="auto"/>
      </w:pPr>
      <w:r>
        <w:rPr>
          <w:rFonts w:ascii="Times New Roman" w:hAnsi="Times New Roman"/>
          <w:sz w:val="20"/>
        </w:rPr>
        <w:t xml:space="preserve">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pPr>
        <w:keepNext/>
        <w:spacing w:before="160" w:after="80"/>
        <w:jc w:val="center"/>
      </w:pPr>
      <w:r>
        <w:rPr>
          <w:rFonts w:ascii="Times New Roman" w:hAnsi="Times New Roman"/>
          <w:b/>
          <w:color w:val="003366"/>
          <w:sz w:val="19"/>
        </w:rPr>
        <w:t>Table 2: Live Model Extraction &amp; Classification Performance (Groq Llama 3.1 8B Instant)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Precision</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Recall</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F1 Score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Joint Record EM</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Overall Dataset</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bl>
    <w:p>
      <w:pPr>
        <w:spacing w:after="120"/>
      </w:pPr>
    </w:p>
    <w:p>
      <w:pPr>
        <w:keepNext/>
        <w:spacing w:before="160" w:after="40"/>
      </w:pPr>
      <w:r>
        <w:rPr>
          <w:rFonts w:ascii="Times New Roman" w:hAnsi="Times New Roman"/>
          <w:b/>
          <w:i/>
          <w:sz w:val="21"/>
        </w:rPr>
        <w:t>Empirical Analysis of Discovered Sub-Task Metrics:</w:t>
      </w:r>
    </w:p>
    <w:p>
      <w:pPr>
        <w:spacing w:before="20" w:after="40"/>
        <w:ind w:left="360"/>
      </w:pPr>
      <w:r>
        <w:rPr>
          <w:rFonts w:ascii="Times New Roman" w:hAnsi="Times New Roman"/>
          <w:b/>
          <w:sz w:val="20"/>
        </w:rPr>
        <w:t xml:space="preserve">1. </w:t>
      </w:r>
      <w:r>
        <w:rPr>
          <w:rFonts w:ascii="Times New Roman" w:hAnsi="Times New Roman"/>
          <w:b/>
          <w:sz w:val="20"/>
        </w:rPr>
        <w:t>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pPr>
        <w:spacing w:before="20" w:after="40"/>
        <w:ind w:left="360"/>
      </w:pPr>
      <w:r>
        <w:rPr>
          <w:rFonts w:ascii="Times New Roman" w:hAnsi="Times New Roman"/>
          <w:b/>
          <w:sz w:val="20"/>
        </w:rPr>
        <w:t xml:space="preserve">2. </w:t>
      </w:r>
      <w:r>
        <w:rPr>
          <w:rFonts w:ascii="Times New Roman" w:hAnsi="Times New Roman"/>
          <w:b/>
          <w:sz w:val="20"/>
        </w:rPr>
        <w:t>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pPr>
        <w:spacing w:before="20" w:after="40"/>
        <w:ind w:left="360"/>
      </w:pPr>
      <w:r>
        <w:rPr>
          <w:rFonts w:ascii="Times New Roman" w:hAnsi="Times New Roman"/>
          <w:b/>
          <w:sz w:val="20"/>
        </w:rPr>
        <w:t xml:space="preserve">3. </w:t>
      </w:r>
      <w:r>
        <w:rPr>
          <w:rFonts w:ascii="Times New Roman" w:hAnsi="Times New Roman"/>
          <w:b/>
          <w:sz w:val="20"/>
        </w:rPr>
        <w:t>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8. Discussion, Threats to Validity &amp; Limitations</w:t>
      </w:r>
    </w:p>
    <w:p>
      <w:pPr>
        <w:keepNext/>
        <w:spacing w:before="200" w:after="80"/>
      </w:pPr>
      <w:r>
        <w:rPr>
          <w:rFonts w:ascii="Times New Roman" w:hAnsi="Times New Roman"/>
          <w:b/>
          <w:color w:val="333333"/>
          <w:sz w:val="23"/>
        </w:rPr>
        <w:t>8.1 Discussion of Findings</w:t>
      </w:r>
    </w:p>
    <w:p>
      <w:pPr>
        <w:spacing w:before="20" w:after="40"/>
        <w:ind w:left="360"/>
      </w:pPr>
      <w:r>
        <w:rPr>
          <w:rFonts w:ascii="Times New Roman" w:hAnsi="Times New Roman"/>
          <w:b/>
          <w:sz w:val="20"/>
        </w:rPr>
        <w:t xml:space="preserve">1. </w:t>
      </w:r>
      <w:r>
        <w:rPr>
          <w:rFonts w:ascii="Times New Roman" w:hAnsi="Times New Roman"/>
          <w:b/>
          <w:sz w:val="20"/>
        </w:rPr>
        <w:t>Utility of Semantic Canonical Normalization</w:t>
      </w:r>
      <w:r>
        <w:rPr>
          <w:rFonts w:ascii="Times New Roman" w:hAnsi="Times New Roman"/>
          <w:sz w:val="20"/>
        </w:rPr>
        <w:t>: Canonical normalization prevents superficial formatting differences (e.g., date styling) from distorting model accuracy scores.</w:t>
      </w:r>
    </w:p>
    <w:p>
      <w:pPr>
        <w:spacing w:before="20" w:after="40"/>
        <w:ind w:left="360"/>
      </w:pPr>
      <w:r>
        <w:rPr>
          <w:rFonts w:ascii="Times New Roman" w:hAnsi="Times New Roman"/>
          <w:b/>
          <w:sz w:val="20"/>
        </w:rPr>
        <w:t xml:space="preserve">2. </w:t>
      </w:r>
      <w:r>
        <w:rPr>
          <w:rFonts w:ascii="Times New Roman" w:hAnsi="Times New Roman"/>
          <w:b/>
          <w:sz w:val="20"/>
        </w:rPr>
        <w:t>Safe Read-Only Execution</w:t>
      </w:r>
      <w:r>
        <w:rPr>
          <w:rFonts w:ascii="Times New Roman" w:hAnsi="Times New Roman"/>
          <w:sz w:val="20"/>
        </w:rPr>
        <w:t>: Performing evaluations headlessly without database mutations allows benchmarks to be run safely in production environments.</w:t>
      </w:r>
    </w:p>
    <w:p>
      <w:pPr>
        <w:keepNext/>
        <w:spacing w:before="200" w:after="80"/>
      </w:pPr>
      <w:r>
        <w:rPr>
          <w:rFonts w:ascii="Times New Roman" w:hAnsi="Times New Roman"/>
          <w:b/>
          <w:color w:val="333333"/>
          <w:sz w:val="23"/>
        </w:rPr>
        <w:t>8.2 Threats to Validity</w:t>
      </w:r>
    </w:p>
    <w:p>
      <w:pPr>
        <w:pStyle w:val="ListBullet"/>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w:t>
      </w:r>
    </w:p>
    <w:p>
      <w:pPr>
        <w:pStyle w:val="ListBullet"/>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w:t>
      </w:r>
    </w:p>
    <w:p>
      <w:pPr>
        <w:pStyle w:val="ListBullet"/>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w:t>
      </w:r>
    </w:p>
    <w:p>
      <w:pPr>
        <w:keepNext/>
        <w:spacing w:before="200" w:after="80"/>
      </w:pPr>
      <w:r>
        <w:rPr>
          <w:rFonts w:ascii="Times New Roman" w:hAnsi="Times New Roman"/>
          <w:b/>
          <w:color w:val="333333"/>
          <w:sz w:val="23"/>
        </w:rPr>
        <w:t>8.3 Detailed Limitations Analysis</w:t>
      </w:r>
    </w:p>
    <w:p>
      <w:pPr>
        <w:spacing w:before="20" w:after="40"/>
        <w:ind w:left="360"/>
      </w:pPr>
      <w:r>
        <w:rPr>
          <w:rFonts w:ascii="Times New Roman" w:hAnsi="Times New Roman"/>
          <w:b/>
          <w:sz w:val="20"/>
        </w:rPr>
        <w:t xml:space="preserve">1. </w:t>
      </w:r>
      <w:r>
        <w:rPr>
          <w:rFonts w:ascii="Times New Roman" w:hAnsi="Times New Roman"/>
          <w:b/>
          <w:sz w:val="20"/>
        </w:rPr>
        <w:t>Synthetic Document Constraints</w:t>
      </w:r>
      <w:r>
        <w:rPr>
          <w:rFonts w:ascii="Times New Roman" w:hAnsi="Times New Roman"/>
          <w:sz w:val="20"/>
        </w:rPr>
        <w:t>: Synthetic credentials generated by ADBG v1.0 lack authentic physical paper aging artifacts such as ink bleed, water damage, or physical stamp embossing.</w:t>
      </w:r>
    </w:p>
    <w:p>
      <w:pPr>
        <w:spacing w:before="20" w:after="40"/>
        <w:ind w:left="360"/>
      </w:pPr>
      <w:r>
        <w:rPr>
          <w:rFonts w:ascii="Times New Roman" w:hAnsi="Times New Roman"/>
          <w:b/>
          <w:sz w:val="20"/>
        </w:rPr>
        <w:t xml:space="preserve">2. </w:t>
      </w:r>
      <w:r>
        <w:rPr>
          <w:rFonts w:ascii="Times New Roman" w:hAnsi="Times New Roman"/>
          <w:b/>
          <w:sz w:val="20"/>
        </w:rPr>
        <w:t>Language Scope</w:t>
      </w:r>
      <w:r>
        <w:rPr>
          <w:rFonts w:ascii="Times New Roman" w:hAnsi="Times New Roman"/>
          <w:sz w:val="20"/>
        </w:rPr>
        <w:t>: ADBG v1.0 is currently restricted to English (en_IN). Multi-lingual documents containing Indic scripts (Hindi, Tamil, Devanagari) are reserved for future releases.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9. Future Work</w:t>
      </w:r>
    </w:p>
    <w:p>
      <w:pPr>
        <w:spacing w:before="40" w:after="80" w:line="276" w:lineRule="auto"/>
      </w:pPr>
      <w:r>
        <w:rPr>
          <w:rFonts w:ascii="Times New Roman" w:hAnsi="Times New Roman"/>
          <w:sz w:val="20"/>
        </w:rPr>
        <w:t>Future research directions include:</w:t>
      </w:r>
    </w:p>
    <w:p>
      <w:pPr>
        <w:spacing w:before="20" w:after="40"/>
        <w:ind w:left="360"/>
      </w:pPr>
      <w:r>
        <w:rPr>
          <w:rFonts w:ascii="Times New Roman" w:hAnsi="Times New Roman"/>
          <w:b/>
          <w:sz w:val="20"/>
        </w:rPr>
        <w:t xml:space="preserve">1. </w:t>
      </w:r>
      <w:r>
        <w:rPr>
          <w:rFonts w:ascii="Times New Roman" w:hAnsi="Times New Roman"/>
          <w:b/>
          <w:sz w:val="20"/>
        </w:rPr>
        <w:t>ADBG v2.0 Multi-Lingual Expansion</w:t>
      </w:r>
      <w:r>
        <w:rPr>
          <w:rFonts w:ascii="Times New Roman" w:hAnsi="Times New Roman"/>
          <w:sz w:val="20"/>
        </w:rPr>
        <w:t>: Extending data fabricators to support Indic scripts (Hindi, Tamil, Devanagari) and bilingual degree templates.</w:t>
      </w:r>
    </w:p>
    <w:p>
      <w:pPr>
        <w:spacing w:before="20" w:after="40"/>
        <w:ind w:left="360"/>
      </w:pPr>
      <w:r>
        <w:rPr>
          <w:rFonts w:ascii="Times New Roman" w:hAnsi="Times New Roman"/>
          <w:b/>
          <w:sz w:val="20"/>
        </w:rPr>
        <w:t xml:space="preserve">2. </w:t>
      </w:r>
      <w:r>
        <w:rPr>
          <w:rFonts w:ascii="Times New Roman" w:hAnsi="Times New Roman"/>
          <w:b/>
          <w:sz w:val="20"/>
        </w:rPr>
        <w:t>Open-Weight Vision-Language Model Benchmarking</w:t>
      </w:r>
      <w:r>
        <w:rPr>
          <w:rFonts w:ascii="Times New Roman" w:hAnsi="Times New Roman"/>
          <w:sz w:val="20"/>
        </w:rPr>
        <w:t>: Benchmarking end-to-end vision encoder-decoder models (Donut, Florence-2, LLaVA-NeXT-Doc) directly on raw image pixel tensors under Option A.</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10. Conclusion</w:t>
      </w:r>
    </w:p>
    <w:p>
      <w:pPr>
        <w:spacing w:before="40" w:after="80" w:line="276" w:lineRule="auto"/>
      </w:pPr>
      <w:r>
        <w:rPr>
          <w:rFonts w:ascii="Times New Roman" w:hAnsi="Times New Roman"/>
          <w:sz w:val="20"/>
        </w:rPr>
        <w:t xml:space="preserve">In this paper, we presented </w:t>
      </w:r>
      <w:r>
        <w:rPr>
          <w:rFonts w:ascii="Times New Roman" w:hAnsi="Times New Roman"/>
          <w:b/>
          <w:sz w:val="20"/>
        </w:rPr>
        <w:t>ADBG v1.0</w:t>
      </w:r>
      <w:r>
        <w:rPr>
          <w:rFonts w:ascii="Times New Roman" w:hAnsi="Times New Roman"/>
          <w:sz w:val="20"/>
        </w:rPr>
        <w:t xml:space="preserve"> and the </w:t>
      </w:r>
      <w:r>
        <w:rPr>
          <w:rFonts w:ascii="Times New Roman" w:hAnsi="Times New Roman"/>
          <w:b/>
          <w:sz w:val="20"/>
        </w:rPr>
        <w:t>AU DIC Benchmark Evaluation Framework v1.0</w:t>
      </w:r>
      <w:r>
        <w:rPr>
          <w:rFonts w:ascii="Times New Roman" w:hAnsi="Times New Roman"/>
          <w:sz w:val="20"/>
        </w:rPr>
        <w:t xml:space="preserve"> for evaluating academic document intelligence systems. The framework incorporates a seed-deterministic synthetic data generator, a six-stage semantic canonical normalization layer, and a nine-class structured OCR error taxonomy. Live neural model inference over 360 specimens using Groq Cloud Llama 3.1 8B Instant demonstrated a 100.00% Field Extraction F1 score and uncovered a prompt-constraint failure mode in zero-shot category classification. This work establishes a privacy-safe, reproducible foundation for academic document analysis research.</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Ethics &amp; Privacy Statement</w:t>
      </w:r>
    </w:p>
    <w:p>
      <w:pPr>
        <w:spacing w:before="40" w:after="80" w:line="276" w:lineRule="auto"/>
      </w:pPr>
      <w:r>
        <w:rPr>
          <w:rFonts w:ascii="Times New Roman" w:hAnsi="Times New Roman"/>
          <w:sz w:val="20"/>
        </w:rPr>
        <w:t>All document specimens generated by ADBG v1.0 utilize fictional student names, candidate identifiers, and institutional titles. No authentic student records or personal data were used, ensuring full compliance with FERPA and GDPR privacy regulations.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A: Reproducibility Specifications</w:t>
      </w:r>
    </w:p>
    <w:p>
      <w:pPr>
        <w:pStyle w:val="ListBullet"/>
        <w:spacing w:before="20" w:after="40"/>
      </w:pPr>
      <w:r>
        <w:rPr>
          <w:rFonts w:ascii="Times New Roman" w:hAnsi="Times New Roman"/>
          <w:b/>
          <w:sz w:val="20"/>
        </w:rPr>
        <w:t>Dataset SHA-256 Hash</w:t>
      </w:r>
      <w:r>
        <w:rPr>
          <w:rFonts w:ascii="Times New Roman" w:hAnsi="Times New Roman"/>
          <w:sz w:val="20"/>
        </w:rPr>
        <w:t>: 17c136ef76dd0f82</w:t>
      </w:r>
    </w:p>
    <w:p>
      <w:pPr>
        <w:pStyle w:val="ListBullet"/>
        <w:spacing w:before="20" w:after="40"/>
      </w:pPr>
      <w:r>
        <w:rPr>
          <w:rFonts w:ascii="Times New Roman" w:hAnsi="Times New Roman"/>
          <w:b/>
          <w:sz w:val="20"/>
        </w:rPr>
        <w:t>Git Commit Hash</w:t>
      </w:r>
      <w:r>
        <w:rPr>
          <w:rFonts w:ascii="Times New Roman" w:hAnsi="Times New Roman"/>
          <w:sz w:val="20"/>
        </w:rPr>
        <w:t>: 823334b</w:t>
      </w:r>
    </w:p>
    <w:p>
      <w:pPr>
        <w:pStyle w:val="ListBullet"/>
        <w:spacing w:before="20" w:after="40"/>
      </w:pPr>
      <w:r>
        <w:rPr>
          <w:rFonts w:ascii="Times New Roman" w:hAnsi="Times New Roman"/>
          <w:b/>
          <w:sz w:val="20"/>
        </w:rPr>
        <w:t>Framework Version</w:t>
      </w:r>
      <w:r>
        <w:rPr>
          <w:rFonts w:ascii="Times New Roman" w:hAnsi="Times New Roman"/>
          <w:sz w:val="20"/>
        </w:rPr>
        <w:t>: 1.0.0 (Release Candidate 1 - RC1)</w:t>
      </w:r>
    </w:p>
    <w:p>
      <w:pPr>
        <w:pStyle w:val="ListBullet"/>
        <w:spacing w:before="20" w:after="40"/>
      </w:pPr>
      <w:r>
        <w:rPr>
          <w:rFonts w:ascii="Times New Roman" w:hAnsi="Times New Roman"/>
          <w:b/>
          <w:sz w:val="20"/>
        </w:rPr>
        <w:t>Report Directory</w:t>
      </w:r>
      <w:r>
        <w:rPr>
          <w:rFonts w:ascii="Times New Roman" w:hAnsi="Times New Roman"/>
          <w:sz w:val="20"/>
        </w:rPr>
        <w:t>: backend/benchmark_reports/run_1785796639905/</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B: Technical Clarifications &amp; Reviewer Inquiries</w:t>
      </w:r>
    </w:p>
    <w:p>
      <w:pPr>
        <w:keepNext/>
        <w:spacing w:before="200" w:after="80"/>
      </w:pPr>
      <w:r>
        <w:rPr>
          <w:rFonts w:ascii="Times New Roman" w:hAnsi="Times New Roman"/>
          <w:b/>
          <w:color w:val="333333"/>
          <w:sz w:val="23"/>
        </w:rPr>
        <w:t>B.1 CanonicalNormalizer Fallback Behavior</w:t>
      </w:r>
    </w:p>
    <w:p>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This pipeline trims whitespace, collapses multiple internal spaces, and lowercases string characters, ensuring fair evaluation without pipeline failure.</w:t>
      </w:r>
    </w:p>
    <w:p>
      <w:pPr>
        <w:keepNext/>
        <w:spacing w:before="200" w:after="80"/>
      </w:pPr>
      <w:r>
        <w:rPr>
          <w:rFonts w:ascii="Times New Roman" w:hAnsi="Times New Roman"/>
          <w:b/>
          <w:color w:val="333333"/>
          <w:sz w:val="23"/>
        </w:rPr>
        <w:t>B.2 Scalability Beyond 360 Samples</w:t>
      </w:r>
    </w:p>
    <w:p>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w:r>
        <w:rPr>
          <w:rFonts w:ascii="Cambria Math" w:hAnsi="Cambria Math"/>
          <w:i/>
          <w:color w:val="003366"/>
          <w:sz w:val="20"/>
        </w:rPr>
        <w:t>O(N)</w:t>
      </w:r>
      <w:r>
        <w:rPr>
          <w:rFonts w:ascii="Times New Roman" w:hAnsi="Times New Roman"/>
          <w:sz w:val="20"/>
        </w:rPr>
        <w:t xml:space="preserve"> linear dataset processing with worker pool concurrency (concurrency: 4) and automatic checkpointing (checkpoint.json). In large-scale evaluation runs, BenchmarkRunner updates checkpoint.json after every batch increment. If an execution is interrupted, the runner loads completedSampleIds upon restart and continues evaluation without re-processing previously completed specimens.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References</w:t>
      </w:r>
    </w:p>
    <w:p>
      <w:pPr>
        <w:spacing w:before="40" w:after="60"/>
        <w:ind w:left="432" w:hanging="432"/>
      </w:pPr>
      <w:r>
        <w:rPr>
          <w:rFonts w:ascii="Times New Roman" w:hAnsi="Times New Roman"/>
          <w:b/>
          <w:sz w:val="19"/>
        </w:rPr>
        <w:t xml:space="preserve">[1] </w:t>
      </w:r>
      <w:r>
        <w:rPr>
          <w:rFonts w:ascii="Times New Roman" w:hAnsi="Times New Roman"/>
          <w:sz w:val="19"/>
        </w:rPr>
        <w:t xml:space="preserve">Harley, A. W., Ufkes, A., &amp; Bamford, R. (2015). Evaluation of deep convolutional nets for document image classification. </w:t>
      </w:r>
      <w:r>
        <w:rPr>
          <w:rFonts w:ascii="Times New Roman" w:hAnsi="Times New Roman"/>
          <w:i/>
          <w:sz w:val="19"/>
        </w:rPr>
        <w:t>International Conference on Document Analysis and Recognition (ICDAR)</w:t>
      </w:r>
      <w:r>
        <w:rPr>
          <w:rFonts w:ascii="Times New Roman" w:hAnsi="Times New Roman"/>
          <w:sz w:val="19"/>
        </w:rPr>
        <w:t>, 991-995.</w:t>
      </w:r>
    </w:p>
    <w:p>
      <w:pPr>
        <w:spacing w:before="40" w:after="60"/>
        <w:ind w:left="432" w:hanging="432"/>
      </w:pPr>
      <w:r>
        <w:rPr>
          <w:rFonts w:ascii="Times New Roman" w:hAnsi="Times New Roman"/>
          <w:b/>
          <w:sz w:val="19"/>
        </w:rPr>
        <w:t xml:space="preserve">[2] </w:t>
      </w:r>
      <w:r>
        <w:rPr>
          <w:rFonts w:ascii="Times New Roman" w:hAnsi="Times New Roman"/>
          <w:sz w:val="19"/>
        </w:rPr>
        <w:t xml:space="preserve">Huang, Z., Chen, K., He, J., Bai, X., Karatzas, D., Lu, S., &amp; Jawahar, C. V. (2019). ICDAR2019 competition on scanned receipts information extraction (SROIE). </w:t>
      </w:r>
      <w:r>
        <w:rPr>
          <w:rFonts w:ascii="Times New Roman" w:hAnsi="Times New Roman"/>
          <w:i/>
          <w:sz w:val="19"/>
        </w:rPr>
        <w:t>ICDAR</w:t>
      </w:r>
      <w:r>
        <w:rPr>
          <w:rFonts w:ascii="Times New Roman" w:hAnsi="Times New Roman"/>
          <w:sz w:val="19"/>
        </w:rPr>
        <w:t>, 1516-1520.</w:t>
      </w:r>
    </w:p>
    <w:p>
      <w:pPr>
        <w:spacing w:before="40" w:after="60"/>
        <w:ind w:left="432" w:hanging="432"/>
      </w:pPr>
      <w:r>
        <w:rPr>
          <w:rFonts w:ascii="Times New Roman" w:hAnsi="Times New Roman"/>
          <w:b/>
          <w:sz w:val="19"/>
        </w:rPr>
        <w:t xml:space="preserve">[3] </w:t>
      </w:r>
      <w:r>
        <w:rPr>
          <w:rFonts w:ascii="Times New Roman" w:hAnsi="Times New Roman"/>
          <w:sz w:val="19"/>
        </w:rPr>
        <w:t xml:space="preserve">Huang, Y., Lv, T., Cui, L., Lu, Y., &amp; Wei, F. (2022). LayoutLMv3: Pre-training for document AI with unified text and image masking. </w:t>
      </w:r>
      <w:r>
        <w:rPr>
          <w:rFonts w:ascii="Times New Roman" w:hAnsi="Times New Roman"/>
          <w:i/>
          <w:sz w:val="19"/>
        </w:rPr>
        <w:t>ACM MM</w:t>
      </w:r>
      <w:r>
        <w:rPr>
          <w:rFonts w:ascii="Times New Roman" w:hAnsi="Times New Roman"/>
          <w:sz w:val="19"/>
        </w:rPr>
        <w:t>, 4083-4091.</w:t>
      </w:r>
    </w:p>
    <w:p>
      <w:pPr>
        <w:spacing w:before="40" w:after="60"/>
        <w:ind w:left="432" w:hanging="432"/>
      </w:pPr>
      <w:r>
        <w:rPr>
          <w:rFonts w:ascii="Times New Roman" w:hAnsi="Times New Roman"/>
          <w:b/>
          <w:sz w:val="19"/>
        </w:rPr>
        <w:t xml:space="preserve">[4] </w:t>
      </w:r>
      <w:r>
        <w:rPr>
          <w:rFonts w:ascii="Times New Roman" w:hAnsi="Times New Roman"/>
          <w:sz w:val="19"/>
        </w:rPr>
        <w:t xml:space="preserve">Jaume, G., Ekenel, H. K., &amp; Thiran, J. P. (2019). FUNSD: A dataset for form understanding in noisy scanned documents. </w:t>
      </w:r>
      <w:r>
        <w:rPr>
          <w:rFonts w:ascii="Times New Roman" w:hAnsi="Times New Roman"/>
          <w:i/>
          <w:sz w:val="19"/>
        </w:rPr>
        <w:t>ICDAR Workshops</w:t>
      </w:r>
      <w:r>
        <w:rPr>
          <w:rFonts w:ascii="Times New Roman" w:hAnsi="Times New Roman"/>
          <w:sz w:val="19"/>
        </w:rPr>
        <w:t>, 56-61.</w:t>
      </w:r>
    </w:p>
    <w:p>
      <w:pPr>
        <w:spacing w:before="40" w:after="60"/>
        <w:ind w:left="432" w:hanging="432"/>
      </w:pPr>
      <w:r>
        <w:rPr>
          <w:rFonts w:ascii="Times New Roman" w:hAnsi="Times New Roman"/>
          <w:b/>
          <w:sz w:val="19"/>
        </w:rPr>
        <w:t xml:space="preserve">[5] </w:t>
      </w:r>
      <w:r>
        <w:rPr>
          <w:rFonts w:ascii="Times New Roman" w:hAnsi="Times New Roman"/>
          <w:sz w:val="19"/>
        </w:rPr>
        <w:t xml:space="preserve">Kim, G., Hong, T., Yim, M., Nam, J., Park, J., Yim, J., Hwang, S., Yun, S., Han, D., &amp; Park, S. (2022). OCR-free document understanding transformer. </w:t>
      </w:r>
      <w:r>
        <w:rPr>
          <w:rFonts w:ascii="Times New Roman" w:hAnsi="Times New Roman"/>
          <w:i/>
          <w:sz w:val="19"/>
        </w:rPr>
        <w:t>ECCV</w:t>
      </w:r>
      <w:r>
        <w:rPr>
          <w:rFonts w:ascii="Times New Roman" w:hAnsi="Times New Roman"/>
          <w:sz w:val="19"/>
        </w:rPr>
        <w:t>, 498-517.</w:t>
      </w:r>
    </w:p>
    <w:p>
      <w:pPr>
        <w:spacing w:before="40" w:after="60"/>
        <w:ind w:left="432" w:hanging="432"/>
      </w:pPr>
      <w:r>
        <w:rPr>
          <w:rFonts w:ascii="Times New Roman" w:hAnsi="Times New Roman"/>
          <w:b/>
          <w:sz w:val="19"/>
        </w:rPr>
        <w:t xml:space="preserve">[6] </w:t>
      </w:r>
      <w:r>
        <w:rPr>
          <w:rFonts w:ascii="Times New Roman" w:hAnsi="Times New Roman"/>
          <w:sz w:val="19"/>
        </w:rPr>
        <w:t xml:space="preserve">Li, M., Lv, T., Cui, L., Lu, Y., Florencio, D., Zhang, C., Li, Z., &amp; Wei, F. (2023). TrOCR: Transformer-based optical character recognition with pre-trained models. </w:t>
      </w:r>
      <w:r>
        <w:rPr>
          <w:rFonts w:ascii="Times New Roman" w:hAnsi="Times New Roman"/>
          <w:i/>
          <w:sz w:val="19"/>
        </w:rPr>
        <w:t>AAAI</w:t>
      </w:r>
      <w:r>
        <w:rPr>
          <w:rFonts w:ascii="Times New Roman" w:hAnsi="Times New Roman"/>
          <w:sz w:val="19"/>
        </w:rPr>
        <w:t>, 13094-13102.</w:t>
      </w:r>
    </w:p>
    <w:p>
      <w:pPr>
        <w:spacing w:before="40" w:after="60"/>
        <w:ind w:left="432" w:hanging="432"/>
      </w:pPr>
      <w:r>
        <w:rPr>
          <w:rFonts w:ascii="Times New Roman" w:hAnsi="Times New Roman"/>
          <w:b/>
          <w:sz w:val="19"/>
        </w:rPr>
        <w:t xml:space="preserve">[7] </w:t>
      </w:r>
      <w:r>
        <w:rPr>
          <w:rFonts w:ascii="Times New Roman" w:hAnsi="Times New Roman"/>
          <w:sz w:val="19"/>
        </w:rPr>
        <w:t xml:space="preserve">Mathew, M., Karatzas, D., &amp; Jawahar, C. V. (2021). DocVQA: A dataset for VQA on document images. </w:t>
      </w:r>
      <w:r>
        <w:rPr>
          <w:rFonts w:ascii="Times New Roman" w:hAnsi="Times New Roman"/>
          <w:i/>
          <w:sz w:val="19"/>
        </w:rPr>
        <w:t>WACV</w:t>
      </w:r>
      <w:r>
        <w:rPr>
          <w:rFonts w:ascii="Times New Roman" w:hAnsi="Times New Roman"/>
          <w:sz w:val="19"/>
        </w:rPr>
        <w:t>, 2200-2209.</w:t>
      </w:r>
    </w:p>
    <w:p>
      <w:pPr>
        <w:spacing w:before="40" w:after="60"/>
        <w:ind w:left="432" w:hanging="432"/>
      </w:pPr>
      <w:r>
        <w:rPr>
          <w:rFonts w:ascii="Times New Roman" w:hAnsi="Times New Roman"/>
          <w:b/>
          <w:sz w:val="19"/>
        </w:rPr>
        <w:t xml:space="preserve">[8] </w:t>
      </w:r>
      <w:r>
        <w:rPr>
          <w:rFonts w:ascii="Times New Roman" w:hAnsi="Times New Roman"/>
          <w:sz w:val="19"/>
        </w:rPr>
        <w:t xml:space="preserve">Park, S., Shin, S., Lee, B., Lee, J., Surh, J., Seo, M., &amp; Baek, H. (2019). CORD: A consolidated receipt dataset for post-OCR parsing. </w:t>
      </w:r>
      <w:r>
        <w:rPr>
          <w:rFonts w:ascii="Times New Roman" w:hAnsi="Times New Roman"/>
          <w:i/>
          <w:sz w:val="19"/>
        </w:rPr>
        <w:t>NeurIPS Workshop</w:t>
      </w:r>
      <w:r>
        <w:rPr>
          <w:rFonts w:ascii="Times New Roman" w:hAnsi="Times New Roman"/>
          <w:sz w:val="19"/>
        </w:rPr>
        <w:t>.</w:t>
      </w:r>
    </w:p>
    <w:p>
      <w:pPr>
        <w:spacing w:before="40" w:after="60"/>
        <w:ind w:left="432" w:hanging="432"/>
      </w:pPr>
      <w:r>
        <w:rPr>
          <w:rFonts w:ascii="Times New Roman" w:hAnsi="Times New Roman"/>
          <w:b/>
          <w:sz w:val="19"/>
        </w:rPr>
        <w:t xml:space="preserve">[9] </w:t>
      </w:r>
      <w:r>
        <w:rPr>
          <w:rFonts w:ascii="Times New Roman" w:hAnsi="Times New Roman"/>
          <w:sz w:val="19"/>
        </w:rPr>
        <w:t xml:space="preserve">Xiao, T., et al. (2024). Florence-2: Advancing a unified representation for vision tasks. </w:t>
      </w:r>
      <w:r>
        <w:rPr>
          <w:rFonts w:ascii="Times New Roman" w:hAnsi="Times New Roman"/>
          <w:i/>
          <w:sz w:val="19"/>
        </w:rPr>
        <w:t>CVPR</w:t>
      </w:r>
      <w:r>
        <w:rPr>
          <w:rFonts w:ascii="Times New Roman" w:hAnsi="Times New Roman"/>
          <w:sz w:val="19"/>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IEEE ACCESS | Volume 14,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