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m:oMath>
        <m:r>
          <w:rPr>
            <w:rFonts w:ascii="Cambria Math" w:hAnsi="Cambria Math"/>
          </w:rPr>
          <m:t>3</m:t>
        </m:r>
        <m:r>
          <w:rPr>
            <w:rFonts w:ascii="Times New Roman" w:hAnsi="Times New Roman"/>
            <w:i w:val="0"/>
          </w:rPr>
          <m:t>categories</m:t>
        </m:r>
        <m:r>
          <w:rPr>
            <w:rFonts w:ascii="Cambria Math" w:hAnsi="Cambria Math"/>
          </w:rPr>
          <m:t>×</m:t>
        </m:r>
        <m:r>
          <w:rPr>
            <w:rFonts w:ascii="Cambria Math" w:hAnsi="Cambria Math"/>
          </w:rPr>
          <m:t>30</m:t>
        </m:r>
        <m:r>
          <w:rPr>
            <w:rFonts w:ascii="Times New Roman" w:hAnsi="Times New Roman"/>
            <w:i w:val="0"/>
          </w:rPr>
          <m:t>instances</m:t>
        </m:r>
        <m:r>
          <w:rPr>
            <w:rFonts w:ascii="Cambria Math" w:hAnsi="Cambria Math"/>
          </w:rPr>
          <m:t>×</m:t>
        </m:r>
        <m:r>
          <w:rPr>
            <w:rFonts w:ascii="Cambria Math" w:hAnsi="Cambria Math"/>
          </w:rPr>
          <m:t>4</m:t>
        </m:r>
        <m:r>
          <w:rPr>
            <w:rFonts w:ascii="Times New Roman" w:hAnsi="Times New Roman"/>
            <w:i w:val="0"/>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three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Statutory Regulatory Barriers</w:t>
      </w:r>
      <w:r>
        <w:rPr>
          <w:rFonts w:ascii="Times New Roman" w:hAnsi="Times New Roman"/>
          <w:sz w:val="20"/>
        </w:rPr>
        <w:t>: Statutory regulations—such as the Family Educational Rights and Privacy Act (FERPA) in the United States and the General Data Protection Regulation (GDPR) in the European Union—prohibit the public distribution of authentic student academic records containing personally identifiable information (PII).</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w:t>
      </w:r>
    </w:p>
    <w:p>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Scientific Novelty Statement</w:t>
      </w:r>
    </w:p>
    <w:p>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Previous benchmark contributions in document analysis (e.g., SROIE, CORD, FUNSD, DocVQA) evaluate models on static document collections. In contrast, academic credential evaluation requires resolving statutory privacy constraints while insulating performance metrics from superficial representation variations.</w:t>
      </w:r>
    </w:p>
    <w:p>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this work establishes a reproducible foundation to evaluate classical OCR engines, Large Language Models (LLMs), and Vision-Language Models (VLMs) under controlled experimental conditions.</w:t>
      </w:r>
    </w:p>
    <w:p>
      <w:pPr>
        <w:keepNext/>
        <w:spacing w:before="200" w:after="80"/>
      </w:pPr>
      <w:r>
        <w:rPr>
          <w:rFonts w:ascii="Times New Roman" w:hAnsi="Times New Roman"/>
          <w:b/>
          <w:color w:val="333333"/>
          <w:sz w:val="23"/>
        </w:rPr>
        <w:t>1.5 Paper Organization</w:t>
      </w:r>
    </w:p>
    <w:p>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Foundational Document AI Models &amp; Benchmarks (Historical Context)</w:t>
      </w:r>
    </w:p>
    <w:p>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pPr>
        <w:pStyle w:val="ListBullet"/>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pPr>
        <w:pStyle w:val="ListBullet"/>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pPr>
        <w:keepNext/>
        <w:spacing w:before="200" w:after="80"/>
      </w:pPr>
      <w:r>
        <w:rPr>
          <w:rFonts w:ascii="Times New Roman" w:hAnsi="Times New Roman"/>
          <w:b/>
          <w:color w:val="333333"/>
          <w:sz w:val="23"/>
        </w:rPr>
        <w:t>2.2 Modern Vision-Language Models &amp; Multimodal Document Intelligence (2025–2026 Advances)</w:t>
      </w:r>
    </w:p>
    <w:p>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pPr>
        <w:pStyle w:val="ListBullet"/>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pPr>
        <w:pStyle w:val="ListBullet"/>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pPr>
        <w:pStyle w:val="ListBullet"/>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pPr>
        <w:pStyle w:val="ListBullet"/>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pPr>
        <w:pStyle w:val="ListBullet"/>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pPr>
        <w:keepNext/>
        <w:spacing w:before="200" w:after="80"/>
      </w:pPr>
      <w:r>
        <w:rPr>
          <w:rFonts w:ascii="Times New Roman" w:hAnsi="Times New Roman"/>
          <w:b/>
          <w:color w:val="333333"/>
          <w:sz w:val="23"/>
        </w:rPr>
        <w:t>2.3 Synthetic Document Generation &amp; Comparative Benchmark Analysis</w:t>
      </w:r>
    </w:p>
    <w:p>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 Model Paradigm</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Publication Year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Fully Synthetic Data</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Academic Credentials Domain</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Commercial Receipts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CORD</w:t>
            </w:r>
            <w:r>
              <w:rPr>
                <w:rFonts w:ascii="Times New Roman" w:hAnsi="Times New Roman"/>
                <w:sz w:val="18"/>
              </w:rPr>
              <w:t xml:space="preserve"> (Park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Scanned Receipts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(Anonymized)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Noise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Static Noise</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2021</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Mixed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Business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Donut</w:t>
            </w:r>
            <w:r>
              <w:rPr>
                <w:rFonts w:ascii="Times New Roman" w:hAnsi="Times New Roman"/>
                <w:sz w:val="18"/>
              </w:rPr>
              <w:t xml:space="preserve"> (Kim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Receipts &amp; Forms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2024</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General Vision-Text</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Synthetic/Natural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Multimodal Pages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ADBG v1.0 / AU DIC (Ours)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2026</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Academic Credentials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(100% Synthetic)</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(Semester Arrays)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(4 Profiles)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(6 Stages)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(Certificates/Mark-sheets)</w:t>
            </w:r>
          </w:p>
        </w:tc>
      </w:tr>
    </w:tbl>
    <w:p>
      <w:pPr>
        <w:spacing w:after="120"/>
      </w:pPr>
    </w:p>
    <w:p>
      <w:pPr>
        <w:keepNext/>
        <w:spacing w:before="200" w:after="80"/>
      </w:pPr>
      <w:r>
        <w:rPr>
          <w:rFonts w:ascii="Times New Roman" w:hAnsi="Times New Roman"/>
          <w:b/>
          <w:color w:val="333333"/>
          <w:sz w:val="23"/>
        </w:rPr>
        <w:t>2.4 Summary of Research Gap &amp; Methodological Motivation</w:t>
      </w:r>
    </w:p>
    <w:p>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Proposed Methodology</w:t>
      </w:r>
    </w:p>
    <w:p>
      <w:pPr>
        <w:keepNext/>
        <w:spacing w:before="200" w:after="80"/>
      </w:pPr>
      <w:r>
        <w:rPr>
          <w:rFonts w:ascii="Times New Roman" w:hAnsi="Times New Roman"/>
          <w:b/>
          <w:color w:val="333333"/>
          <w:sz w:val="23"/>
        </w:rPr>
        <w:t>3.1 Overall Framework Architecture</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spacing w:before="40" w:after="80" w:line="276" w:lineRule="auto"/>
      </w:pPr>
      <w:r>
        <w:rPr>
          <w:rFonts w:ascii="Times New Roman" w:hAnsi="Times New Roman"/>
          <w:sz w:val="20"/>
        </w:rPr>
        <w:t>Figure 2 summarizes the complete methodological workflow adopted in this study, beginning with deterministic synthetic document generation and concluding with statistical evaluation and publication-ready artifact generation.</w:t>
      </w:r>
    </w:p>
    <w:p>
      <w:pPr>
        <w:spacing w:before="160" w:after="80"/>
        <w:jc w:val="center"/>
      </w:pPr>
      <w:r>
        <w:drawing>
          <wp:inline xmlns:a="http://schemas.openxmlformats.org/drawingml/2006/main" xmlns:pic="http://schemas.openxmlformats.org/drawingml/2006/picture">
            <wp:extent cx="5943600" cy="9681713"/>
            <wp:docPr id="2" name="Picture 2"/>
            <wp:cNvGraphicFramePr>
              <a:graphicFrameLocks noChangeAspect="1"/>
            </wp:cNvGraphicFramePr>
            <a:graphic>
              <a:graphicData uri="http://schemas.openxmlformats.org/drawingml/2006/picture">
                <pic:pic>
                  <pic:nvPicPr>
                    <pic:cNvPr id="0" name="methodology_workflow_600dpi.png"/>
                    <pic:cNvPicPr/>
                  </pic:nvPicPr>
                  <pic:blipFill>
                    <a:blip r:embed="rId11"/>
                    <a:stretch>
                      <a:fillRect/>
                    </a:stretch>
                  </pic:blipFill>
                  <pic:spPr>
                    <a:xfrm>
                      <a:off x="0" y="0"/>
                      <a:ext cx="5943600" cy="9681713"/>
                    </a:xfrm>
                    <a:prstGeom prst="rect"/>
                  </pic:spPr>
                </pic:pic>
              </a:graphicData>
            </a:graphic>
          </wp:inline>
        </w:drawing>
      </w:r>
    </w:p>
    <w:p>
      <w:pPr>
        <w:spacing w:after="160"/>
        <w:jc w:val="center"/>
      </w:pPr>
      <w:r>
        <w:rPr>
          <w:rFonts w:ascii="Times New Roman" w:hAnsi="Times New Roman"/>
          <w:b/>
          <w:color w:val="003366"/>
          <w:sz w:val="19"/>
        </w:rPr>
        <w:t>Fig. 2. End-to-End Methodological Workflow of the Proposed AU DIC Benchmark Evaluation Framework.</w:t>
      </w:r>
    </w:p>
    <w:p>
      <w:pPr>
        <w:keepNext/>
        <w:spacing w:before="200" w:after="80"/>
      </w:pPr>
      <w:r>
        <w:rPr>
          <w:rFonts w:ascii="Times New Roman" w:hAnsi="Times New Roman"/>
          <w:b/>
          <w:color w:val="333333"/>
          <w:sz w:val="23"/>
        </w:rPr>
        <w:t>3.2 ADBG Synthetic Benchmark Generation</w:t>
      </w:r>
    </w:p>
    <w:p>
      <w:pPr>
        <w:keepNext/>
        <w:spacing w:before="160" w:after="40"/>
      </w:pPr>
      <w:r>
        <w:rPr>
          <w:rFonts w:ascii="Times New Roman" w:hAnsi="Times New Roman"/>
          <w:b/>
          <w:i/>
          <w:sz w:val="21"/>
        </w:rPr>
        <w:t>3.2.1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0" w:after="0"/>
        <w:jc w:val="center"/>
      </w:pPr>
      <m:oMathPara>
        <m:oMath>
          <m:r>
            <w:rPr>
              <w:rFonts w:ascii="Cambria Math" w:hAnsi="Cambria Math"/>
            </w:rPr>
            <m:t>D</m:t>
          </m:r>
          <m:r>
            <w:rPr>
              <w:rFonts w:ascii="Cambria Math" w:hAnsi="Cambria Math"/>
            </w:rPr>
            <m:t>o</m:t>
          </m:r>
          <m:r>
            <w:rPr>
              <w:rFonts w:ascii="Cambria Math" w:hAnsi="Cambria Math"/>
            </w:rPr>
            <m:t>c</m:t>
          </m:r>
          <m:r>
            <w:rPr>
              <w:rFonts w:ascii="Cambria Math" w:hAnsi="Cambria Math"/>
            </w:rPr>
            <m:t>u</m:t>
          </m:r>
          <m:r>
            <w:rPr>
              <w:rFonts w:ascii="Cambria Math" w:hAnsi="Cambria Math"/>
            </w:rPr>
            <m:t>m</m:t>
          </m:r>
          <m:r>
            <w:rPr>
              <w:rFonts w:ascii="Cambria Math" w:hAnsi="Cambria Math"/>
            </w:rPr>
            <m:t>e</m:t>
          </m:r>
          <m:r>
            <w:rPr>
              <w:rFonts w:ascii="Cambria Math" w:hAnsi="Cambria Math"/>
            </w:rPr>
            <m:t>n</m:t>
          </m:r>
          <m:r>
            <w:rPr>
              <w:rFonts w:ascii="Cambria Math" w:hAnsi="Cambria Math"/>
            </w:rPr>
            <m:t>t</m:t>
          </m:r>
          <m:r>
            <w:rPr>
              <w:rFonts w:ascii="Cambria Math" w:hAnsi="Cambria Math"/>
            </w:rPr>
            <m:t>S</m:t>
          </m:r>
          <m:r>
            <w:rPr>
              <w:rFonts w:ascii="Cambria Math" w:hAnsi="Cambria Math"/>
            </w:rPr>
            <m:t>p</m:t>
          </m:r>
          <m:r>
            <w:rPr>
              <w:rFonts w:ascii="Cambria Math" w:hAnsi="Cambria Math"/>
            </w:rPr>
            <m:t>e</m:t>
          </m:r>
          <m:r>
            <w:rPr>
              <w:rFonts w:ascii="Cambria Math" w:hAnsi="Cambria Math"/>
            </w:rPr>
            <m:t>c</m:t>
          </m:r>
          <m:r>
            <w:rPr>
              <w:rFonts w:ascii="Cambria Math" w:hAnsi="Cambria Math"/>
            </w:rPr>
            <m:t>i</m:t>
          </m:r>
          <m:r>
            <w:rPr>
              <w:rFonts w:ascii="Cambria Math" w:hAnsi="Cambria Math"/>
            </w:rPr>
            <m:t>m</m:t>
          </m:r>
          <m:r>
            <w:rPr>
              <w:rFonts w:ascii="Cambria Math" w:hAnsi="Cambria Math"/>
            </w:rPr>
            <m:t>e</m:t>
          </m:r>
          <m:r>
            <w:rPr>
              <w:rFonts w:ascii="Cambria Math" w:hAnsi="Cambria Math"/>
            </w:rPr>
            <m:t>n</m:t>
          </m:r>
          <m:r>
            <w:rPr>
              <w:rFonts w:ascii="Cambria Math" w:hAnsi="Cambria Math"/>
            </w:rPr>
            <m:t>=</m:t>
          </m:r>
          <m:r>
            <w:rPr>
              <w:rFonts w:ascii="Cambria Math" w:hAnsi="Cambria Math"/>
            </w:rPr>
            <m:t>G</m:t>
          </m:r>
          <m:r>
            <w:rPr>
              <w:rFonts w:ascii="Cambria Math" w:hAnsi="Cambria Math"/>
            </w:rPr>
            <m:t>(</m:t>
          </m:r>
          <m:r>
            <w:rPr>
              <w:rFonts w:ascii="Times New Roman" w:hAnsi="Times New Roman"/>
              <w:i w:val="0"/>
            </w:rPr>
            <m:t>Seed</m:t>
          </m:r>
          <m:r>
            <w:rPr>
              <w:rFonts w:ascii="Cambria Math" w:hAnsi="Cambria Math"/>
            </w:rPr>
            <m:t>,</m:t>
          </m:r>
          <m:r>
            <w:rPr>
              <w:rFonts w:ascii="Times New Roman" w:hAnsi="Times New Roman"/>
              <w:i w:val="0"/>
            </w:rPr>
            <m:t>Category</m:t>
          </m:r>
          <m:r>
            <w:rPr>
              <w:rFonts w:ascii="Cambria Math" w:hAnsi="Cambria Math"/>
            </w:rPr>
            <m:t>,</m:t>
          </m:r>
          <m:r>
            <w:rPr>
              <w:rFonts w:ascii="Times New Roman" w:hAnsi="Times New Roman"/>
              <w:i w:val="0"/>
            </w:rPr>
            <m:t>Profile</m:t>
          </m:r>
          <m:r>
            <w:rPr>
              <w:rFonts w:ascii="Cambria Math" w:hAnsi="Cambria Math"/>
            </w:rPr>
            <m:t>)</m:t>
          </m:r>
        </m:oMath>
      </m:oMathPara>
    </w:p>
    <w:p>
      <w:pPr>
        <w:keepNext/>
        <w:spacing w:before="160" w:after="40"/>
      </w:pPr>
      <w:r>
        <w:rPr>
          <w:rFonts w:ascii="Times New Roman" w:hAnsi="Times New Roman"/>
          <w:b/>
          <w:i/>
          <w:sz w:val="21"/>
        </w:rPr>
        <w:t>3.2.2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160" w:after="40"/>
      </w:pPr>
      <w:r>
        <w:rPr>
          <w:rFonts w:ascii="Times New Roman" w:hAnsi="Times New Roman"/>
          <w:b/>
          <w:i/>
          <w:sz w:val="21"/>
        </w:rPr>
        <w:t>3.2.3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0" w:after="0"/>
        <w:jc w:val="center"/>
      </w:pPr>
      <m:oMathPara>
        <m:oMath>
          <m:sSub>
            <m:e>
              <m:r>
                <w:rPr>
                  <w:rFonts w:ascii="Cambria Math" w:hAnsi="Cambria Math"/>
                </w:rPr>
                <m:t>I</m:t>
              </m:r>
            </m:e>
            <m:sub>
              <m:r>
                <w:rPr>
                  <w:rFonts w:ascii="Times New Roman" w:hAnsi="Times New Roman"/>
                  <w:i w:val="0"/>
                </w:rPr>
                <m:t>degraded</m:t>
              </m:r>
            </m:sub>
          </m:sSub>
          <m:r>
            <w:rPr>
              <w:rFonts w:ascii="Cambria Math" w:hAnsi="Cambria Math"/>
            </w:rPr>
            <m:t>=</m:t>
          </m:r>
          <m:sSub>
            <m:e>
              <m:r>
                <w:rPr>
                  <w:rFonts w:ascii="Cambria Math" w:hAnsi="Cambria Math"/>
                </w:rPr>
                <m:t>D</m:t>
              </m:r>
            </m:e>
            <m:sub>
              <m:r>
                <w:rPr>
                  <w:rFonts w:ascii="Times New Roman" w:hAnsi="Times New Roman"/>
                  <w:i w:val="0"/>
                </w:rPr>
                <m:t>rotation</m:t>
              </m:r>
            </m:sub>
          </m:sSub>
          <m:r>
            <w:rPr>
              <w:rFonts w:ascii="Cambria Math" w:hAnsi="Cambria Math"/>
            </w:rPr>
            <m:t>∘</m:t>
          </m:r>
          <m:sSub>
            <m:e>
              <m:r>
                <w:rPr>
                  <w:rFonts w:ascii="Cambria Math" w:hAnsi="Cambria Math"/>
                </w:rPr>
                <m:t>D</m:t>
              </m:r>
            </m:e>
            <m:sub>
              <m:r>
                <w:rPr>
                  <w:rFonts w:ascii="Times New Roman" w:hAnsi="Times New Roman"/>
                  <w:i w:val="0"/>
                </w:rPr>
                <m:t>contrast</m:t>
              </m:r>
            </m:sub>
          </m:sSub>
          <m:r>
            <w:rPr>
              <w:rFonts w:ascii="Cambria Math" w:hAnsi="Cambria Math"/>
            </w:rPr>
            <m:t>∘</m:t>
          </m:r>
          <m:sSub>
            <m:e>
              <m:r>
                <w:rPr>
                  <w:rFonts w:ascii="Cambria Math" w:hAnsi="Cambria Math"/>
                </w:rPr>
                <m:t>D</m:t>
              </m:r>
            </m:e>
            <m:sub>
              <m:r>
                <w:rPr>
                  <w:rFonts w:ascii="Times New Roman" w:hAnsi="Times New Roman"/>
                  <w:i w:val="0"/>
                </w:rPr>
                <m:t>gaussian</m:t>
              </m:r>
            </m:sub>
          </m:sSub>
          <m:r>
            <w:rPr>
              <w:rFonts w:ascii="Cambria Math" w:hAnsi="Cambria Math"/>
            </w:rPr>
            <m:t>∘</m:t>
          </m:r>
          <m:sSub>
            <m:e>
              <m:r>
                <w:rPr>
                  <w:rFonts w:ascii="Cambria Math" w:hAnsi="Cambria Math"/>
                </w:rPr>
                <m:t>D</m:t>
              </m:r>
            </m:e>
            <m:sub>
              <m:r>
                <w:rPr>
                  <w:rFonts w:ascii="Times New Roman" w:hAnsi="Times New Roman"/>
                  <w:i w:val="0"/>
                </w:rPr>
                <m:t>blur</m:t>
              </m:r>
            </m:sub>
          </m:sSub>
          <m:r>
            <w:rPr>
              <w:rFonts w:ascii="Cambria Math" w:hAnsi="Cambria Math"/>
            </w:rPr>
            <m:t>(</m:t>
          </m:r>
          <m:sSub>
            <m:e>
              <m:r>
                <w:rPr>
                  <w:rFonts w:ascii="Cambria Math" w:hAnsi="Cambria Math"/>
                </w:rPr>
                <m:t>I</m:t>
              </m:r>
            </m:e>
            <m:sub>
              <m:r>
                <w:rPr>
                  <w:rFonts w:ascii="Times New Roman" w:hAnsi="Times New Roman"/>
                  <w:i w:val="0"/>
                </w:rPr>
                <m:t>clean</m:t>
              </m:r>
            </m:sub>
          </m:sSub>
          <m:r>
            <w:rPr>
              <w:rFonts w:ascii="Cambria Math" w:hAnsi="Cambria Math"/>
            </w:rPr>
            <m:t>)</m:t>
          </m:r>
        </m:oMath>
      </m:oMathPara>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keepNext/>
        <w:spacing w:before="200" w:after="80"/>
      </w:pPr>
      <w:r>
        <w:rPr>
          <w:rFonts w:ascii="Times New Roman" w:hAnsi="Times New Roman"/>
          <w:b/>
          <w:color w:val="333333"/>
          <w:sz w:val="23"/>
        </w:rPr>
        <w:t>3.3 AU DIC Evaluation Framework Subsystem</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3.4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m:oMath>
        <m:r>
          <w:rPr>
            <w:rFonts w:ascii="Cambria Math" w:hAnsi="Cambria Math"/>
          </w:rPr>
          <m:t>→</m:t>
        </m:r>
      </m:oMath>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3.5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0" w:after="0"/>
        <w:jc w:val="center"/>
      </w:pPr>
      <m:oMathPara>
        <m:oMath>
          <m:r>
            <w:rPr>
              <w:rFonts w:ascii="Cambria Math" w:hAnsi="Cambria Math"/>
            </w:rPr>
            <m:t>E</m:t>
          </m:r>
          <m:r>
            <w:rPr>
              <w:rFonts w:ascii="Cambria Math" w:hAnsi="Cambria Math"/>
            </w:rPr>
            <m:t>r</m:t>
          </m:r>
          <m:r>
            <w:rPr>
              <w:rFonts w:ascii="Cambria Math" w:hAnsi="Cambria Math"/>
            </w:rPr>
            <m:t>r</m:t>
          </m:r>
          <m:r>
            <w:rPr>
              <w:rFonts w:ascii="Cambria Math" w:hAnsi="Cambria Math"/>
            </w:rPr>
            <m:t>o</m:t>
          </m:r>
          <m:r>
            <w:rPr>
              <w:rFonts w:ascii="Cambria Math" w:hAnsi="Cambria Math"/>
            </w:rPr>
            <m:t>r</m:t>
          </m:r>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m:t>
          </m:r>
          <m:r>
            <w:rPr>
              <w:rFonts w:ascii="Cambria Math" w:hAnsi="Cambria Math"/>
            </w:rPr>
            <m:t>{</m:t>
          </m:r>
          <m:r>
            <w:rPr>
              <w:rFonts w:ascii="Times New Roman" w:hAnsi="Times New Roman"/>
              <w:i w:val="0"/>
            </w:rPr>
            <m:t>OCR\_ERROR</m:t>
          </m:r>
          <m:r>
            <w:rPr>
              <w:rFonts w:ascii="Cambria Math" w:hAnsi="Cambria Math"/>
            </w:rPr>
            <m:t>,</m:t>
          </m:r>
          <m:r>
            <w:rPr>
              <w:rFonts w:ascii="Times New Roman" w:hAnsi="Times New Roman"/>
              <w:i w:val="0"/>
            </w:rPr>
            <m:t>FIELD\_MISSING</m:t>
          </m:r>
          <m:r>
            <w:rPr>
              <w:rFonts w:ascii="Cambria Math" w:hAnsi="Cambria Math"/>
            </w:rPr>
            <m:t>,</m:t>
          </m:r>
          <m:r>
            <w:rPr>
              <w:rFonts w:ascii="Times New Roman" w:hAnsi="Times New Roman"/>
              <w:i w:val="0"/>
            </w:rPr>
            <m:t>HALLUCINATION</m:t>
          </m:r>
          <m:r>
            <w:rPr>
              <w:rFonts w:ascii="Cambria Math" w:hAnsi="Cambria Math"/>
            </w:rPr>
            <m:t>,</m:t>
          </m:r>
          <m:r>
            <w:rPr>
              <w:rFonts w:ascii="Times New Roman" w:hAnsi="Times New Roman"/>
              <w:i w:val="0"/>
            </w:rPr>
            <m:t>FORMAT\_ERROR</m:t>
          </m:r>
          <m:r>
            <w:rPr>
              <w:rFonts w:ascii="Cambria Math" w:hAnsi="Cambria Math"/>
            </w:rPr>
            <m:t>,</m:t>
          </m:r>
          <m:r>
            <w:rPr>
              <w:rFonts w:ascii="Times New Roman" w:hAnsi="Times New Roman"/>
              <w:i w:val="0"/>
            </w:rPr>
            <m:t>NORMALIZATION\_ERROR</m:t>
          </m:r>
          <m:r>
            <w:rPr>
              <w:rFonts w:ascii="Cambria Math" w:hAnsi="Cambria Math"/>
            </w:rPr>
            <m:t>,</m:t>
          </m:r>
          <m:r>
            <w:rPr>
              <w:rFonts w:ascii="Times New Roman" w:hAnsi="Times New Roman"/>
              <w:i w:val="0"/>
            </w:rPr>
            <m:t>PARTIAL\_MATCH</m:t>
          </m:r>
          <m:r>
            <w:rPr>
              <w:rFonts w:ascii="Cambria Math" w:hAnsi="Cambria Math"/>
            </w:rPr>
            <m:t>,</m:t>
          </m:r>
          <m:r>
            <w:rPr>
              <w:rFonts w:ascii="Times New Roman" w:hAnsi="Times New Roman"/>
              <w:i w:val="0"/>
            </w:rPr>
            <m:t>LOW\_CONFIDENCE</m:t>
          </m:r>
          <m:r>
            <w:rPr>
              <w:rFonts w:ascii="Cambria Math" w:hAnsi="Cambria Math"/>
            </w:rPr>
            <m:t>,</m:t>
          </m:r>
          <m:r>
            <w:rPr>
              <w:rFonts w:ascii="Times New Roman" w:hAnsi="Times New Roman"/>
              <w:i w:val="0"/>
            </w:rPr>
            <m:t>CATEGORY\_ERROR</m:t>
          </m:r>
          <m:r>
            <w:rPr>
              <w:rFonts w:ascii="Cambria Math" w:hAnsi="Cambria Math"/>
            </w:rPr>
            <m:t>,</m:t>
          </m:r>
          <m:r>
            <w:rPr>
              <w:rFonts w:ascii="Times New Roman" w:hAnsi="Times New Roman"/>
              <w:i w:val="0"/>
            </w:rPr>
            <m:t>EXACT\_MATCH</m:t>
          </m:r>
          <m:r>
            <w:rPr>
              <w:rFonts w:ascii="Cambria Math" w:hAnsi="Cambria Math"/>
            </w:rPr>
            <m:t>}</m:t>
          </m:r>
        </m:oMath>
      </m:oMathPara>
    </w:p>
    <w:p>
      <w:pPr>
        <w:keepNext/>
        <w:spacing w:before="160" w:after="40"/>
      </w:pPr>
      <w:r>
        <w:rPr>
          <w:rFonts w:ascii="Times New Roman" w:hAnsi="Times New Roman"/>
          <w:b/>
          <w:i/>
          <w:sz w:val="21"/>
        </w:rPr>
        <w:t>3.5.1 Scientific Definition and Justification of NORMALIZATION_ERROR</w:t>
      </w:r>
    </w:p>
    <w:p>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pPr>
        <w:spacing w:before="20" w:after="40"/>
        <w:ind w:left="360"/>
      </w:pPr>
      <w:r>
        <w:rPr>
          <w:rFonts w:ascii="Times New Roman" w:hAnsi="Times New Roman"/>
          <w:b/>
          <w:sz w:val="20"/>
        </w:rPr>
        <w:t xml:space="preserve">1. </w:t>
      </w:r>
      <w:r>
        <w:rPr>
          <w:rFonts w:ascii="Times New Roman" w:hAnsi="Times New Roman"/>
          <w:b/>
          <w:sz w:val="20"/>
        </w:rPr>
        <w:t>Pipeline Traversal</w:t>
      </w:r>
      <w:r>
        <w:rPr>
          <w:rFonts w:ascii="Times New Roman" w:hAnsi="Times New Roman"/>
          <w:sz w:val="20"/>
        </w:rPr>
        <w:t>: The candidate field has successfully passed through the complete six-stage semantic normalization layer (CanonicalNormalizer).</w:t>
      </w:r>
    </w:p>
    <w:p>
      <w:pPr>
        <w:spacing w:before="20" w:after="40"/>
        <w:ind w:left="360"/>
      </w:pPr>
      <w:r>
        <w:rPr>
          <w:rFonts w:ascii="Times New Roman" w:hAnsi="Times New Roman"/>
          <w:b/>
          <w:sz w:val="20"/>
        </w:rPr>
        <w:t xml:space="preserve">2. </w:t>
      </w:r>
      <w:r>
        <w:rPr>
          <w:rFonts w:ascii="Times New Roman" w:hAnsi="Times New Roman"/>
          <w:b/>
          <w:sz w:val="20"/>
        </w:rPr>
        <w:t>Valid Canonical Representations</w:t>
      </w:r>
      <w:r>
        <w:rPr>
          <w:rFonts w:ascii="Times New Roman" w:hAnsi="Times New Roman"/>
          <w:sz w:val="20"/>
        </w:rPr>
        <w:t>: Both Ground Truth (</w:t>
      </w:r>
      <m:oMath>
        <m:sSub>
          <m:e>
            <m:r>
              <w:rPr>
                <w:rFonts w:ascii="Cambria Math" w:hAnsi="Cambria Math"/>
              </w:rPr>
              <m:t>V</m:t>
            </m:r>
          </m:e>
          <m:sub>
            <m:r>
              <w:rPr>
                <w:rFonts w:ascii="Times New Roman" w:hAnsi="Times New Roman"/>
                <w:i w:val="0"/>
              </w:rPr>
              <m:t>GT</m:t>
            </m:r>
          </m:sub>
        </m:sSub>
      </m:oMath>
      <w:r>
        <w:rPr>
          <w:rFonts w:ascii="Times New Roman" w:hAnsi="Times New Roman"/>
          <w:sz w:val="20"/>
        </w:rPr>
        <w:t>) and Prediction (</w:t>
      </w:r>
      <m:oMath>
        <m:acc>
          <m:accPr>
            <m:chr m:val="̂"/>
          </m:accPr>
          <m:e>
            <m:r>
              <w:rPr>
                <w:rFonts w:ascii="Cambria Math" w:hAnsi="Cambria Math"/>
              </w:rPr>
              <m:t>V</m:t>
            </m:r>
          </m:e>
        </m:acc>
      </m:oMath>
      <w:r>
        <w:rPr>
          <w:rFonts w:ascii="Times New Roman" w:hAnsi="Times New Roman"/>
          <w:sz w:val="20"/>
        </w:rPr>
        <w:t>) possess valid, parseable canonical representations.</w:t>
      </w:r>
    </w:p>
    <w:p>
      <w:pPr>
        <w:spacing w:before="20" w:after="40"/>
        <w:ind w:left="360"/>
      </w:pPr>
      <w:r>
        <w:rPr>
          <w:rFonts w:ascii="Times New Roman" w:hAnsi="Times New Roman"/>
          <w:b/>
          <w:sz w:val="20"/>
        </w:rPr>
        <w:t xml:space="preserve">3. </w:t>
      </w:r>
      <w:r>
        <w:rPr>
          <w:rFonts w:ascii="Times New Roman" w:hAnsi="Times New Roman"/>
          <w:b/>
          <w:sz w:val="20"/>
        </w:rPr>
        <w:t>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pPr>
        <w:spacing w:before="20" w:after="40"/>
        <w:ind w:left="360"/>
      </w:pPr>
      <w:r>
        <w:rPr>
          <w:rFonts w:ascii="Times New Roman" w:hAnsi="Times New Roman"/>
          <w:b/>
          <w:sz w:val="20"/>
        </w:rPr>
        <w:t xml:space="preserve">4. </w:t>
      </w:r>
      <w:r>
        <w:rPr>
          <w:rFonts w:ascii="Times New Roman" w:hAnsi="Times New Roman"/>
          <w:b/>
          <w:sz w:val="20"/>
        </w:rPr>
        <w:t>Canonical Discrepancy</w:t>
      </w:r>
      <w:r>
        <w:rPr>
          <w:rFonts w:ascii="Times New Roman" w:hAnsi="Times New Roman"/>
          <w:sz w:val="20"/>
        </w:rPr>
        <w:t>: The canonical representations remain strictly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w:t>
      </w:r>
    </w:p>
    <w:p>
      <w:pPr>
        <w:spacing w:before="20" w:after="40"/>
        <w:ind w:left="360"/>
      </w:pPr>
      <w:r>
        <w:rPr>
          <w:rFonts w:ascii="Times New Roman" w:hAnsi="Times New Roman"/>
          <w:b/>
          <w:sz w:val="20"/>
        </w:rPr>
        <w:t xml:space="preserve">5. </w:t>
      </w:r>
      <w:r>
        <w:rPr>
          <w:rFonts w:ascii="Times New Roman" w:hAnsi="Times New Roman"/>
          <w:b/>
          <w:sz w:val="20"/>
        </w:rPr>
        <w:t>Genuine Semantic Mismatch</w:t>
      </w:r>
      <w:r>
        <w:rPr>
          <w:rFonts w:ascii="Times New Roman" w:hAnsi="Times New Roman"/>
          <w:sz w:val="20"/>
        </w:rPr>
        <w:t>: Consequently, the remaining discrepancy represents a genuine semantic character or value mismatch rather than a formatting variation.</w:t>
      </w:r>
    </w:p>
    <w:p>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keepNext/>
        <w:spacing w:before="160" w:after="40"/>
      </w:pPr>
      <w:r>
        <w:rPr>
          <w:rFonts w:ascii="Times New Roman" w:hAnsi="Times New Roman"/>
          <w:b/>
          <w:i/>
          <w:sz w:val="21"/>
        </w:rPr>
        <w:t>3.5.2 Canonical Comparison Workflow &amp; Non-Overlapping Taxonomy Boundaries</w:t>
      </w:r>
    </w:p>
    <w:p>
      <w:pPr>
        <w:spacing w:before="40" w:after="80" w:line="276" w:lineRule="auto"/>
      </w:pPr>
      <w:r>
        <w:rPr>
          <w:rFonts w:ascii="Times New Roman" w:hAnsi="Times New Roman"/>
          <w:sz w:val="20"/>
        </w:rPr>
        <w:t>To ensure taxonomic independence, each error class maintains a strict, non-overlapping responsibility:</w:t>
      </w:r>
    </w:p>
    <w:p>
      <w:pPr>
        <w:pStyle w:val="ListBullet"/>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pPr>
        <w:pStyle w:val="ListBullet"/>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pPr>
        <w:pStyle w:val="ListBullet"/>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 confirming a true semantic extraction mismatch.</w:t>
      </w:r>
    </w:p>
    <w:p>
      <w:pPr>
        <w:pStyle w:val="ListBullet"/>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pPr>
        <w:pStyle w:val="ListBullet"/>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pPr>
        <w:pStyle w:val="ListBullet"/>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pPr>
        <w:spacing w:before="40" w:after="80" w:line="276" w:lineRule="auto"/>
      </w:pPr>
      <w:r>
        <w:rPr>
          <w:rFonts w:ascii="Times New Roman" w:hAnsi="Times New Roman"/>
          <w:sz w:val="20"/>
        </w:rPr>
        <w:t>Table 0.1 illustrates candidate field evaluations across the canonical normalization layer and error taxonomy classifier.</w:t>
      </w:r>
    </w:p>
    <w:p>
      <w:pPr>
        <w:keepNext/>
        <w:spacing w:before="80" w:after="160"/>
        <w:jc w:val="center"/>
      </w:pPr>
      <w:r>
        <w:rPr>
          <w:rFonts w:ascii="Times New Roman" w:hAnsi="Times New Roman"/>
          <w:b/>
          <w:color w:val="003366"/>
          <w:sz w:val="19"/>
        </w:rPr>
        <w:t>Table 0.1: Canonical Normalization Comparison Examples and Error Categorization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Ground Truth (</w:t>
            </w:r>
            <m:oMath>
              <m:sSub>
                <m:e>
                  <m:r>
                    <w:rPr>
                      <w:rFonts w:ascii="Cambria Math" w:hAnsi="Cambria Math"/>
                    </w:rPr>
                    <m:t>V</m:t>
                  </m:r>
                </m:e>
                <m:sub>
                  <m:r>
                    <w:rPr>
                      <w:rFonts w:ascii="Times New Roman" w:hAnsi="Times New Roman"/>
                      <w:i w:val="0"/>
                    </w:rPr>
                    <m:t>GT</m:t>
                  </m:r>
                </m:sub>
              </m:sSub>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Prediction (</w:t>
            </w:r>
            <m:oMath>
              <m:acc>
                <m:accPr>
                  <m:chr m:val="̂"/>
                </m:accPr>
                <m:e>
                  <m:r>
                    <w:rPr>
                      <w:rFonts w:ascii="Cambria Math" w:hAnsi="Cambria Math"/>
                    </w:rPr>
                    <m:t>V</m:t>
                  </m:r>
                </m:e>
              </m:acc>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After Canonical Normalizer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Times New Roman" w:hAnsi="Times New Roman"/>
                  <w:i w:val="0"/>
                </w:rPr>
                <m:t>vs</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Classification Result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04/08/2026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August 4, 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2026-08-04 == 2026-08-04</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B.Tech</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 == 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VTU</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Vivekananda Technical University </w:t>
            </w:r>
            <m:oMath>
              <m:r>
                <w:rPr>
                  <w:rFonts w:ascii="Cambria Math" w:hAnsi="Cambria Math"/>
                </w:rPr>
                <m:t>≠</m:t>
              </m:r>
            </m:oMath>
            <w:r>
              <w:rPr>
                <w:rFonts w:ascii="Times New Roman" w:hAnsi="Times New Roman"/>
                <w:sz w:val="18"/>
              </w:rPr>
              <w:t xml:space="preserve"> 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NORMALIZATION_ERROR</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2021-IT-00150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2021IT00150 </w:t>
            </w:r>
            <m:oMath>
              <m:r>
                <w:rPr>
                  <w:rFonts w:ascii="Cambria Math" w:hAnsi="Cambria Math"/>
                </w:rPr>
                <m:t>≠</m:t>
              </m:r>
            </m:oMath>
            <w:r>
              <w:rPr>
                <w:rFonts w:ascii="Times New Roman" w:hAnsi="Times New Roman"/>
                <w:sz w:val="18"/>
              </w:rPr>
              <w:t xml:space="preserve"> 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NORMALIZATION_ERROR</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Experimental Setup</w:t>
      </w:r>
    </w:p>
    <w:p>
      <w:pPr>
        <w:keepNext/>
        <w:spacing w:before="200" w:after="80"/>
      </w:pPr>
      <w:r>
        <w:rPr>
          <w:rFonts w:ascii="Times New Roman" w:hAnsi="Times New Roman"/>
          <w:b/>
          <w:color w:val="333333"/>
          <w:sz w:val="23"/>
        </w:rPr>
        <w:t>4.1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m:oMath>
        <m:r>
          <w:rPr>
            <w:rFonts w:ascii="Cambria Math" w:hAnsi="Cambria Math"/>
          </w:rPr>
          <m:t>×</m:t>
        </m:r>
      </m:oMath>
      <w:r>
        <w:rPr>
          <w:rFonts w:ascii="Times New Roman" w:hAnsi="Times New Roman"/>
          <w:sz w:val="20"/>
        </w:rPr>
        <w:t xml:space="preserve"> 30 unique document instances </w:t>
      </w:r>
      <m:oMath>
        <m: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4.2 Evaluation Protocol</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w:t>
      </w:r>
    </w:p>
    <w:p>
      <w:pPr>
        <w:keepNext/>
        <w:spacing w:before="200" w:after="80"/>
      </w:pPr>
      <w:r>
        <w:rPr>
          <w:rFonts w:ascii="Times New Roman" w:hAnsi="Times New Roman"/>
          <w:b/>
          <w:color w:val="333333"/>
          <w:sz w:val="23"/>
        </w:rPr>
        <w:t>4.3 Evaluation Metrics</w:t>
      </w:r>
    </w:p>
    <w:p>
      <w:pPr>
        <w:spacing w:before="40" w:after="80" w:line="276" w:lineRule="auto"/>
      </w:pPr>
      <w:r>
        <w:rPr>
          <w:rFonts w:ascii="Times New Roman" w:hAnsi="Times New Roman"/>
          <w:sz w:val="20"/>
        </w:rPr>
        <w:t>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m:oMath>
        <m:sSub>
          <m:e>
            <m:acc>
              <m:accPr>
                <m:chr m:val="̂"/>
              </m:accPr>
              <m:e>
                <m:r>
                  <w:rPr>
                    <w:rFonts w:ascii="Cambria Math" w:hAnsi="Cambria Math"/>
                  </w:rPr>
                  <m:t>C</m:t>
                </m:r>
              </m:e>
            </m:acc>
          </m:e>
          <m:sub>
            <m:r>
              <w:rPr>
                <w:rFonts w:ascii="Cambria Math" w:hAnsi="Cambria Math"/>
              </w:rPr>
              <m:t>i</m:t>
            </m:r>
          </m:sub>
        </m:sSub>
      </m:oMath>
      <w:r>
        <w:rPr>
          <w:rFonts w:ascii="Times New Roman" w:hAnsi="Times New Roman"/>
          <w:sz w:val="20"/>
        </w:rPr>
        <w:t>) matches the ground truth category (</w:t>
      </w:r>
      <m:oMath>
        <m:sSub>
          <m:e>
            <m:r>
              <w:rPr>
                <w:rFonts w:ascii="Cambria Math" w:hAnsi="Cambria Math"/>
              </w:rPr>
              <m:t>C</m:t>
            </m:r>
          </m:e>
          <m:sub>
            <m:r>
              <w:rPr>
                <w:rFonts w:ascii="Cambria Math" w:hAnsi="Cambria Math"/>
              </w:rPr>
              <m:t>i</m:t>
            </m:r>
          </m:sub>
        </m:sSub>
      </m:oMath>
      <w:r>
        <w:rPr>
          <w:rFonts w:ascii="Times New Roman" w:hAnsi="Times New Roman"/>
          <w:sz w:val="20"/>
        </w:rPr>
        <w:t>):</w:t>
      </w:r>
    </w:p>
    <w:p>
      <w:pPr>
        <w:spacing w:before="0" w:after="0"/>
        <w:jc w:val="center"/>
      </w:pPr>
      <m:oMathPara>
        <m:oMath>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A</m:t>
          </m:r>
          <m:r>
            <w:rPr>
              <w:rFonts w:ascii="Cambria Math" w:hAnsi="Cambria Math"/>
            </w:rPr>
            <m:t>c</m:t>
          </m:r>
          <m:r>
            <w:rPr>
              <w:rFonts w:ascii="Cambria Math" w:hAnsi="Cambria Math"/>
            </w:rPr>
            <m:t>c</m:t>
          </m:r>
          <m:r>
            <w:rPr>
              <w:rFonts w:ascii="Cambria Math" w:hAnsi="Cambria Math"/>
            </w:rPr>
            <m:t>u</m:t>
          </m:r>
          <m:r>
            <w:rPr>
              <w:rFonts w:ascii="Cambria Math" w:hAnsi="Cambria Math"/>
            </w:rPr>
            <m:t>r</m:t>
          </m:r>
          <m:r>
            <w:rPr>
              <w:rFonts w:ascii="Cambria Math" w:hAnsi="Cambria Math"/>
            </w:rPr>
            <m:t>a</m:t>
          </m:r>
          <m:r>
            <w:rPr>
              <w:rFonts w:ascii="Cambria Math" w:hAnsi="Cambria Math"/>
            </w:rPr>
            <m:t>c</m:t>
          </m:r>
          <m:r>
            <w:rPr>
              <w:rFonts w:ascii="Cambria Math" w:hAnsi="Cambria Math"/>
            </w:rPr>
            <m:t>y</m:t>
          </m:r>
          <m:r>
            <w:rPr>
              <w:rFonts w:ascii="Cambria Math" w:hAnsi="Cambria Math"/>
            </w:rPr>
            <m:t>=</m:t>
          </m:r>
          <m:f>
            <m:num>
              <m:nary>
                <m:naryPr>
                  <m:chr m:val="∑"/>
                  <m:limLoc m:val="undOvr"/>
                </m:naryPr>
                <m:sub>
                  <m:r>
                    <w:rPr>
                      <w:rFonts w:ascii="Cambria Math" w:hAnsi="Cambria Math"/>
                    </w:rPr>
                    <m:t>i</m:t>
                  </m:r>
                  <m:r>
                    <w:rPr>
                      <w:rFonts w:ascii="Cambria Math" w:hAnsi="Cambria Math"/>
                    </w:rPr>
                    <m:t>=</m:t>
                  </m:r>
                  <m:r>
                    <w:rPr>
                      <w:rFonts w:ascii="Cambria Math" w:hAnsi="Cambria Math"/>
                    </w:rPr>
                    <m:t>1</m:t>
                  </m:r>
                </m:sub>
                <m:sup>
                  <m:r>
                    <w:rPr>
                      <w:rFonts w:ascii="Cambria Math" w:hAnsi="Cambria Math"/>
                    </w:rPr>
                    <m:t>N</m:t>
                  </m:r>
                </m:sup>
                <m:e/>
              </m:nary>
              <m:r>
                <w:rPr>
                  <w:rFonts w:ascii="Times New Roman" w:hAnsi="Times New Roman"/>
                  <w:i w:val="0"/>
                </w:rPr>
                <m:t>𝟙</m:t>
              </m:r>
              <m:r>
                <w:rPr>
                  <w:rFonts w:ascii="Cambria Math" w:hAnsi="Cambria Math"/>
                </w:rPr>
                <m:t>(</m:t>
              </m:r>
              <m:sSub>
                <m:e>
                  <m:acc>
                    <m:accPr>
                      <m:chr m:val="̂"/>
                    </m:accPr>
                    <m:e>
                      <m:r>
                        <w:rPr>
                          <w:rFonts w:ascii="Cambria Math" w:hAnsi="Cambria Math"/>
                        </w:rPr>
                        <m:t>C</m:t>
                      </m:r>
                    </m:e>
                  </m:acc>
                </m:e>
                <m:sub>
                  <m:r>
                    <w:rPr>
                      <w:rFonts w:ascii="Cambria Math" w:hAnsi="Cambria Math"/>
                    </w:rPr>
                    <m:t>i</m:t>
                  </m:r>
                </m:sub>
              </m:sSub>
              <m:r>
                <w:rPr>
                  <w:rFonts w:ascii="Cambria Math" w:hAnsi="Cambria Math"/>
                </w:rPr>
                <m:t>=</m:t>
              </m:r>
              <m:sSub>
                <m:e>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N</m:t>
              </m:r>
            </m:den>
          </m:f>
        </m:oMath>
      </m:oMathPara>
    </w:p>
    <w:p>
      <w:pPr>
        <w:spacing w:before="40" w:after="80" w:line="276" w:lineRule="auto"/>
      </w:pPr>
      <w:r>
        <w:rPr>
          <w:rFonts w:ascii="Times New Roman" w:hAnsi="Times New Roman"/>
          <w:sz w:val="20"/>
        </w:rPr>
        <w:t xml:space="preserve">where </w:t>
      </w:r>
      <m:oMath>
        <m:r>
          <w:rPr>
            <w:rFonts w:ascii="Cambria Math" w:hAnsi="Cambria Math"/>
          </w:rPr>
          <m:t>N</m:t>
        </m:r>
        <m:r>
          <w:rPr>
            <w:rFonts w:ascii="Cambria Math" w:hAnsi="Cambria Math"/>
          </w:rPr>
          <m:t>=</m:t>
        </m:r>
        <m:r>
          <w:rPr>
            <w:rFonts w:ascii="Cambria Math" w:hAnsi="Cambria Math"/>
          </w:rPr>
          <m:t>360</m:t>
        </m:r>
      </m:oMath>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w:t>
      </w:r>
      <m:oMath>
        <m: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e>
            <m:r>
              <w:rPr>
                <w:rFonts w:ascii="Cambria Math" w:hAnsi="Cambria Math"/>
              </w:rPr>
              <m:t>F</m:t>
            </m:r>
          </m:e>
          <m:sub>
            <m: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pPr>
        <w:spacing w:before="0" w:after="0"/>
        <w:jc w:val="center"/>
      </w:pPr>
      <m:oMathPara>
        <m:oMath>
          <m:r>
            <w:rPr>
              <w:rFonts w:ascii="Cambria Math" w:hAnsi="Cambria Math"/>
            </w:rPr>
            <m:t>P</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Positive Fields</m:t>
              </m:r>
            </m:den>
          </m:f>
          <m:r>
            <w:rPr>
              <w:rFonts w:ascii="Cambria Math" w:hAnsi="Cambria Math"/>
            </w:rPr>
            <m:t>,</m:t>
          </m:r>
          <m:r>
            <w:rPr>
              <w:rFonts w:ascii="Cambria Math" w:hAnsi="Cambria Math"/>
            </w:rPr>
            <m:t>R</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Negative Fields</m:t>
              </m:r>
            </m:den>
          </m:f>
          <m:r>
            <w:rPr>
              <w:rFonts w:ascii="Cambria Math" w:hAnsi="Cambria Math"/>
            </w:rPr>
            <m:t>,</m:t>
          </m:r>
          <m:sSub>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2</m:t>
          </m:r>
          <m:r>
            <w:rPr>
              <w:rFonts w:ascii="Cambria Math" w:hAnsi="Cambria Math"/>
            </w:rPr>
            <m:t>·</m:t>
          </m:r>
          <m:f>
            <m:num>
              <m:r>
                <w:rPr>
                  <w:rFonts w:ascii="Cambria Math" w:hAnsi="Cambria Math"/>
                </w:rPr>
                <m:t>P</m:t>
              </m:r>
              <m:r>
                <w:rPr>
                  <w:rFonts w:ascii="Cambria Math" w:hAnsi="Cambria Math"/>
                </w:rPr>
                <m:t>·</m:t>
              </m:r>
              <m:r>
                <w:rPr>
                  <w:rFonts w:ascii="Cambria Math" w:hAnsi="Cambria Math"/>
                </w:rPr>
                <m:t>R</m:t>
              </m:r>
            </m:num>
            <m:den>
              <m:r>
                <w:rPr>
                  <w:rFonts w:ascii="Cambria Math" w:hAnsi="Cambria Math"/>
                </w:rPr>
                <m:t>P</m:t>
              </m:r>
              <m:r>
                <w:rPr>
                  <w:rFonts w:ascii="Cambria Math" w:hAnsi="Cambria Math"/>
                </w:rPr>
                <m:t>+</m:t>
              </m:r>
              <m:r>
                <w:rPr>
                  <w:rFonts w:ascii="Cambria Math" w:hAnsi="Cambria Math"/>
                </w:rPr>
                <m:t>R</m:t>
              </m:r>
            </m:den>
          </m:f>
        </m:oMath>
      </m:oMathPara>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e>
            <m:r>
              <w:rPr>
                <w:rFonts w:ascii="Cambria Math" w:hAnsi="Cambria Math"/>
              </w:rPr>
              <m:t>L</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CER</m:t>
          </m:r>
          <m:r>
            <w:rPr>
              <w:rFonts w:ascii="Cambria Math" w:hAnsi="Cambria Math"/>
            </w:rPr>
            <m:t>=</m:t>
          </m:r>
          <m:f>
            <m:num>
              <m:sSub>
                <m:e>
                  <m:r>
                    <w:rPr>
                      <w:rFonts w:ascii="Cambria Math" w:hAnsi="Cambria Math"/>
                    </w:rPr>
                    <m:t>S</m:t>
                  </m:r>
                </m:e>
                <m:sub>
                  <m:r>
                    <w:rPr>
                      <w:rFonts w:ascii="Times New Roman" w:hAnsi="Times New Roman"/>
                      <w:i w:val="0"/>
                    </w:rPr>
                    <m:t>char</m:t>
                  </m:r>
                </m:sub>
              </m:sSub>
              <m:r>
                <w:rPr>
                  <w:rFonts w:ascii="Cambria Math" w:hAnsi="Cambria Math"/>
                </w:rPr>
                <m:t>+</m:t>
              </m:r>
              <m:sSub>
                <m:e>
                  <m:r>
                    <w:rPr>
                      <w:rFonts w:ascii="Cambria Math" w:hAnsi="Cambria Math"/>
                    </w:rPr>
                    <m:t>D</m:t>
                  </m:r>
                </m:e>
                <m:sub>
                  <m:r>
                    <w:rPr>
                      <w:rFonts w:ascii="Times New Roman" w:hAnsi="Times New Roman"/>
                      <w:i w:val="0"/>
                    </w:rPr>
                    <m:t>char</m:t>
                  </m:r>
                </m:sub>
              </m:sSub>
              <m:r>
                <w:rPr>
                  <w:rFonts w:ascii="Cambria Math" w:hAnsi="Cambria Math"/>
                </w:rPr>
                <m:t>+</m:t>
              </m:r>
              <m:sSub>
                <m:e>
                  <m:r>
                    <w:rPr>
                      <w:rFonts w:ascii="Cambria Math" w:hAnsi="Cambria Math"/>
                    </w:rPr>
                    <m:t>I</m:t>
                  </m:r>
                </m:e>
                <m:sub>
                  <m:r>
                    <w:rPr>
                      <w:rFonts w:ascii="Times New Roman" w:hAnsi="Times New Roman"/>
                      <w:i w:val="0"/>
                    </w:rPr>
                    <m:t>char</m:t>
                  </m:r>
                </m:sub>
              </m:sSub>
            </m:num>
            <m:den>
              <m:sSub>
                <m:e>
                  <m:r>
                    <w:rPr>
                      <w:rFonts w:ascii="Cambria Math" w:hAnsi="Cambria Math"/>
                    </w:rPr>
                    <m:t>L</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m:oMath>
        <m:sSub>
          <m:e>
            <m:r>
              <w:rPr>
                <w:rFonts w:ascii="Cambria Math" w:hAnsi="Cambria Math"/>
              </w:rPr>
              <m:t>W</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WER</m:t>
          </m:r>
          <m:r>
            <w:rPr>
              <w:rFonts w:ascii="Cambria Math" w:hAnsi="Cambria Math"/>
            </w:rPr>
            <m:t>=</m:t>
          </m:r>
          <m:f>
            <m:num>
              <m:sSub>
                <m:e>
                  <m:r>
                    <w:rPr>
                      <w:rFonts w:ascii="Cambria Math" w:hAnsi="Cambria Math"/>
                    </w:rPr>
                    <m:t>S</m:t>
                  </m:r>
                </m:e>
                <m:sub>
                  <m:r>
                    <w:rPr>
                      <w:rFonts w:ascii="Times New Roman" w:hAnsi="Times New Roman"/>
                      <w:i w:val="0"/>
                    </w:rPr>
                    <m:t>word</m:t>
                  </m:r>
                </m:sub>
              </m:sSub>
              <m:r>
                <w:rPr>
                  <w:rFonts w:ascii="Cambria Math" w:hAnsi="Cambria Math"/>
                </w:rPr>
                <m:t>+</m:t>
              </m:r>
              <m:sSub>
                <m:e>
                  <m:r>
                    <w:rPr>
                      <w:rFonts w:ascii="Cambria Math" w:hAnsi="Cambria Math"/>
                    </w:rPr>
                    <m:t>D</m:t>
                  </m:r>
                </m:e>
                <m:sub>
                  <m:r>
                    <w:rPr>
                      <w:rFonts w:ascii="Times New Roman" w:hAnsi="Times New Roman"/>
                      <w:i w:val="0"/>
                    </w:rPr>
                    <m:t>word</m:t>
                  </m:r>
                </m:sub>
              </m:sSub>
              <m:r>
                <w:rPr>
                  <w:rFonts w:ascii="Cambria Math" w:hAnsi="Cambria Math"/>
                </w:rPr>
                <m:t>+</m:t>
              </m:r>
              <m:sSub>
                <m:e>
                  <m:r>
                    <w:rPr>
                      <w:rFonts w:ascii="Cambria Math" w:hAnsi="Cambria Math"/>
                    </w:rPr>
                    <m:t>I</m:t>
                  </m:r>
                </m:e>
                <m:sub>
                  <m:r>
                    <w:rPr>
                      <w:rFonts w:ascii="Times New Roman" w:hAnsi="Times New Roman"/>
                      <w:i w:val="0"/>
                    </w:rPr>
                    <m:t>word</m:t>
                  </m:r>
                </m:sub>
              </m:sSub>
            </m:num>
            <m:den>
              <m:sSub>
                <m:e>
                  <m:r>
                    <w:rPr>
                      <w:rFonts w:ascii="Cambria Math" w:hAnsi="Cambria Math"/>
                    </w:rPr>
                    <m:t>W</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m:oMath>
        <m:r>
          <w:rPr>
            <w:rFonts w:ascii="Times New Roman" w:hAnsi="Times New Roman"/>
            <w:i w:val="0"/>
          </w:rPr>
          <m:t>ms/sample</m:t>
        </m:r>
      </m:oMath>
      <w:r>
        <w:rPr>
          <w:rFonts w:ascii="Times New Roman" w:hAnsi="Times New Roman"/>
          <w:sz w:val="20"/>
        </w:rPr>
        <w:t>) and framework processing throughput (</w:t>
      </w:r>
      <m:oMath>
        <m:r>
          <w:rPr>
            <w:rFonts w:ascii="Times New Roman" w:hAnsi="Times New Roman"/>
            <w:i w:val="0"/>
          </w:rPr>
          <m:t>samples/sec</m:t>
        </m:r>
      </m:oMath>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Results &amp; Empirical Validation</w:t>
      </w:r>
    </w:p>
    <w:p>
      <w:pPr>
        <w:keepNext/>
        <w:spacing w:before="200" w:after="80"/>
      </w:pPr>
      <w:r>
        <w:rPr>
          <w:rFonts w:ascii="Times New Roman" w:hAnsi="Times New Roman"/>
          <w:b/>
          <w:color w:val="333333"/>
          <w:sz w:val="23"/>
        </w:rPr>
        <w:t>5.1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5.2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5.3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m:oMath>
        <m:r>
          <w:rPr>
            <w:rFonts w:ascii="Cambria Math" w:hAnsi="Cambria Math"/>
          </w:rPr>
          <m:t>σ</m:t>
        </m:r>
        <m:r>
          <w:rPr>
            <w:rFonts w:ascii="Cambria Math" w:hAnsi="Cambria Math"/>
          </w:rPr>
          <m:t>=</m:t>
        </m:r>
        <m:r>
          <w:rPr>
            <w:rFonts w:ascii="Cambria Math" w:hAnsi="Cambria Math"/>
          </w:rPr>
          <m:t>0.45</m:t>
        </m:r>
        <m:r>
          <w:rPr>
            <w:rFonts w:ascii="Times New Roman" w:hAnsi="Times New Roman"/>
            <w:i w:val="0"/>
          </w:rPr>
          <m:t>ms</m:t>
        </m:r>
      </m:oMath>
      <w:r>
        <w:rPr>
          <w:rFonts w:ascii="Times New Roman" w:hAnsi="Times New Roman"/>
          <w:sz w:val="20"/>
        </w:rPr>
        <w:t>)</w:t>
      </w:r>
    </w:p>
    <w:p>
      <w:pPr>
        <w:keepNext/>
        <w:spacing w:before="200" w:after="80"/>
      </w:pPr>
      <w:r>
        <w:rPr>
          <w:rFonts w:ascii="Times New Roman" w:hAnsi="Times New Roman"/>
          <w:b/>
          <w:color w:val="333333"/>
          <w:sz w:val="23"/>
        </w:rPr>
        <w:t>5.4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5.4.1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3" name="Picture 3"/>
            <wp:cNvGraphicFramePr>
              <a:graphicFrameLocks noChangeAspect="1"/>
            </wp:cNvGraphicFramePr>
            <a:graphic>
              <a:graphicData uri="http://schemas.openxmlformats.org/drawingml/2006/picture">
                <pic:pic>
                  <pic:nvPicPr>
                    <pic:cNvPr id="0" name="figure2_option_b_pipeline.png"/>
                    <pic:cNvPicPr/>
                  </pic:nvPicPr>
                  <pic:blipFill>
                    <a:blip r:embed="rId12"/>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3.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80" w:after="16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keepNext/>
        <w:spacing w:before="200" w:after="80"/>
      </w:pPr>
      <w:r>
        <w:rPr>
          <w:rFonts w:ascii="Times New Roman" w:hAnsi="Times New Roman"/>
          <w:b/>
          <w:color w:val="333333"/>
          <w:sz w:val="23"/>
        </w:rPr>
        <w:t>5.5 Empirical Ablation Study of Semantic Canonical Normalization</w:t>
      </w:r>
    </w:p>
    <w:p>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pPr>
        <w:pStyle w:val="ListBullet"/>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pPr>
        <w:pStyle w:val="ListBullet"/>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pPr>
        <w:keepNext/>
        <w:spacing w:before="160" w:after="40"/>
      </w:pPr>
      <w:r>
        <w:rPr>
          <w:rFonts w:ascii="Times New Roman" w:hAnsi="Times New Roman"/>
          <w:b/>
          <w:i/>
          <w:sz w:val="21"/>
        </w:rPr>
        <w:t>5.5.1 Quantitative Ablation Metrics</w:t>
      </w:r>
    </w:p>
    <w:p>
      <w:pPr>
        <w:spacing w:before="40" w:after="80" w:line="276" w:lineRule="auto"/>
      </w:pPr>
      <w:r>
        <w:rPr>
          <w:rFonts w:ascii="Times New Roman" w:hAnsi="Times New Roman"/>
          <w:sz w:val="20"/>
        </w:rPr>
        <w:t>Table 3 summarizes the empirical metrics measured during the two-pass ablation study.</w:t>
      </w:r>
    </w:p>
    <w:p>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Pipeline Pass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38.13%</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285.31%</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3.65%</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Net Absolute Improvement</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-34.48%</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Relative Metric Change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-90.42%</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-90.53%</w:t>
            </w:r>
          </w:p>
        </w:tc>
      </w:tr>
    </w:tbl>
    <w:p>
      <w:pPr>
        <w:spacing w:after="120"/>
      </w:pPr>
    </w:p>
    <w:p>
      <w:pPr>
        <w:keepNext/>
        <w:spacing w:before="160" w:after="40"/>
      </w:pPr>
      <w:r>
        <w:rPr>
          <w:rFonts w:ascii="Times New Roman" w:hAnsi="Times New Roman"/>
          <w:b/>
          <w:i/>
          <w:sz w:val="21"/>
        </w:rPr>
        <w:t>5.5.2 Rule-Wise Contribution &amp; Mismatch Correction Breakdown</w:t>
      </w:r>
    </w:p>
    <w:p>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pPr>
        <w:keepNext/>
        <w:spacing w:before="80" w:after="160"/>
        <w:jc w:val="center"/>
      </w:pPr>
      <w:r>
        <w:rPr>
          <w:rFonts w:ascii="Times New Roman" w:hAnsi="Times New Roman"/>
          <w:b/>
          <w:color w:val="003366"/>
          <w:sz w:val="19"/>
        </w:rPr>
        <w:t>Table 4: Mismatch Correction Contribution by Normalizer Rule</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Domain Normalizer Rule</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Addressed Syntax Discrepancy</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Corrected Mismatches (Count)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Rule Contribution (%)</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Date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Text/DMY date syntax </w:t>
            </w:r>
            <m:oMath>
              <m:r>
                <w:rPr>
                  <w:rFonts w:ascii="Cambria Math" w:hAnsi="Cambria Math"/>
                </w:rPr>
                <m:t>→</m:t>
              </m:r>
            </m:oMath>
            <w:r>
              <w:rPr>
                <w:rFonts w:ascii="Times New Roman" w:hAnsi="Times New Roman"/>
                <w:sz w:val="18"/>
              </w:rPr>
              <w:t xml:space="preserve"> ISO 8601 (YYYY-MM-DD)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Roll Number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Hyphen/slash separators </w:t>
            </w:r>
            <m:oMath>
              <m:r>
                <w:rPr>
                  <w:rFonts w:ascii="Cambria Math" w:hAnsi="Cambria Math"/>
                </w:rPr>
                <m:t>→</m:t>
              </m:r>
            </m:oMath>
            <w:r>
              <w:rPr>
                <w:rFonts w:ascii="Times New Roman" w:hAnsi="Times New Roman"/>
                <w:sz w:val="18"/>
              </w:rPr>
              <w:t xml:space="preserve"> Canonical uppercase</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Degree Alias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Shorthand titles (B.Tech) </w:t>
            </w:r>
            <m:oMath>
              <m:r>
                <w:rPr>
                  <w:rFonts w:ascii="Cambria Math" w:hAnsi="Cambria Math"/>
                </w:rPr>
                <m:t>→</m:t>
              </m:r>
            </m:oMath>
            <w:r>
              <w:rPr>
                <w:rFonts w:ascii="Times New Roman" w:hAnsi="Times New Roman"/>
                <w:sz w:val="18"/>
              </w:rPr>
              <w:t xml:space="preserve"> Full degree names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Numeric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Trailing text/range tags </w:t>
            </w:r>
            <m:oMath>
              <m:r>
                <w:rPr>
                  <w:rFonts w:ascii="Cambria Math" w:hAnsi="Cambria Math"/>
                </w:rPr>
                <m:t>→</m:t>
              </m:r>
            </m:oMath>
            <w:r>
              <w:rPr>
                <w:rFonts w:ascii="Times New Roman" w:hAnsi="Times New Roman"/>
                <w:sz w:val="18"/>
              </w:rPr>
              <w:t xml:space="preserve"> 2-decimal floats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Honorific / Whitespace</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Whitespace padding &amp; honorific prefixes (Mr.)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University Alias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Acronyms (VTU) </w:t>
            </w:r>
            <m:oMath>
              <m:r>
                <w:rPr>
                  <w:rFonts w:ascii="Cambria Math" w:hAnsi="Cambria Math"/>
                </w:rPr>
                <m:t>→</m:t>
              </m:r>
            </m:oMath>
            <w:r>
              <w:rPr>
                <w:rFonts w:ascii="Times New Roman" w:hAnsi="Times New Roman"/>
                <w:sz w:val="18"/>
              </w:rPr>
              <w:t xml:space="preserve"> Canonical full university names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100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3.82%</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Total Corrected Mismatches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All Normalizer Rules Combined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r>
    </w:tbl>
    <w:p>
      <w:pPr>
        <w:spacing w:after="120"/>
      </w:pPr>
    </w:p>
    <w:p>
      <w:pPr>
        <w:keepNext/>
        <w:spacing w:before="160" w:after="40"/>
      </w:pPr>
      <w:r>
        <w:rPr>
          <w:rFonts w:ascii="Times New Roman" w:hAnsi="Times New Roman"/>
          <w:b/>
          <w:i/>
          <w:sz w:val="21"/>
        </w:rPr>
        <w:t>5.5.3 Publication Figures</w:t>
      </w:r>
    </w:p>
    <w:p>
      <w:pPr>
        <w:spacing w:before="40" w:after="80" w:line="276" w:lineRule="auto"/>
      </w:pPr>
      <w:r>
        <w:rPr>
          <w:rFonts w:ascii="Times New Roman" w:hAnsi="Times New Roman"/>
          <w:sz w:val="20"/>
        </w:rPr>
        <w:t>The empirical ablation metrics and rule-wise contributions are visualized in Figures 4, 5, 6, and 7.</w:t>
      </w:r>
    </w:p>
    <w:p>
      <w:pPr>
        <w:spacing w:before="160" w:after="8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ure_normalization_ablation.png"/>
                    <pic:cNvPicPr/>
                  </pic:nvPicPr>
                  <pic:blipFill>
                    <a:blip r:embed="rId13"/>
                    <a:stretch>
                      <a:fillRect/>
                    </a:stretch>
                  </pic:blipFill>
                  <pic:spPr>
                    <a:xfrm>
                      <a:off x="0" y="0"/>
                      <a:ext cx="5486400" cy="3657600"/>
                    </a:xfrm>
                    <a:prstGeom prst="rect"/>
                  </pic:spPr>
                </pic:pic>
              </a:graphicData>
            </a:graphic>
          </wp:inline>
        </w:drawing>
      </w:r>
    </w:p>
    <w:p>
      <w:pPr>
        <w:keepNext/>
        <w:spacing w:before="80" w:after="160"/>
        <w:jc w:val="center"/>
      </w:pPr>
      <w:r>
        <w:rPr>
          <w:rFonts w:ascii="Times New Roman" w:hAnsi="Times New Roman"/>
          <w:b/>
          <w:color w:val="003366"/>
          <w:sz w:val="19"/>
        </w:rPr>
        <w:t>Fig. 4. Accuracy Improvement after Semantic Canonical Normalization.</w:t>
      </w:r>
    </w:p>
    <w:p>
      <w:pPr>
        <w:spacing w:before="160" w:after="8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figure_metric_improvement.png"/>
                    <pic:cNvPicPr/>
                  </pic:nvPicPr>
                  <pic:blipFill>
                    <a:blip r:embed="rId14"/>
                    <a:stretch>
                      <a:fillRect/>
                    </a:stretch>
                  </pic:blipFill>
                  <pic:spPr>
                    <a:xfrm>
                      <a:off x="0" y="0"/>
                      <a:ext cx="5486400" cy="4389120"/>
                    </a:xfrm>
                    <a:prstGeom prst="rect"/>
                  </pic:spPr>
                </pic:pic>
              </a:graphicData>
            </a:graphic>
          </wp:inline>
        </w:drawing>
      </w:r>
    </w:p>
    <w:p>
      <w:pPr>
        <w:keepNext/>
        <w:spacing w:before="80" w:after="160"/>
        <w:jc w:val="center"/>
      </w:pPr>
      <w:r>
        <w:rPr>
          <w:rFonts w:ascii="Times New Roman" w:hAnsi="Times New Roman"/>
          <w:b/>
          <w:color w:val="003366"/>
          <w:sz w:val="19"/>
        </w:rPr>
        <w:t>Fig. 5. Character Error Rate (CER) and Word Error Rate (WER) Reduction Resulting from Canonical Normalization.</w:t>
      </w:r>
    </w:p>
    <w:p>
      <w:pPr>
        <w:spacing w:before="160" w:after="80"/>
        <w:jc w:val="center"/>
      </w:pPr>
      <w:r>
        <w:drawing>
          <wp:inline xmlns:a="http://schemas.openxmlformats.org/drawingml/2006/main" xmlns:pic="http://schemas.openxmlformats.org/drawingml/2006/picture">
            <wp:extent cx="5486400" cy="3376246"/>
            <wp:docPr id="6" name="Picture 6"/>
            <wp:cNvGraphicFramePr>
              <a:graphicFrameLocks noChangeAspect="1"/>
            </wp:cNvGraphicFramePr>
            <a:graphic>
              <a:graphicData uri="http://schemas.openxmlformats.org/drawingml/2006/picture">
                <pic:pic>
                  <pic:nvPicPr>
                    <pic:cNvPr id="0" name="figure_rule_contribution.png"/>
                    <pic:cNvPicPr/>
                  </pic:nvPicPr>
                  <pic:blipFill>
                    <a:blip r:embed="rId15"/>
                    <a:stretch>
                      <a:fillRect/>
                    </a:stretch>
                  </pic:blipFill>
                  <pic:spPr>
                    <a:xfrm>
                      <a:off x="0" y="0"/>
                      <a:ext cx="5486400" cy="3376246"/>
                    </a:xfrm>
                    <a:prstGeom prst="rect"/>
                  </pic:spPr>
                </pic:pic>
              </a:graphicData>
            </a:graphic>
          </wp:inline>
        </w:drawing>
      </w:r>
    </w:p>
    <w:p>
      <w:pPr>
        <w:keepNext/>
        <w:spacing w:before="80" w:after="160"/>
        <w:jc w:val="center"/>
      </w:pPr>
      <w:r>
        <w:rPr>
          <w:rFonts w:ascii="Times New Roman" w:hAnsi="Times New Roman"/>
          <w:b/>
          <w:color w:val="003366"/>
          <w:sz w:val="19"/>
        </w:rPr>
        <w:t>Fig. 6. Total False-Negative Field Mismatches Resolved by Each Individual Domain Normalizer Rule.</w:t>
      </w:r>
    </w:p>
    <w:p>
      <w:pPr>
        <w:spacing w:before="16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igure_field_improvement.png"/>
                    <pic:cNvPicPr/>
                  </pic:nvPicPr>
                  <pic:blipFill>
                    <a:blip r:embed="rId16"/>
                    <a:stretch>
                      <a:fillRect/>
                    </a:stretch>
                  </pic:blipFill>
                  <pic:spPr>
                    <a:xfrm>
                      <a:off x="0" y="0"/>
                      <a:ext cx="5486400" cy="3086100"/>
                    </a:xfrm>
                    <a:prstGeom prst="rect"/>
                  </pic:spPr>
                </pic:pic>
              </a:graphicData>
            </a:graphic>
          </wp:inline>
        </w:drawing>
      </w:r>
    </w:p>
    <w:p>
      <w:pPr>
        <w:keepNext/>
        <w:spacing w:before="80" w:after="160"/>
        <w:jc w:val="center"/>
      </w:pPr>
      <w:r>
        <w:rPr>
          <w:rFonts w:ascii="Times New Roman" w:hAnsi="Times New Roman"/>
          <w:b/>
          <w:color w:val="003366"/>
          <w:sz w:val="19"/>
        </w:rPr>
        <w:t>Fig. 7. Field-by-Field Accuracy Improvement Comparing Raw String Matching Against Canonical Normalization.</w:t>
      </w:r>
    </w:p>
    <w:p>
      <w:pPr>
        <w:keepNext/>
        <w:spacing w:before="160" w:after="40"/>
      </w:pPr>
      <w:r>
        <w:rPr>
          <w:rFonts w:ascii="Times New Roman" w:hAnsi="Times New Roman"/>
          <w:b/>
          <w:i/>
          <w:sz w:val="21"/>
        </w:rPr>
        <w:t>5.5.4 Critical Discussion &amp; Scientific Validation</w:t>
      </w:r>
    </w:p>
    <w:p>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pPr>
        <w:keepNext/>
        <w:spacing w:before="200" w:after="80"/>
      </w:pPr>
      <w:r>
        <w:rPr>
          <w:rFonts w:ascii="Times New Roman" w:hAnsi="Times New Roman"/>
          <w:b/>
          <w:color w:val="333333"/>
          <w:sz w:val="23"/>
        </w:rPr>
        <w:t>5.6 Statistical Significance Analysis ($p &lt; 0.0001$)</w:t>
      </w:r>
    </w:p>
    <w:p>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w:rPr>
            <w:rFonts w:ascii="Cambria Math" w:hAnsi="Cambria Math"/>
          </w:rPr>
          <m:t>N</m:t>
        </m:r>
        <m:r>
          <w:rPr>
            <w:rFonts w:ascii="Cambria Math" w:hAnsi="Cambria Math"/>
          </w:rPr>
          <m:t>=</m:t>
        </m:r>
        <m:r>
          <w:rPr>
            <w:rFonts w:ascii="Cambria Math" w:hAnsi="Cambria Math"/>
          </w:rPr>
          <m:t>5</m:t>
        </m:r>
        <m:r>
          <w:rPr>
            <w:rFonts w:ascii="Cambria Math" w:hAnsi="Cambria Math"/>
          </w:rPr>
          <m:t>,</m:t>
        </m:r>
        <m:r>
          <w:rPr>
            <w:rFonts w:ascii="Cambria Math" w:hAnsi="Cambria Math"/>
          </w:rPr>
          <m:t>760</m:t>
        </m:r>
      </m:oMath>
      <w:r>
        <w:rPr>
          <w:rFonts w:ascii="Times New Roman" w:hAnsi="Times New Roman"/>
          <w:sz w:val="20"/>
        </w:rPr>
        <w:t>).</w:t>
      </w:r>
    </w:p>
    <w:p>
      <w:pPr>
        <w:keepNext/>
        <w:spacing w:before="80" w:after="160"/>
        <w:jc w:val="center"/>
      </w:pPr>
      <w:r>
        <w:rPr>
          <w:rFonts w:ascii="Times New Roman" w:hAnsi="Times New Roman"/>
          <w:b/>
          <w:color w:val="003366"/>
          <w:sz w:val="19"/>
        </w:rPr>
        <w:t>Table 5: Statistical Hypothesis Testing Summary (</w:t>
      </w:r>
      <m:oMath>
        <m:r>
          <w:rPr>
            <w:rFonts w:ascii="Cambria Math" w:hAnsi="Cambria Math"/>
          </w:rPr>
          <m:t>α</m:t>
        </m:r>
        <m:r>
          <w:rPr>
            <w:rFonts w:ascii="Cambria Math" w:hAnsi="Cambria Math"/>
          </w:rPr>
          <m:t>=</m:t>
        </m:r>
        <m:r>
          <w:rPr>
            <w:rFonts w:ascii="Cambria Math" w:hAnsi="Cambria Math"/>
          </w:rPr>
          <m:t>0.001</m:t>
        </m:r>
      </m:oMath>
      <w:r>
        <w:rPr>
          <w:rFonts w:ascii="Times New Roman" w:hAnsi="Times New Roman"/>
          <w:b/>
          <w:color w:val="003366"/>
          <w:sz w:val="19"/>
        </w:rPr>
        <w: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Statistical Test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Tested Metric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Null Hypothesis (</w:t>
            </w:r>
            <m:oMath>
              <m:sSub>
                <m:e>
                  <m:r>
                    <w:rPr>
                      <w:rFonts w:ascii="Cambria Math" w:hAnsi="Cambria Math"/>
                    </w:rPr>
                    <m:t>H</m:t>
                  </m:r>
                </m:e>
                <m:sub>
                  <m:r>
                    <w:rPr>
                      <w:rFonts w:ascii="Cambria Math" w:hAnsi="Cambria Math"/>
                    </w:rPr>
                    <m:t>0</m:t>
                  </m:r>
                </m:sub>
              </m:sSub>
            </m:oMath>
            <w:r>
              <w:rPr>
                <w:rFonts w:ascii="Times New Roman" w:hAnsi="Times New Roman"/>
                <w:b/>
                <w:color w:val="FFFFFF"/>
                <w:sz w:val="19"/>
              </w:rPr>
              <w: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 Statistic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 xml:space="preserve">Exact </w:t>
            </w:r>
            <m:oMath>
              <m:r>
                <w:rPr>
                  <w:rFonts w:ascii="Cambria Math" w:hAnsi="Cambria Math"/>
                </w:rPr>
                <m:t>p</m:t>
              </m:r>
            </m:oMath>
            <w:r>
              <w:rPr>
                <w:rFonts w:ascii="Times New Roman" w:hAnsi="Times New Roman"/>
                <w:b/>
                <w:color w:val="FFFFFF"/>
                <w:sz w:val="19"/>
              </w:rPr>
              <w:t>-value</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Decision</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Significance Level</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McNemar 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Binary Field Match Rate</w:t>
            </w:r>
          </w:p>
        </w:tc>
        <w:tc>
          <w:tcPr>
            <w:tcW w:type="dxa" w:w="1337"/>
            <w:tcMar>
              <w:top w:w="100" w:type="dxa"/>
              <w:bottom w:w="100" w:type="dxa"/>
              <w:left w:w="130" w:type="dxa"/>
              <w:right w:w="130" w:type="dxa"/>
            </w:tcMar>
            <w:shd w:fill="FFFFFF"/>
          </w:tcPr>
          <w:p>
            <w:pPr>
              <w:spacing w:before="40" w:after="40"/>
              <w:jc w:val="center"/>
            </w:pPr>
            <m:oMath>
              <m:sSub>
                <m:e>
                  <m:r>
                    <w:rPr>
                      <w:rFonts w:ascii="Times New Roman" w:hAnsi="Times New Roman"/>
                      <w:i w:val="0"/>
                    </w:rPr>
                    <m:t>Acc</m:t>
                  </m:r>
                </m:e>
                <m:sub>
                  <m:r>
                    <w:rPr>
                      <w:rFonts w:ascii="Times New Roman" w:hAnsi="Times New Roman"/>
                      <w:i w:val="0"/>
                    </w:rPr>
                    <m:t>Pass A</m:t>
                  </m:r>
                </m:sub>
              </m:sSub>
              <m:r>
                <w:rPr>
                  <w:rFonts w:ascii="Cambria Math" w:hAnsi="Cambria Math"/>
                </w:rPr>
                <m:t>=</m:t>
              </m:r>
              <m:sSub>
                <m:e>
                  <m:r>
                    <w:rPr>
                      <w:rFonts w:ascii="Times New Roman" w:hAnsi="Times New Roman"/>
                      <w:i w:val="0"/>
                    </w:rPr>
                    <m:t>Acc</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Per-Sample F1 Score</w:t>
            </w:r>
          </w:p>
        </w:tc>
        <w:tc>
          <w:tcPr>
            <w:tcW w:type="dxa" w:w="1337"/>
            <w:tcMar>
              <w:top w:w="100" w:type="dxa"/>
              <w:bottom w:w="100" w:type="dxa"/>
              <w:left w:w="130" w:type="dxa"/>
              <w:right w:w="130" w:type="dxa"/>
            </w:tcMar>
            <w:shd w:fill="F8F9FA"/>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F1</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1.55</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67</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Per-Sample CER Reduction</w:t>
            </w:r>
          </w:p>
        </w:tc>
        <w:tc>
          <w:tcPr>
            <w:tcW w:type="dxa" w:w="1337"/>
            <w:tcMar>
              <w:top w:w="100" w:type="dxa"/>
              <w:bottom w:w="100" w:type="dxa"/>
              <w:left w:w="130" w:type="dxa"/>
              <w:right w:w="130" w:type="dxa"/>
            </w:tcMar>
            <w:shd w:fill="FFFFFF"/>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CER</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4.68</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61</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Sample Mean F1 Score</w:t>
            </w:r>
          </w:p>
        </w:tc>
        <w:tc>
          <w:tcPr>
            <w:tcW w:type="dxa" w:w="1337"/>
            <w:tcMar>
              <w:top w:w="100" w:type="dxa"/>
              <w:bottom w:w="100" w:type="dxa"/>
              <w:left w:w="130" w:type="dxa"/>
              <w:right w:w="130" w:type="dxa"/>
            </w:tcMar>
            <w:shd w:fill="F8F9FA"/>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t</m:t>
              </m:r>
              <m:r>
                <w:rPr>
                  <w:rFonts w:ascii="Cambria Math" w:hAnsi="Cambria Math"/>
                </w:rPr>
                <m:t>=</m:t>
              </m:r>
              <m:r>
                <w:rPr>
                  <w:rFonts w:ascii="Cambria Math" w:hAnsi="Cambria Math"/>
                </w:rPr>
                <m:t>307.87</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Sample Mean CER</w:t>
            </w:r>
          </w:p>
        </w:tc>
        <w:tc>
          <w:tcPr>
            <w:tcW w:type="dxa" w:w="1337"/>
            <w:tcMar>
              <w:top w:w="100" w:type="dxa"/>
              <w:bottom w:w="100" w:type="dxa"/>
              <w:left w:w="130" w:type="dxa"/>
              <w:right w:w="130" w:type="dxa"/>
            </w:tcMar>
            <w:shd w:fill="FFFFFF"/>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t</m:t>
              </m:r>
              <m:r>
                <w:rPr>
                  <w:rFonts w:ascii="Cambria Math" w:hAnsi="Cambria Math"/>
                </w:rPr>
                <m:t>=</m:t>
              </m:r>
              <m:r>
                <w:rPr>
                  <w:rFonts w:ascii="Cambria Math" w:hAnsi="Cambria Math"/>
                </w:rPr>
                <m:t>262.36</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bl>
    <w:p>
      <w:pPr>
        <w:spacing w:after="120"/>
      </w:pPr>
    </w:p>
    <w:p>
      <w:pPr>
        <w:spacing w:before="40" w:after="80" w:line="276" w:lineRule="auto"/>
      </w:pPr>
      <w:r>
        <w:rPr>
          <w:rFonts w:ascii="Times New Roman" w:hAnsi="Times New Roman"/>
          <w:sz w:val="20"/>
        </w:rPr>
        <w:t xml:space="preserve">McNemar's test over the </w:t>
      </w:r>
      <m:oMath>
        <m:r>
          <w:rPr>
            <w:rFonts w:ascii="Cambria Math" w:hAnsi="Cambria Math"/>
          </w:rPr>
          <m:t>2</m:t>
        </m:r>
        <m:r>
          <w:rPr>
            <w:rFonts w:ascii="Cambria Math" w:hAnsi="Cambria Math"/>
          </w:rPr>
          <m:t>×</m:t>
        </m:r>
        <m:r>
          <w:rPr>
            <w:rFonts w:ascii="Cambria Math" w:hAnsi="Cambria Math"/>
          </w:rPr>
          <m:t>2</m:t>
        </m:r>
      </m:oMath>
      <w:r>
        <w:rPr>
          <w:rFonts w:ascii="Times New Roman" w:hAnsi="Times New Roman"/>
          <w:sz w:val="20"/>
        </w:rPr>
        <w:t xml:space="preserve"> contingency matrix (</w:t>
      </w:r>
      <m:oMath>
        <m:r>
          <w:rPr>
            <w:rFonts w:ascii="Cambria Math" w:hAnsi="Cambria Math"/>
          </w:rPr>
          <m:t>a</m:t>
        </m:r>
        <m:r>
          <w:rPr>
            <w:rFonts w:ascii="Cambria Math" w:hAnsi="Cambria Math"/>
          </w:rPr>
          <m:t>=</m:t>
        </m:r>
        <m:r>
          <w:rPr>
            <w:rFonts w:ascii="Cambria Math" w:hAnsi="Cambria Math"/>
          </w:rPr>
          <m:t>2</m:t>
        </m:r>
        <m:r>
          <w:rPr>
            <w:rFonts w:ascii="Cambria Math" w:hAnsi="Cambria Math"/>
          </w:rPr>
          <m:t>,</m:t>
        </m:r>
        <m:r>
          <w:rPr>
            <w:rFonts w:ascii="Cambria Math" w:hAnsi="Cambria Math"/>
          </w:rPr>
          <m:t>880</m:t>
        </m:r>
        <m:r>
          <w:rPr>
            <w:rFonts w:ascii="Cambria Math" w:hAnsi="Cambria Math"/>
          </w:rPr>
          <m:t>,</m:t>
        </m:r>
        <m:r>
          <w:rPr>
            <w:rFonts w:ascii="Cambria Math" w:hAnsi="Cambria Math"/>
          </w:rPr>
          <m:t>b</m:t>
        </m:r>
        <m:r>
          <w:rPr>
            <w:rFonts w:ascii="Cambria Math" w:hAnsi="Cambria Math"/>
          </w:rPr>
          <m:t>=</m:t>
        </m:r>
        <m:r>
          <w:rPr>
            <w:rFonts w:ascii="Cambria Math" w:hAnsi="Cambria Math"/>
          </w:rPr>
          <m:t>0</m:t>
        </m:r>
        <m:r>
          <w:rPr>
            <w:rFonts w:ascii="Cambria Math" w:hAnsi="Cambria Math"/>
          </w:rPr>
          <m:t>,</m:t>
        </m:r>
        <m:r>
          <w:rPr>
            <w:rFonts w:ascii="Cambria Math" w:hAnsi="Cambria Math"/>
          </w:rPr>
          <m:t>c</m:t>
        </m:r>
        <m:r>
          <w:rPr>
            <w:rFonts w:ascii="Cambria Math" w:hAnsi="Cambria Math"/>
          </w:rPr>
          <m:t>=</m:t>
        </m:r>
        <m:r>
          <w:rPr>
            <w:rFonts w:ascii="Cambria Math" w:hAnsi="Cambria Math"/>
          </w:rPr>
          <m:t>2</m:t>
        </m:r>
        <m:r>
          <w:rPr>
            <w:rFonts w:ascii="Cambria Math" w:hAnsi="Cambria Math"/>
          </w:rPr>
          <m:t>,</m:t>
        </m:r>
        <m:r>
          <w:rPr>
            <w:rFonts w:ascii="Cambria Math" w:hAnsi="Cambria Math"/>
          </w:rPr>
          <m:t>620</m:t>
        </m:r>
        <m:r>
          <w:rPr>
            <w:rFonts w:ascii="Cambria Math" w:hAnsi="Cambria Math"/>
          </w:rPr>
          <m:t>,</m:t>
        </m:r>
        <m:r>
          <w:rPr>
            <w:rFonts w:ascii="Cambria Math" w:hAnsi="Cambria Math"/>
          </w:rPr>
          <m:t>d</m:t>
        </m:r>
        <m:r>
          <w:rPr>
            <w:rFonts w:ascii="Cambria Math" w:hAnsi="Cambria Math"/>
          </w:rPr>
          <m:t>=</m:t>
        </m:r>
        <m:r>
          <w:rPr>
            <w:rFonts w:ascii="Cambria Math" w:hAnsi="Cambria Math"/>
          </w:rPr>
          <m:t>260</m:t>
        </m:r>
      </m:oMath>
      <w:r>
        <w:rPr>
          <w:rFonts w:ascii="Times New Roman" w:hAnsi="Times New Roman"/>
          <w:sz w:val="20"/>
        </w:rPr>
        <w:t xml:space="preserve">) yielded </w:t>
      </w: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r>
        <w:rPr>
          <w:rFonts w:ascii="Times New Roman" w:hAnsi="Times New Roman"/>
          <w:sz w:val="20"/>
        </w:rPr>
        <w:t xml:space="preserve"> (</w:t>
      </w: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sz w:val="20"/>
        </w:rPr>
        <w:t>), confirming that canonical normalization provides an overwhelmingly statistically significant improvement in field match accuracy.</w:t>
      </w:r>
    </w:p>
    <w:p>
      <w:pPr>
        <w:keepNext/>
        <w:spacing w:before="200" w:after="80"/>
      </w:pPr>
      <w:r>
        <w:rPr>
          <w:rFonts w:ascii="Times New Roman" w:hAnsi="Times New Roman"/>
          <w:b/>
          <w:color w:val="333333"/>
          <w:sz w:val="23"/>
        </w:rPr>
        <w:t>5.7 Non-Parametric 95% Bootstrap Confidence Intervals</w:t>
      </w:r>
    </w:p>
    <w:p>
      <w:pPr>
        <w:spacing w:before="40" w:after="80" w:line="276" w:lineRule="auto"/>
      </w:pPr>
      <w:r>
        <w:rPr>
          <w:rFonts w:ascii="Times New Roman" w:hAnsi="Times New Roman"/>
          <w:sz w:val="20"/>
        </w:rPr>
        <w:t>To establish rigorous confidence bounds, non-parametric empirical bootstrap resampling (</w:t>
      </w:r>
      <m:oMath>
        <m:r>
          <w:rPr>
            <w:rFonts w:ascii="Cambria Math" w:hAnsi="Cambria Math"/>
          </w:rPr>
          <m:t>B</m:t>
        </m:r>
        <m:r>
          <w:rPr>
            <w:rFonts w:ascii="Cambria Math" w:hAnsi="Cambria Math"/>
          </w:rPr>
          <m:t>=</m:t>
        </m:r>
        <m:r>
          <w:rPr>
            <w:rFonts w:ascii="Cambria Math" w:hAnsi="Cambria Math"/>
          </w:rPr>
          <m:t>1</m:t>
        </m:r>
        <m:r>
          <w:rPr>
            <w:rFonts w:ascii="Cambria Math" w:hAnsi="Cambria Math"/>
          </w:rPr>
          <m:t>,</m:t>
        </m:r>
        <m:r>
          <w:rPr>
            <w:rFonts w:ascii="Cambria Math" w:hAnsi="Cambria Math"/>
          </w:rPr>
          <m:t>000</m:t>
        </m:r>
      </m:oMath>
      <w:r>
        <w:rPr>
          <w:rFonts w:ascii="Times New Roman" w:hAnsi="Times New Roman"/>
          <w:sz w:val="20"/>
        </w:rPr>
        <w:t xml:space="preserve"> iterations) was performed over the 5,760 field observations.</w:t>
      </w:r>
    </w:p>
    <w:p>
      <w:pPr>
        <w:keepNext/>
        <w:spacing w:before="80" w:after="160"/>
        <w:jc w:val="center"/>
      </w:pPr>
      <w:r>
        <w:rPr>
          <w:rFonts w:ascii="Times New Roman" w:hAnsi="Times New Roman"/>
          <w:b/>
          <w:color w:val="003366"/>
          <w:sz w:val="19"/>
        </w:rPr>
        <w:t>Table 6: Empirical Benchmark Metrics with 95% Bootstrap Confidence Intervals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872"/>
        <w:gridCol w:w="1872"/>
        <w:gridCol w:w="1872"/>
        <w:gridCol w:w="1872"/>
        <w:gridCol w:w="1872"/>
      </w:tblGrid>
      <w:tr>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Pass</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Metric</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Empirical Mean</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95% Bootstrap CI [Lower, Upper]</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CI Bound Range (</w:t>
            </w:r>
            <m:oMath>
              <m:r>
                <w:rPr>
                  <w:rFonts w:ascii="Cambria Math" w:hAnsi="Cambria Math"/>
                </w:rPr>
                <m:t>Δ</m:t>
              </m:r>
            </m:oMath>
            <w:r>
              <w:rPr>
                <w:rFonts w:ascii="Times New Roman" w:hAnsi="Times New Roman"/>
                <w:b/>
                <w:color w:val="FFFFFF"/>
                <w:sz w:val="19"/>
              </w:rPr>
              <w:t>)</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50.00%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[48.72%, 51.28%]</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38.13%</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[36.92%, 39.36%]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2.44%</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285.31%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[276.26%, 294.89%]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r>
        <w:tc>
          <w:tcPr>
            <w:tcW w:type="dxa" w:w="1872"/>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[94.93%, 96.01%]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1.08%</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3.65%</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[3.23%, 4.10%]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0.87%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[23.86%, 30.26%]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6.40%</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Net Empirical Change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F1 Score Boost</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[+44.29%, +46.82%]</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2.53%</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CER Reduction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-34.48%</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[-35.65%, -33.25%]</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2.40%</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WER Reduction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[-267.73%, -249.11%]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bl>
    <w:p>
      <w:pPr>
        <w:spacing w:after="120"/>
      </w:pPr>
    </w:p>
    <w:p>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pPr>
        <w:keepNext/>
        <w:spacing w:before="200" w:after="80"/>
      </w:pPr>
      <w:r>
        <w:rPr>
          <w:rFonts w:ascii="Times New Roman" w:hAnsi="Times New Roman"/>
          <w:b/>
          <w:color w:val="333333"/>
          <w:sz w:val="23"/>
        </w:rPr>
        <w:t>5.8 Error Taxonomy Distribution Shift Analysis</w:t>
      </w:r>
    </w:p>
    <w:p>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pPr>
        <w:keepNext/>
        <w:spacing w:before="80" w:after="160"/>
        <w:jc w:val="center"/>
      </w:pPr>
      <w:r>
        <w:rPr>
          <w:rFonts w:ascii="Times New Roman" w:hAnsi="Times New Roman"/>
          <w:b/>
          <w:color w:val="003366"/>
          <w:sz w:val="19"/>
        </w:rPr>
        <w:t>Table 7: Nine-Class OCR Error Taxonomy Distribution Before and After Normalization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Error Category Class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Diagnostic Failure Description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A (Without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B (With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Absolute Shift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Shift (%)</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EXACT_MATCH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Character-perfect field 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2,880 (50.00%)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5,500 (95.49%)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+90.97%</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FORMAT_ERROR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Match achieved after canonicalization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2,620 (45.49%)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NORMALIZATION_ERROR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Canonical values remain unequal</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OCR_ERROR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Physical optical scanner noise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FIELD_MISSING</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Target entity key omitted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HALLUCINATION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Content absent from document</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CATEGORY_ERROR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Category misclassification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PARTIAL_MATCH</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 substring overlap</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LOW_CONFIDENCE</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Score below confidence cutoff</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Total Evaluations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Complete Benchmark Suite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bl>
    <w:p>
      <w:pPr>
        <w:spacing w:after="120"/>
      </w:pPr>
    </w:p>
    <w:p>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Discussion &amp; Threats to Validity</w:t>
      </w:r>
    </w:p>
    <w:p>
      <w:pPr>
        <w:keepNext/>
        <w:spacing w:before="200" w:after="80"/>
      </w:pPr>
      <w:r>
        <w:rPr>
          <w:rFonts w:ascii="Times New Roman" w:hAnsi="Times New Roman"/>
          <w:b/>
          <w:color w:val="333333"/>
          <w:sz w:val="23"/>
        </w:rPr>
        <w:t>6.1 Scientific Contributions and Methodological Novelty</w:t>
      </w:r>
    </w:p>
    <w:p>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Methodology</w:t>
      </w:r>
      <w:r>
        <w:rPr>
          <w:rFonts w:ascii="Times New Roman" w:hAnsi="Times New Roman"/>
          <w:sz w:val="20"/>
        </w:rPr>
        <w:t>: Public benchmarks (SROIE, CORD, FUNSD) utilize scanned receipts or forms. In higher education administration, privacy regulations (FERPA, GDPR) prohibit public sharing of authentic student records. ADBG v1.0 provides a synthetic benchmark methodology that generates realistic credentials without requiring real student records.</w:t>
      </w:r>
    </w:p>
    <w:p>
      <w:pPr>
        <w:spacing w:before="20" w:after="40"/>
        <w:ind w:left="360"/>
      </w:pPr>
      <w:r>
        <w:rPr>
          <w:rFonts w:ascii="Times New Roman" w:hAnsi="Times New Roman"/>
          <w:b/>
          <w:sz w:val="20"/>
        </w:rPr>
        <w:t xml:space="preserve">2. </w:t>
      </w:r>
      <w:r>
        <w:rPr>
          <w:rFonts w:ascii="Times New Roman" w:hAnsi="Times New Roman"/>
          <w:b/>
          <w:sz w:val="20"/>
        </w:rPr>
        <w:t>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w:t>
      </w:r>
    </w:p>
    <w:p>
      <w:pPr>
        <w:spacing w:before="20" w:after="40"/>
        <w:ind w:left="360"/>
      </w:pPr>
      <w:r>
        <w:rPr>
          <w:rFonts w:ascii="Times New Roman" w:hAnsi="Times New Roman"/>
          <w:b/>
          <w:sz w:val="20"/>
        </w:rPr>
        <w:t xml:space="preserve">3. </w:t>
      </w:r>
      <w:r>
        <w:rPr>
          <w:rFonts w:ascii="Times New Roman" w:hAnsi="Times New Roman"/>
          <w:b/>
          <w:sz w:val="20"/>
        </w:rPr>
        <w:t>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w:t>
      </w:r>
    </w:p>
    <w:p>
      <w:pPr>
        <w:spacing w:before="20" w:after="40"/>
        <w:ind w:left="360"/>
      </w:pPr>
      <w:r>
        <w:rPr>
          <w:rFonts w:ascii="Times New Roman" w:hAnsi="Times New Roman"/>
          <w:b/>
          <w:sz w:val="20"/>
        </w:rPr>
        <w:t xml:space="preserve">4. </w:t>
      </w:r>
      <w:r>
        <w:rPr>
          <w:rFonts w:ascii="Times New Roman" w:hAnsi="Times New Roman"/>
          <w:b/>
          <w:sz w:val="20"/>
        </w:rPr>
        <w:t>Controlled Quality-Profile Degradation Matrix</w:t>
      </w:r>
      <w:r>
        <w:rPr>
          <w:rFonts w:ascii="Times New Roman" w:hAnsi="Times New Roman"/>
          <w:sz w:val="20"/>
        </w:rPr>
        <w:t>: Evaluates model performance decay across four standardized physical optical capture profiles (clean, scanner_copy, mobile_camera, rotated_90).</w:t>
      </w:r>
    </w:p>
    <w:p>
      <w:pPr>
        <w:spacing w:before="20" w:after="40"/>
        <w:ind w:left="360"/>
      </w:pPr>
      <w:r>
        <w:rPr>
          <w:rFonts w:ascii="Times New Roman" w:hAnsi="Times New Roman"/>
          <w:b/>
          <w:sz w:val="20"/>
        </w:rPr>
        <w:t xml:space="preserve">5. </w:t>
      </w:r>
      <w:r>
        <w:rPr>
          <w:rFonts w:ascii="Times New Roman" w:hAnsi="Times New Roman"/>
          <w:b/>
          <w:sz w:val="20"/>
        </w:rPr>
        <w:t>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w:t>
      </w:r>
    </w:p>
    <w:p>
      <w:pPr>
        <w:keepNext/>
        <w:spacing w:before="200" w:after="80"/>
      </w:pPr>
      <w:r>
        <w:rPr>
          <w:rFonts w:ascii="Times New Roman" w:hAnsi="Times New Roman"/>
          <w:b/>
          <w:color w:val="333333"/>
          <w:sz w:val="23"/>
        </w:rPr>
        <w:t>6.2 Discussion of Empirical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6.3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Limitations Analysis</w:t>
      </w:r>
    </w:p>
    <w:p>
      <w:pPr>
        <w:keepNext/>
        <w:spacing w:before="200" w:after="80"/>
      </w:pPr>
      <w:r>
        <w:rPr>
          <w:rFonts w:ascii="Times New Roman" w:hAnsi="Times New Roman"/>
          <w:b/>
          <w:color w:val="333333"/>
          <w:sz w:val="23"/>
        </w:rPr>
        <w:t>7.1 Methodological Limitations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keepNext/>
        <w:spacing w:before="160" w:after="40"/>
      </w:pPr>
      <w:r>
        <w:rPr>
          <w:rFonts w:ascii="Times New Roman" w:hAnsi="Times New Roman"/>
          <w:b/>
          <w:i/>
          <w:sz w:val="21"/>
        </w:rPr>
        <w:t>7.1.1 Methodological Clarification on Synthetic Data vs. Privacy-Preserving Computation</w:t>
      </w:r>
    </w:p>
    <w:p>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Conclusion</w:t>
      </w:r>
    </w:p>
    <w:p>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The proposed methodology provides a reproducible synthetic benchmark for academic credential document intelligence, enabling standardized evaluation of classical OCR engines, proprietary LLMs, and open-weight Vision-Language Models without requiring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keepNext/>
        <w:spacing w:before="200" w:after="80"/>
      </w:pPr>
      <w:r>
        <w:rPr>
          <w:rFonts w:ascii="Times New Roman" w:hAnsi="Times New Roman"/>
          <w:b/>
          <w:color w:val="333333"/>
          <w:sz w:val="23"/>
        </w:rPr>
        <w:t>B.3 Scientific Justification of NORMALIZATION_ERROR Category</w:t>
      </w:r>
    </w:p>
    <w:p>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