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privacy-compliant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This work provides a privacy-safe, reproducible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Privacy-Safe AI.</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Regulatory Barriers</w:t>
      </w:r>
      <w:r>
        <w:rPr>
          <w:rFonts w:ascii="Times New Roman" w:hAnsi="Times New Roman"/>
          <w:sz w:val="20"/>
        </w:rPr>
        <w:t>: Privacy laws such as the Family Educational Rights and Privacy Act (FERPA) in the United States and the General Data Protection Regulation (GDPR) in the European Union prohibit public sharing of authentic student academic records.</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formatting variations (e.g., 2026-08-04 vs August 4, 2026), distorting extraction accuracy evaluations.</w:t>
      </w:r>
    </w:p>
    <w:p>
      <w:pPr>
        <w:spacing w:before="40" w:after="80" w:line="276" w:lineRule="auto"/>
      </w:pPr>
      <w:r>
        <w:rPr>
          <w:rFonts w:ascii="Times New Roman" w:hAnsi="Times New Roman"/>
          <w:sz w:val="20"/>
        </w:rPr>
        <w:t>Real-world academic credentials frequently contain personally identifiable information (PII), including student names, enrollment identifiers, grades, transcripts, and institutional records. Public distribution of such documents is often restricted by privacy regulations such as the Family Educational Rights and Privacy Act (FERPA) in the United States and the General Data Protection Regulation (GDPR) in the European Union. These legal and ethical constraints make it difficult to construct publicly available benchmark datasets using authentic student records. To address this challenge, this work adopts a fully synthetic, privacy-preserving benchmark generation strategy that produces realistic academic credentials together with complete ground-truth annotations while avoiding the disclosure of real student information.</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privacy-compliant synthetic data generator capable of rendering diverse academic credentials with pixel-exact ground truth annotations.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Privacy-Preserving Benchmark Generation Methodology</w:t>
      </w:r>
      <w:r>
        <w:rPr>
          <w:rFonts w:ascii="Times New Roman" w:hAnsi="Times New Roman"/>
          <w:sz w:val="20"/>
        </w:rPr>
        <w:t>: A seed-deterministic synthetic benchmark generation methodology for academic document intelligence that enables reproducible evaluation without exposing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within the scope of academic credential benchmarking, we propose the first privacy-preserving, reproducible benchmarking methodology for academic credential document intelligence that combines deterministic synthetic data generation, semantic canonical normalization, a structured OCR error taxonomy, and a controlled quality-profile evaluation matrix.</w:t>
      </w:r>
    </w:p>
    <w:p>
      <w:pPr>
        <w:spacing w:before="40" w:after="80" w:line="276" w:lineRule="auto"/>
      </w:pPr>
      <w:r>
        <w:rPr>
          <w:rFonts w:ascii="Times New Roman" w:hAnsi="Times New Roman"/>
          <w:sz w:val="20"/>
        </w:rPr>
        <w:t>The primary scientific contribution of this work lies not merely in software implementation or tool engineering, but in establishing a unified evaluation methodology for Document Intelligence Systems (DIS) operating on privacy-restricted administrative records. Previous benchmark contributions in document analysis (e.g., SROIE, CORD, FUNSD, DocVQA) evaluate neural models on static, authentic document collections. However, in the academic credential domain, regulatory constraints (FERPA, GDPR) prohibit public distribution of real student records, while superficial string representation variations distort extraction evaluation.</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benchmark protocol, this work establishes a standardized, reproducible foundation to evaluate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Section 3 details the system architecture. Section 4 presents the ADBG synthetic data generation methodology. Section 5 describes the AU DIC evaluation framework and normalizers. Section 6 specifies the experimental protocol and metrics. Section 7 presents empirical validation results. Section 8 discusses scientific contributions, methodological novelty, threats to validity, and limitations. Section 9 outlines future research directions, Section 10 concludes the paper, and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Information Extraction &amp; Neural Document AI Architectures</w:t>
      </w:r>
    </w:p>
    <w:p>
      <w:pPr>
        <w:spacing w:before="40" w:after="80" w:line="276" w:lineRule="auto"/>
      </w:pPr>
      <w:r>
        <w:rPr>
          <w:rFonts w:ascii="Times New Roman" w:hAnsi="Times New Roman"/>
          <w:sz w:val="20"/>
        </w:rPr>
        <w:t xml:space="preserve">Modern Document AI architectures integrate visual features, textual content, and spatial layout coordinates. Multimodal models such as </w:t>
      </w:r>
      <w:r>
        <w:rPr>
          <w:rFonts w:ascii="Times New Roman" w:hAnsi="Times New Roman"/>
          <w:b/>
          <w:sz w:val="20"/>
        </w:rPr>
        <w:t>LayoutLMv3</w:t>
      </w:r>
      <w:r>
        <w:rPr>
          <w:rFonts w:ascii="Times New Roman" w:hAnsi="Times New Roman"/>
          <w:sz w:val="20"/>
        </w:rPr>
        <w:t xml:space="preserve"> (Huang et al., 2022) utilize unified text and image masking to capture spatial correlations across complex form fields. Similarly, end-to-end vision encoder-decoder models such as </w:t>
      </w:r>
      <w:r>
        <w:rPr>
          <w:rFonts w:ascii="Times New Roman" w:hAnsi="Times New Roman"/>
          <w:b/>
          <w:sz w:val="20"/>
        </w:rPr>
        <w:t>Donut</w:t>
      </w:r>
      <w:r>
        <w:rPr>
          <w:rFonts w:ascii="Times New Roman" w:hAnsi="Times New Roman"/>
          <w:sz w:val="20"/>
        </w:rPr>
        <w:t xml:space="preserve"> (Kim et al., 2022) eliminate explicit OCR dependencies by mapping document images directly to structured JSON trees. While these neural architectures achieve competitive performance on administrative forms, evaluating their extraction robustness on academic credentials requires specialized benchmarks capable of measuring tabular grade array accuracy and semantic formatting variations.</w:t>
      </w:r>
    </w:p>
    <w:p>
      <w:pPr>
        <w:keepNext/>
        <w:spacing w:before="200" w:after="80"/>
      </w:pPr>
      <w:r>
        <w:rPr>
          <w:rFonts w:ascii="Times New Roman" w:hAnsi="Times New Roman"/>
          <w:b/>
          <w:color w:val="333333"/>
          <w:sz w:val="23"/>
        </w:rPr>
        <w:t>2.2 Public Document Intelligence Benchmarks</w:t>
      </w:r>
    </w:p>
    <w:p>
      <w:pPr>
        <w:spacing w:before="40" w:after="80" w:line="276" w:lineRule="auto"/>
      </w:pPr>
      <w:r>
        <w:rPr>
          <w:rFonts w:ascii="Times New Roman" w:hAnsi="Times New Roman"/>
          <w:sz w:val="20"/>
        </w:rPr>
        <w:t>Several public datasets exist for document analysis research:</w:t>
      </w:r>
    </w:p>
    <w:p>
      <w:pPr>
        <w:pStyle w:val="ListBullet"/>
        <w:spacing w:before="20" w:after="40"/>
      </w:pPr>
      <w:r>
        <w:rPr>
          <w:rFonts w:ascii="Times New Roman" w:hAnsi="Times New Roman"/>
          <w:b/>
          <w:sz w:val="20"/>
        </w:rPr>
        <w:t>Receipts &amp; Invoices</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provide key-value annotations for commercial receipt parsing.</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provides word-level and entity-level relationship annotations for administrative forms.</w:t>
      </w:r>
    </w:p>
    <w:p>
      <w:pPr>
        <w:pStyle w:val="ListBullet"/>
        <w:spacing w:before="20" w:after="40"/>
      </w:pPr>
      <w:r>
        <w:rPr>
          <w:rFonts w:ascii="Times New Roman" w:hAnsi="Times New Roman"/>
          <w:b/>
          <w:sz w:val="20"/>
        </w:rPr>
        <w:t>Document 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evaluates visual question answering across industry documents.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provides single-page scanned document categories across 16 administrative classes.</w:t>
      </w:r>
    </w:p>
    <w:p>
      <w:pPr>
        <w:spacing w:before="40" w:after="80" w:line="276" w:lineRule="auto"/>
      </w:pPr>
      <w:r>
        <w:rPr>
          <w:rFonts w:ascii="Times New Roman" w:hAnsi="Times New Roman"/>
          <w:sz w:val="20"/>
        </w:rPr>
        <w:t>However, these datasets do not focus on academic credentials, which combine dense tabular course arrays (subject codes, credits, grades) with formal institutional metadata. Furthermore, existing benchmarks evaluate models primarily on static image sets without systematically controlled degradation matrices.</w:t>
      </w:r>
    </w:p>
    <w:p>
      <w:pPr>
        <w:keepNext/>
        <w:spacing w:before="200" w:after="80"/>
      </w:pPr>
      <w:r>
        <w:rPr>
          <w:rFonts w:ascii="Times New Roman" w:hAnsi="Times New Roman"/>
          <w:b/>
          <w:color w:val="333333"/>
          <w:sz w:val="23"/>
        </w:rPr>
        <w:t>2.3 Synthetic Document Generation &amp; Benchmark Comparison</w:t>
      </w:r>
    </w:p>
    <w:p>
      <w:pPr>
        <w:spacing w:before="40" w:after="80" w:line="276" w:lineRule="auto"/>
      </w:pPr>
      <w:r>
        <w:rPr>
          <w:rFonts w:ascii="Times New Roman" w:hAnsi="Times New Roman"/>
          <w:sz w:val="20"/>
        </w:rPr>
        <w:t>To overcome privacy constraints, synthetic data generation frameworks render synthetic text onto natural images or form templates. ADBG v1.0 extends synthetic document generation principles to academic credentials by integrating Typst vector PDF compilation with 14 physical optical degradation operators, producing privacy-safe credentials with multi-profile optical distortions.</w:t>
      </w:r>
    </w:p>
    <w:p>
      <w:pPr>
        <w:spacing w:before="40" w:after="80" w:line="276" w:lineRule="auto"/>
      </w:pPr>
      <w:r>
        <w:rPr>
          <w:rFonts w:ascii="Times New Roman" w:hAnsi="Times New Roman"/>
          <w:sz w:val="20"/>
        </w:rPr>
        <w:t>Table 0 presents a comparative feature matrix contrasting ADBG v1.0 with existing public document analysis benchmarks.</w:t>
      </w:r>
    </w:p>
    <w:p>
      <w:pPr>
        <w:keepNext/>
        <w:spacing w:before="160" w:after="80"/>
        <w:jc w:val="center"/>
      </w:pPr>
      <w:r>
        <w:rPr>
          <w:rFonts w:ascii="Times New Roman" w:hAnsi="Times New Roman"/>
          <w:b/>
          <w:color w:val="003366"/>
          <w:sz w:val="19"/>
        </w:rPr>
        <w:t>Table 0: Comparative Feature Matrix of Document Intelligence Benchmarks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Privacy-Safe Synthetic</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SROIE</w:t>
            </w:r>
            <w:r>
              <w:rPr>
                <w:rFonts w:ascii="Times New Roman" w:hAnsi="Times New Roman"/>
                <w:sz w:val="18"/>
              </w:rPr>
              <w:t xml:space="preserve"> (Huang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Commercial Receipts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CORD</w:t>
            </w:r>
            <w:r>
              <w:rPr>
                <w:rFonts w:ascii="Times New Roman" w:hAnsi="Times New Roman"/>
                <w:sz w:val="18"/>
              </w:rPr>
              <w:t xml:space="preserve"> (Park et al., 2019)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Scanned Receipts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(Anonymized)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FUNSD</w:t>
            </w:r>
            <w:r>
              <w:rPr>
                <w:rFonts w:ascii="Times New Roman" w:hAnsi="Times New Roman"/>
                <w:sz w:val="18"/>
              </w:rPr>
              <w:t xml:space="preserve"> (Jaume et al., 2019)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Noise-Degraded Forms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Static Noise Only</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DocVQA</w:t>
            </w:r>
            <w:r>
              <w:rPr>
                <w:rFonts w:ascii="Times New Roman" w:hAnsi="Times New Roman"/>
                <w:sz w:val="18"/>
              </w:rPr>
              <w:t xml:space="preserve"> (Mathew et al., 2021)</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Mixed Documents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 2015)</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ADBG v1.0 / AU DIC (Ours)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Academic Credentials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(100% Synthetic)</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(Semester Arrays)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(4 Profiles)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Yes (6 Stages)</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System Architecture Overview</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ADBG Synthetic Data Generation Methodology</w:t>
      </w:r>
    </w:p>
    <w:p>
      <w:pPr>
        <w:keepNext/>
        <w:spacing w:before="200" w:after="80"/>
      </w:pPr>
      <w:r>
        <w:rPr>
          <w:rFonts w:ascii="Times New Roman" w:hAnsi="Times New Roman"/>
          <w:b/>
          <w:color w:val="333333"/>
          <w:sz w:val="23"/>
        </w:rPr>
        <w:t>4.1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200" w:after="80"/>
      </w:pPr>
      <w:r>
        <w:rPr>
          <w:rFonts w:ascii="Times New Roman" w:hAnsi="Times New Roman"/>
          <w:b/>
          <w:color w:val="333333"/>
          <w:sz w:val="23"/>
        </w:rPr>
        <w:t>4.2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200" w:after="80"/>
      </w:pPr>
      <w:r>
        <w:rPr>
          <w:rFonts w:ascii="Times New Roman" w:hAnsi="Times New Roman"/>
          <w:b/>
          <w:color w:val="333333"/>
          <w:sz w:val="23"/>
        </w:rPr>
        <w:t>4.3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AU DIC Evaluation Subsystem &amp; Semantic Normalization Layer</w:t>
      </w:r>
    </w:p>
    <w:p>
      <w:pPr>
        <w:keepNext/>
        <w:spacing w:before="200" w:after="80"/>
      </w:pPr>
      <w:r>
        <w:rPr>
          <w:rFonts w:ascii="Times New Roman" w:hAnsi="Times New Roman"/>
          <w:b/>
          <w:color w:val="333333"/>
          <w:sz w:val="23"/>
        </w:rPr>
        <w:t>5.1 Decoupled Read-Only Execution Engine</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5.2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5.3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5.3.1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5.3.2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160" w:after="8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Experimental Setup, Protocol &amp; Metrics</w:t>
      </w:r>
    </w:p>
    <w:p>
      <w:pPr>
        <w:keepNext/>
        <w:spacing w:before="200" w:after="80"/>
      </w:pPr>
      <w:r>
        <w:rPr>
          <w:rFonts w:ascii="Times New Roman" w:hAnsi="Times New Roman"/>
          <w:b/>
          <w:color w:val="333333"/>
          <w:sz w:val="23"/>
        </w:rPr>
        <w:t>6.1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6.2 Evaluation Metrics</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Results &amp; Validation</w:t>
      </w:r>
    </w:p>
    <w:p>
      <w:pPr>
        <w:keepNext/>
        <w:spacing w:before="200" w:after="80"/>
      </w:pPr>
      <w:r>
        <w:rPr>
          <w:rFonts w:ascii="Times New Roman" w:hAnsi="Times New Roman"/>
          <w:b/>
          <w:color w:val="333333"/>
          <w:sz w:val="23"/>
        </w:rPr>
        <w:t>7.1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7.2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160" w:after="8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7.3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7.4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7.4.1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2" name="Picture 2"/>
            <wp:cNvGraphicFramePr>
              <a:graphicFrameLocks noChangeAspect="1"/>
            </wp:cNvGraphicFramePr>
            <a:graphic>
              <a:graphicData uri="http://schemas.openxmlformats.org/drawingml/2006/picture">
                <pic:pic>
                  <pic:nvPicPr>
                    <pic:cNvPr id="0" name="figure2_option_b_pipeline.png"/>
                    <pic:cNvPicPr/>
                  </pic:nvPicPr>
                  <pic:blipFill>
                    <a:blip r:embed="rId11"/>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2.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160" w:after="8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Discussion, Threats to Validity &amp; Limitations</w:t>
      </w:r>
    </w:p>
    <w:p>
      <w:pPr>
        <w:keepNext/>
        <w:spacing w:before="200" w:after="80"/>
      </w:pPr>
      <w:r>
        <w:rPr>
          <w:rFonts w:ascii="Times New Roman" w:hAnsi="Times New Roman"/>
          <w:b/>
          <w:color w:val="333333"/>
          <w:sz w:val="23"/>
        </w:rPr>
        <w:t>8.1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five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Contribution 1: Privacy-Preserving Academic Benchmark Methodology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Public benchmarks such as SROIE (Huang et al., 2019), CORD (Park et al., 2019), and FUNSD (Jaume et al., 2019) utilize scanned business receipts or forms. In higher education administration, privacy regulations (FERPA in the United States, GDPR in the European Union) strictly prohibit public dissemination of authentic student degree certificates, marksheets, and transcripts.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Provides a privacy-safe, reproducible evaluation methodology capable of generating credential specimens paired with complete ground-truth JSON trees without exposing authentic student personally identifiable information (PII).</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Establishes a compliance-safe foundation for benchmarking proprietary LLMs and open-weight Vision-Language Models on sensitive institutional administrative documents.</w:t>
      </w:r>
    </w:p>
    <w:p>
      <w:pPr>
        <w:spacing w:before="20" w:after="40"/>
        <w:ind w:left="360"/>
      </w:pPr>
      <w:r>
        <w:rPr>
          <w:rFonts w:ascii="Times New Roman" w:hAnsi="Times New Roman"/>
          <w:b/>
          <w:sz w:val="20"/>
        </w:rPr>
        <w:t xml:space="preserve">2. </w:t>
      </w:r>
      <w:r>
        <w:rPr>
          <w:rFonts w:ascii="Times New Roman" w:hAnsi="Times New Roman"/>
          <w:b/>
          <w:sz w:val="20"/>
        </w:rPr>
        <w:t>Contribution 2: Six-Stage Semantic Canonical Normalization Layer</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Standard string comparison metrics (Levenshtein Edit Distance, Exact Match) evaluate raw text strings, causing benign formatting variations (e.g., 04/08/2026 vs August 4, 2026 or MIT vs Massachusetts Institute of Technology) to register as recognition failures.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Isolates genuine character recognition errors from benign formatting discrepancies by routing ground-truth and predicted values through a deterministic, six-stage canonical normalizer (CanonicalNormalizer).</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Prevents superficial formatting artifacts from distorting model evaluation scores, providing fair comparative accuracy metrics across diverse LLM prompting styles.</w:t>
      </w:r>
    </w:p>
    <w:p>
      <w:pPr>
        <w:spacing w:before="20" w:after="40"/>
        <w:ind w:left="360"/>
      </w:pPr>
      <w:r>
        <w:rPr>
          <w:rFonts w:ascii="Times New Roman" w:hAnsi="Times New Roman"/>
          <w:b/>
          <w:sz w:val="20"/>
        </w:rPr>
        <w:t xml:space="preserve">3. </w:t>
      </w:r>
      <w:r>
        <w:rPr>
          <w:rFonts w:ascii="Times New Roman" w:hAnsi="Times New Roman"/>
          <w:b/>
          <w:sz w:val="20"/>
        </w:rPr>
        <w:t>Contribution 3: Nine-Class Structured OCR Error Taxonomy</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Traditional document analysis benchmarks summarize system performance using scalar error rates (CER, WER), which aggregate disparate failure modes into single scalar values without providing diagnostic insight.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Classifies extraction discrepancies into nine mutually exclusive diagnostic categories (OCR_ERROR, FIELD_MISSING, HALLUCINATION, FORMAT_ERROR, NORMALIZATION_ERROR, PARTIAL_MATCH, LOW_CONFIDENCE, CATEGORY_ERROR, EXACT_MATCH).</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Enables neural model architects to pinpoint specific failure mechanisms (e.g., prompt instruction omissions vs optical degradation failures), facilitating targeted model fine-tuning.</w:t>
      </w:r>
    </w:p>
    <w:p>
      <w:pPr>
        <w:spacing w:before="20" w:after="40"/>
        <w:ind w:left="360"/>
      </w:pPr>
      <w:r>
        <w:rPr>
          <w:rFonts w:ascii="Times New Roman" w:hAnsi="Times New Roman"/>
          <w:b/>
          <w:sz w:val="20"/>
        </w:rPr>
        <w:t xml:space="preserve">4. </w:t>
      </w:r>
      <w:r>
        <w:rPr>
          <w:rFonts w:ascii="Times New Roman" w:hAnsi="Times New Roman"/>
          <w:b/>
          <w:sz w:val="20"/>
        </w:rPr>
        <w:t>Contribution 4: Controlled Quality-Profile Degradation Matrix</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Existing document datasets evaluate models primarily on pristine or statically noisy image collections, failing to quantify performance decay across physical optical capture channels.</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Establishes a systematic evaluation matrix measuring extraction decay across four standardized physical optical profiles (clean, scanner_copy, mobile_camera, rotated_90).</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Quantifies neural model robustness against scanner aging, camera lens distortion, and orientation misalignment in production administrative workflows.</w:t>
      </w:r>
    </w:p>
    <w:p>
      <w:pPr>
        <w:spacing w:before="20" w:after="40"/>
        <w:ind w:left="360"/>
      </w:pPr>
      <w:r>
        <w:rPr>
          <w:rFonts w:ascii="Times New Roman" w:hAnsi="Times New Roman"/>
          <w:b/>
          <w:sz w:val="20"/>
        </w:rPr>
        <w:t xml:space="preserve">5. </w:t>
      </w:r>
      <w:r>
        <w:rPr>
          <w:rFonts w:ascii="Times New Roman" w:hAnsi="Times New Roman"/>
          <w:b/>
          <w:sz w:val="20"/>
        </w:rPr>
        <w:t>Contribution 5: Seed-Deterministic Synthetic Dataset Generation Protocol</w:t>
      </w:r>
    </w:p>
    <w:p>
      <w:pPr>
        <w:spacing w:before="40" w:after="80" w:line="276" w:lineRule="auto"/>
      </w:pPr>
      <w:r>
        <w:rPr>
          <w:rFonts w:ascii="Times New Roman" w:hAnsi="Times New Roman"/>
          <w:sz w:val="20"/>
        </w:rPr>
        <w:t xml:space="preserve">- </w:t>
      </w:r>
      <w:r>
        <w:rPr>
          <w:rFonts w:ascii="Times New Roman" w:hAnsi="Times New Roman"/>
          <w:i/>
          <w:sz w:val="20"/>
        </w:rPr>
        <w:t>Limitations of Existing Work</w:t>
      </w:r>
      <w:r>
        <w:rPr>
          <w:rFonts w:ascii="Times New Roman" w:hAnsi="Times New Roman"/>
          <w:sz w:val="20"/>
        </w:rPr>
        <w:t>: Stochastic synthetic data generators introduce random variations across execution runs, making exact cross-study experimental replication difficult.</w:t>
      </w:r>
    </w:p>
    <w:p>
      <w:pPr>
        <w:spacing w:before="40" w:after="80" w:line="276" w:lineRule="auto"/>
      </w:pPr>
      <w:r>
        <w:rPr>
          <w:rFonts w:ascii="Times New Roman" w:hAnsi="Times New Roman"/>
          <w:sz w:val="20"/>
        </w:rPr>
        <w:t xml:space="preserve">- </w:t>
      </w:r>
      <w:r>
        <w:rPr>
          <w:rFonts w:ascii="Times New Roman" w:hAnsi="Times New Roman"/>
          <w:i/>
          <w:sz w:val="20"/>
        </w:rPr>
        <w:t>Addressed Gap</w:t>
      </w:r>
      <w:r>
        <w:rPr>
          <w:rFonts w:ascii="Times New Roman" w:hAnsi="Times New Roman"/>
          <w:sz w:val="20"/>
        </w:rPr>
        <w:t>: Employs a seed-deterministic rendering pipeline (PrngSeedGenerator + TypstCompilerAdapter) ensuring pixel-exact specimen fabrication and reproducible ground-truth JSON annotations across independent research groups.</w:t>
      </w:r>
    </w:p>
    <w:p>
      <w:pPr>
        <w:spacing w:before="40" w:after="80" w:line="276" w:lineRule="auto"/>
      </w:pPr>
      <w:r>
        <w:rPr>
          <w:rFonts w:ascii="Times New Roman" w:hAnsi="Times New Roman"/>
          <w:sz w:val="20"/>
        </w:rPr>
        <w:t xml:space="preserve">- </w:t>
      </w:r>
      <w:r>
        <w:rPr>
          <w:rFonts w:ascii="Times New Roman" w:hAnsi="Times New Roman"/>
          <w:i/>
          <w:sz w:val="20"/>
        </w:rPr>
        <w:t>Impact on Future Research</w:t>
      </w:r>
      <w:r>
        <w:rPr>
          <w:rFonts w:ascii="Times New Roman" w:hAnsi="Times New Roman"/>
          <w:sz w:val="20"/>
        </w:rPr>
        <w:t>: Guarantees exact experimental reproducibility for benchmark evaluation protocols across different computing environments.</w:t>
      </w:r>
    </w:p>
    <w:p>
      <w:pPr>
        <w:keepNext/>
        <w:spacing w:before="200" w:after="80"/>
      </w:pPr>
      <w:r>
        <w:rPr>
          <w:rFonts w:ascii="Times New Roman" w:hAnsi="Times New Roman"/>
          <w:b/>
          <w:color w:val="333333"/>
          <w:sz w:val="23"/>
        </w:rPr>
        <w:t>8.2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8.3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keepNext/>
        <w:spacing w:before="200" w:after="80"/>
      </w:pPr>
      <w:r>
        <w:rPr>
          <w:rFonts w:ascii="Times New Roman" w:hAnsi="Times New Roman"/>
          <w:b/>
          <w:color w:val="333333"/>
          <w:sz w:val="23"/>
        </w:rPr>
        <w:t>8.4 Detailed Limitations Analysis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10.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Within the scope of academic document intelligence, this benchmark methodology enables rigorous comparative evaluation of classical OCR engines, proprietary LLMs, and open-weight Vision-Language Models under controlled, privacy-safe experimental conditions.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privacy-preserving and fully reproducible foundation to support academic document intelligence research without exposing real student information.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[4]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[5]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[6]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[7]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[8]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[9]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