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Privacy-Safe AI.</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spacing w:before="40" w:after="80" w:line="276" w:lineRule="auto"/>
      </w:pPr>
      <w:r>
        <w:rPr>
          <w:rFonts w:ascii="Times New Roman" w:hAnsi="Times New Roman"/>
          <w:sz w:val="20"/>
        </w:rPr>
        <w:t>Real-world academic credentials frequently contain personally identifiable information (PII), including student names, enrollment identifiers, grades, transcripts, and institutional records. Public distribution of such documents is often restricted by privacy regulations such as the Family Educational Rights and Privacy Act (FERPA) in the United States and the General Data Protection Regulation (GDPR) in the European Union. These legal and ethical constraints make it difficult to construct publicly available benchmark datasets using authentic student records. To address this challenge, this work adopts a fully synthetic, privacy-preserving benchmark generation strategy that produces realistic academic credentials together with complete ground-truth annotations while avoiding the disclosure of real student information.</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Privacy-Preserving Benchmark Generation Methodology</w:t>
      </w:r>
      <w:r>
        <w:rPr>
          <w:rFonts w:ascii="Times New Roman" w:hAnsi="Times New Roman"/>
          <w:sz w:val="20"/>
        </w:rPr>
        <w:t>: A seed-deterministic synthetic benchmark generation methodology for academic document intelligence that enables reproducible evaluation without exposing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within the scope of academic credential benchmarking, we propose the first privacy-preserving, reproducible benchmarking methodology for academic credential document intelligence that combines deterministic synthetic data generation, semantic canonical normalization, a structured OCR error taxonomy, and a controlled quality-profile evaluation matrix.</w:t>
      </w:r>
    </w:p>
    <w:p>
      <w:pPr>
        <w:spacing w:before="40" w:after="80" w:line="276" w:lineRule="auto"/>
      </w:pPr>
      <w:r>
        <w:rPr>
          <w:rFonts w:ascii="Times New Roman" w:hAnsi="Times New Roman"/>
          <w:sz w:val="20"/>
        </w:rPr>
        <w:t>The primary scientific contribution of this work lies not merely in software implementation or tool engineering, but in establishing a unified evaluation methodology for Document Intelligence Systems (DIS) operating on privacy-restricted administrative records. Previous benchmark contributions in document analysis (e.g., SROIE, CORD, FUNSD, DocVQA) evaluate neural models on static, authentic document collections. However, in the academic credential domain, regulatory constraints (FERPA, GDPR) prohibit public distribution of real student records, while superficial string representation variations distort extraction evaluation.</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benchmark protocol, this work establishes a standardized, reproducible foundation to evaluate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scientific contributions, methodological novelty, threats to validity, and limitations.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Information Extraction &amp; Neural Document AI Architectures</w:t>
      </w:r>
    </w:p>
    <w:p>
      <w:pPr>
        <w:spacing w:before="40" w:after="80" w:line="276" w:lineRule="auto"/>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pPr>
      <w:r>
        <w:rPr>
          <w:rFonts w:ascii="Times New Roman" w:hAnsi="Times New Roman"/>
          <w:b/>
          <w:color w:val="333333"/>
          <w:sz w:val="23"/>
        </w:rPr>
        <w:t>2.2 Public Document Intelligence Benchmarks</w:t>
      </w:r>
    </w:p>
    <w:p>
      <w:pPr>
        <w:spacing w:before="40" w:after="80" w:line="276" w:lineRule="auto"/>
      </w:pPr>
      <w:r>
        <w:rPr>
          <w:rFonts w:ascii="Times New Roman" w:hAnsi="Times New Roman"/>
          <w:sz w:val="20"/>
        </w:rPr>
        <w:t>Several public datasets exist for document analysis research:</w:t>
      </w:r>
    </w:p>
    <w:p>
      <w:pPr>
        <w:pStyle w:val="ListBullet"/>
        <w:spacing w:before="20" w:after="40"/>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pPr>
        <w:pStyle w:val="ListBullet"/>
        <w:spacing w:before="20" w:after="40"/>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pPr>
        <w:spacing w:before="40" w:after="80" w:line="276" w:lineRule="auto"/>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pPr>
      <w:r>
        <w:rPr>
          <w:rFonts w:ascii="Times New Roman" w:hAnsi="Times New Roman"/>
          <w:b/>
          <w:color w:val="333333"/>
          <w:sz w:val="23"/>
        </w:rPr>
        <w:t>2.3 Synthetic Document Generation &amp; Benchmark Comparison</w:t>
      </w:r>
    </w:p>
    <w:p>
      <w:pPr>
        <w:spacing w:before="40" w:after="80" w:line="276" w:lineRule="auto"/>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pPr>
      <w:r>
        <w:rPr>
          <w:rFonts w:ascii="Times New Roman" w:hAnsi="Times New Roman"/>
          <w:sz w:val="20"/>
        </w:rPr>
        <w:t>Table 0 presents a comparative feature matrix contrasting ADBG v1.0 with existing public document analysis benchmarks.</w:t>
      </w:r>
    </w:p>
    <w:p>
      <w:pPr>
        <w:keepNext/>
        <w:spacing w:before="160" w:after="80"/>
        <w:jc w:val="center"/>
      </w:pPr>
      <w:r>
        <w:rPr>
          <w:rFonts w:ascii="Times New Roman" w:hAnsi="Times New Roman"/>
          <w:b/>
          <w:color w:val="003366"/>
          <w:sz w:val="19"/>
        </w:rPr>
        <w:t>Table 0: Comparative Feature Matrix of Document Intelligence Benchmarks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Privacy-Safe Synthetic</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Scanned Receipts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(Anonymized)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Mixed Documents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ADBG v1.0 / AU DIC (Ours)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Academic Credentials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(100% Synthetic)</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(Semester Arrays)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(4 Profiles)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(6 Stages)</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System Architecture Overview</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ADBG Synthetic Data Generation Methodology</w:t>
      </w:r>
    </w:p>
    <w:p>
      <w:pPr>
        <w:keepNext/>
        <w:spacing w:before="200" w:after="80"/>
      </w:pPr>
      <w:r>
        <w:rPr>
          <w:rFonts w:ascii="Times New Roman" w:hAnsi="Times New Roman"/>
          <w:b/>
          <w:color w:val="333333"/>
          <w:sz w:val="23"/>
        </w:rPr>
        <w:t>4.1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200" w:after="80"/>
      </w:pPr>
      <w:r>
        <w:rPr>
          <w:rFonts w:ascii="Times New Roman" w:hAnsi="Times New Roman"/>
          <w:b/>
          <w:color w:val="333333"/>
          <w:sz w:val="23"/>
        </w:rPr>
        <w:t>4.2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3"/>
        </w:rPr>
        <w:t>4.3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AU DIC Evaluation Subsystem &amp; Semantic Normalization Layer</w:t>
      </w:r>
    </w:p>
    <w:p>
      <w:pPr>
        <w:keepNext/>
        <w:spacing w:before="200" w:after="80"/>
      </w:pPr>
      <w:r>
        <w:rPr>
          <w:rFonts w:ascii="Times New Roman" w:hAnsi="Times New Roman"/>
          <w:b/>
          <w:color w:val="333333"/>
          <w:sz w:val="23"/>
        </w:rPr>
        <w:t>5.1 Decoupled Read-Only Execution Engine</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5.2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5.3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5.3.1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5.3.2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160" w:after="8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Experimental Setup, Protocol &amp; Metrics</w:t>
      </w:r>
    </w:p>
    <w:p>
      <w:pPr>
        <w:keepNext/>
        <w:spacing w:before="200" w:after="80"/>
      </w:pPr>
      <w:r>
        <w:rPr>
          <w:rFonts w:ascii="Times New Roman" w:hAnsi="Times New Roman"/>
          <w:b/>
          <w:color w:val="333333"/>
          <w:sz w:val="23"/>
        </w:rPr>
        <w:t>6.1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6.2 Evaluation Metrics</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Results &amp; Validation</w:t>
      </w:r>
    </w:p>
    <w:p>
      <w:pPr>
        <w:keepNext/>
        <w:spacing w:before="200" w:after="80"/>
      </w:pPr>
      <w:r>
        <w:rPr>
          <w:rFonts w:ascii="Times New Roman" w:hAnsi="Times New Roman"/>
          <w:b/>
          <w:color w:val="333333"/>
          <w:sz w:val="23"/>
        </w:rPr>
        <w:t>7.1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7.2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7.3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7.4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7.4.1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7.5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7.5.1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160" w:after="8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7.5.2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160" w:after="8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7.5.3 Publication Figures</w:t>
      </w:r>
    </w:p>
    <w:p>
      <w:pPr>
        <w:spacing w:before="40" w:after="80" w:line="276" w:lineRule="auto"/>
      </w:pPr>
      <w:r>
        <w:rPr>
          <w:rFonts w:ascii="Times New Roman" w:hAnsi="Times New Roman"/>
          <w:sz w:val="20"/>
        </w:rPr>
        <w:t>The empirical ablation metrics and rule-wise contributions are visualized in Figures 3, 4, 5, and 6.</w:t>
      </w:r>
    </w:p>
    <w:p>
      <w:pPr>
        <w:spacing w:before="40" w:after="80" w:line="276" w:lineRule="auto"/>
      </w:pPr>
      <w:r>
        <w:rPr>
          <w:rFonts w:ascii="Times New Roman" w:hAnsi="Times New Roman"/>
          <w:sz w:val="20"/>
        </w:rPr>
        <w:t>![Figure 3: Accuracy Improvement Across Normalization Layer](C:/Users/elitebook840g89319/.gemini/antigravity-ide/brain/bb9b3069-0e60-4209-b2b8-d0321ac491db/figure_normalization_ablation.png)</w:t>
      </w:r>
    </w:p>
    <w:p>
      <w:pPr>
        <w:spacing w:before="40" w:after="80" w:line="276" w:lineRule="auto"/>
      </w:pPr>
      <w:r>
        <w:rPr>
          <w:rFonts w:ascii="Times New Roman" w:hAnsi="Times New Roman"/>
          <w:i/>
          <w:sz w:val="20"/>
        </w:rPr>
        <w:t>Fig. 3: Accuracy metric comparison (Precision, Recall, F1) with and without semantic canonical normalization.</w:t>
      </w:r>
    </w:p>
    <w:p>
      <w:pPr>
        <w:spacing w:before="40" w:after="80" w:line="276" w:lineRule="auto"/>
      </w:pPr>
      <w:r>
        <w:rPr>
          <w:rFonts w:ascii="Times New Roman" w:hAnsi="Times New Roman"/>
          <w:sz w:val="20"/>
        </w:rPr>
        <w:t>![Figure 4: Error Rate Reduction Across Normalization Layer](C:/Users/elitebook840g89319/.gemini/antigravity-ide/brain/bb9b3069-0e60-4209-b2b8-d0321ac491db/figure_metric_improvement.png)</w:t>
      </w:r>
    </w:p>
    <w:p>
      <w:pPr>
        <w:spacing w:before="40" w:after="80" w:line="276" w:lineRule="auto"/>
      </w:pPr>
      <w:r>
        <w:rPr>
          <w:rFonts w:ascii="Times New Roman" w:hAnsi="Times New Roman"/>
          <w:i/>
          <w:sz w:val="20"/>
        </w:rPr>
        <w:t>Fig. 4: Character Error Rate (CER) and Word Error Rate (WER) reduction resulting from canonical normalization.</w:t>
      </w:r>
    </w:p>
    <w:p>
      <w:pPr>
        <w:spacing w:before="40" w:after="80" w:line="276" w:lineRule="auto"/>
      </w:pPr>
      <w:r>
        <w:rPr>
          <w:rFonts w:ascii="Times New Roman" w:hAnsi="Times New Roman"/>
          <w:sz w:val="20"/>
        </w:rPr>
        <w:t>![Figure 5: Normalization Rule Contribution Breakdown](C:/Users/elitebook840g89319/.gemini/antigravity-ide/brain/bb9b3069-0e60-4209-b2b8-d0321ac491db/figure_rule_contribution.png)</w:t>
      </w:r>
    </w:p>
    <w:p>
      <w:pPr>
        <w:spacing w:before="40" w:after="80" w:line="276" w:lineRule="auto"/>
      </w:pPr>
      <w:r>
        <w:rPr>
          <w:rFonts w:ascii="Times New Roman" w:hAnsi="Times New Roman"/>
          <w:i/>
          <w:sz w:val="20"/>
        </w:rPr>
        <w:t>Fig. 5: Total false-negative field mismatches resolved by each individual domain normalizer rule.</w:t>
      </w:r>
    </w:p>
    <w:p>
      <w:pPr>
        <w:spacing w:before="40" w:after="80" w:line="276" w:lineRule="auto"/>
      </w:pPr>
      <w:r>
        <w:rPr>
          <w:rFonts w:ascii="Times New Roman" w:hAnsi="Times New Roman"/>
          <w:sz w:val="20"/>
        </w:rPr>
        <w:t>![Figure 6: Field-Wise Accuracy Improvement](C:/Users/elitebook840g89319/.gemini/antigravity-ide/brain/bb9b3069-0e60-4209-b2b8-d0321ac491db/figure_field_improvement.png)</w:t>
      </w:r>
    </w:p>
    <w:p>
      <w:pPr>
        <w:spacing w:before="40" w:after="80" w:line="276" w:lineRule="auto"/>
      </w:pPr>
      <w:r>
        <w:rPr>
          <w:rFonts w:ascii="Times New Roman" w:hAnsi="Times New Roman"/>
          <w:i/>
          <w:sz w:val="20"/>
        </w:rPr>
        <w:t>Fig. 6: Field-by-field accuracy improvement comparing raw string matching against canonical normalization.</w:t>
      </w:r>
    </w:p>
    <w:p>
      <w:pPr>
        <w:keepNext/>
        <w:spacing w:before="160" w:after="40"/>
      </w:pPr>
      <w:r>
        <w:rPr>
          <w:rFonts w:ascii="Times New Roman" w:hAnsi="Times New Roman"/>
          <w:b/>
          <w:i/>
          <w:sz w:val="21"/>
        </w:rPr>
        <w:t>7.5.4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7.6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160" w:after="8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7.7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160" w:after="8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7.8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160" w:after="8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Discussion, Threats to Validity &amp; Limitations</w:t>
      </w:r>
    </w:p>
    <w:p>
      <w:pPr>
        <w:keepNext/>
        <w:spacing w:before="200" w:after="80"/>
      </w:pPr>
      <w:r>
        <w:rPr>
          <w:rFonts w:ascii="Times New Roman" w:hAnsi="Times New Roman"/>
          <w:b/>
          <w:color w:val="333333"/>
          <w:sz w:val="23"/>
        </w:rPr>
        <w:t>8.1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five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Contribution 1: Privacy-Preserving Academic Benchmark Methodology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Public benchmarks such as SROIE (Huang et al., 2019), CORD (Park et al., 2019), and FUNSD (Jaume et al., 2019) utilize scanned business receipts or forms. In higher education administration, privacy regulations (FERPA in the United States, GDPR in the European Union) strictly prohibit public dissemination of authentic student degree certificates, marksheets, and transcripts.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Provides a privacy-safe, reproducible evaluation methodology capable of generating credential specimens paired with complete ground-truth JSON trees without exposing authentic student personally identifiable information (PII).</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Establishes a compliance-safe foundation for benchmarking proprietary LLMs and open-weight Vision-Language Models on sensitive institutional administrative documents.</w:t>
      </w:r>
    </w:p>
    <w:p>
      <w:pPr>
        <w:spacing w:before="20" w:after="40"/>
        <w:ind w:left="360"/>
      </w:pPr>
      <w:r>
        <w:rPr>
          <w:rFonts w:ascii="Times New Roman" w:hAnsi="Times New Roman"/>
          <w:b/>
          <w:sz w:val="20"/>
        </w:rPr>
        <w:t xml:space="preserve">2. </w:t>
      </w:r>
      <w:r>
        <w:rPr>
          <w:rFonts w:ascii="Times New Roman" w:hAnsi="Times New Roman"/>
          <w:b/>
          <w:sz w:val="20"/>
        </w:rPr>
        <w:t>Contribution 2: Six-Stage Semantic Canonical Normalization Layer</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Standard string comparison metrics (Levenshtein Edit Distance, Exact Match) evaluate raw text strings, causing benign formatting variations (e.g., 04/08/2026 vs August 4, 2026 or MIT vs Massachusetts Institute of Technology) to register as recognition failures.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Isolates genuine character recognition errors from benign formatting discrepancies by routing ground-truth and predicted values through a deterministic, six-stage canonical normalizer (CanonicalNormalizer).</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Prevents superficial formatting artifacts from distorting model evaluation scores, providing fair comparative accuracy metrics across diverse LLM prompting styles.</w:t>
      </w:r>
    </w:p>
    <w:p>
      <w:pPr>
        <w:spacing w:before="20" w:after="40"/>
        <w:ind w:left="360"/>
      </w:pPr>
      <w:r>
        <w:rPr>
          <w:rFonts w:ascii="Times New Roman" w:hAnsi="Times New Roman"/>
          <w:b/>
          <w:sz w:val="20"/>
        </w:rPr>
        <w:t xml:space="preserve">3. </w:t>
      </w:r>
      <w:r>
        <w:rPr>
          <w:rFonts w:ascii="Times New Roman" w:hAnsi="Times New Roman"/>
          <w:b/>
          <w:sz w:val="20"/>
        </w:rPr>
        <w:t>Contribution 3: Nine-Class Structured OCR Error Taxonomy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Traditional document analysis benchmarks summarize system performance using scalar error rates (CER, WER), which aggregate disparate failure modes into single scalar values without providing diagnostic insight.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Classifies extraction discrepancies into nine mutually exclusive diagnostic categories (OCR_ERROR, FIELD_MISSING, HALLUCINATION, FORMAT_ERROR, NORMALIZATION_ERROR, PARTIAL_MATCH, LOW_CONFIDENCE, CATEGORY_ERROR, EXACT_MATCH).</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Enables neural model architects to pinpoint specific failure mechanisms (e.g., prompt instruction omissions vs optical degradation failures), facilitating targeted model fine-tuning.</w:t>
      </w:r>
    </w:p>
    <w:p>
      <w:pPr>
        <w:spacing w:before="20" w:after="40"/>
        <w:ind w:left="360"/>
      </w:pPr>
      <w:r>
        <w:rPr>
          <w:rFonts w:ascii="Times New Roman" w:hAnsi="Times New Roman"/>
          <w:b/>
          <w:sz w:val="20"/>
        </w:rPr>
        <w:t xml:space="preserve">4. </w:t>
      </w:r>
      <w:r>
        <w:rPr>
          <w:rFonts w:ascii="Times New Roman" w:hAnsi="Times New Roman"/>
          <w:b/>
          <w:sz w:val="20"/>
        </w:rPr>
        <w:t>Contribution 4: Controlled Quality-Profile Degradation Matrix</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Existing document datasets evaluate models primarily on pristine or statically noisy image collections, failing to quantify performance decay across physical optical capture channels.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Establishes a systematic evaluation matrix measuring extraction decay across four standardized physical optical profiles (clean, scanner_copy, mobile_camera, rotated_90).</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Quantifies neural model robustness against scanner aging, camera lens distortion, and orientation misalignment in production administrative workflows.</w:t>
      </w:r>
    </w:p>
    <w:p>
      <w:pPr>
        <w:spacing w:before="20" w:after="40"/>
        <w:ind w:left="360"/>
      </w:pPr>
      <w:r>
        <w:rPr>
          <w:rFonts w:ascii="Times New Roman" w:hAnsi="Times New Roman"/>
          <w:b/>
          <w:sz w:val="20"/>
        </w:rPr>
        <w:t xml:space="preserve">5. </w:t>
      </w:r>
      <w:r>
        <w:rPr>
          <w:rFonts w:ascii="Times New Roman" w:hAnsi="Times New Roman"/>
          <w:b/>
          <w:sz w:val="20"/>
        </w:rPr>
        <w:t>Contribution 5: Seed-Deterministic Synthetic Dataset Generation Protocol</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Stochastic synthetic data generators introduce random variations across execution runs, making exact cross-study experimental replication difficult.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Employs a seed-deterministic rendering pipeline (PrngSeedGenerator + TypstCompilerAdapter) ensuring pixel-exact specimen fabrication and reproducible ground-truth JSON annotations across independent research groups.</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Guarantees exact experimental reproducibility for benchmark evaluation protocols across different computing environments.</w:t>
      </w:r>
    </w:p>
    <w:p>
      <w:pPr>
        <w:keepNext/>
        <w:spacing w:before="200" w:after="80"/>
      </w:pPr>
      <w:r>
        <w:rPr>
          <w:rFonts w:ascii="Times New Roman" w:hAnsi="Times New Roman"/>
          <w:b/>
          <w:color w:val="333333"/>
          <w:sz w:val="23"/>
        </w:rPr>
        <w:t>8.2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8.3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pPr>
      <w:r>
        <w:rPr>
          <w:rFonts w:ascii="Times New Roman" w:hAnsi="Times New Roman"/>
          <w:b/>
          <w:color w:val="333333"/>
          <w:sz w:val="23"/>
        </w:rPr>
        <w:t>8.4 Detailed Limitations Analysis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10.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Within the scope of academic document intelligence, this benchmark methodology enables rigorous comparative evaluation of classical OCR engines, proprietary LLMs, and open-weight Vision-Language Models under controlled, privacy-safe experimental conditions.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privacy-preserving and fully reproducible foundation to support academic document intelligence research without exposing real student information.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[4]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[5]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[6]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[7]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[8]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[9]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