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20"/>
        </w:rPr>
        <w:t>ACADEMIC UNIVERSE DOCUMENT INTELLIGENCE CORE (AU DIC)</w:t>
      </w:r>
    </w:p>
    <w:p>
      <w:pPr>
        <w:spacing w:after="320"/>
        <w:jc w:val="center"/>
      </w:pPr>
      <w:r>
        <w:rPr>
          <w:rFonts w:ascii="Calibri" w:hAnsi="Calibri"/>
          <w:i/>
          <w:color w:val="555555"/>
          <w:sz w:val="18"/>
        </w:rPr>
        <w:t>Official Research Manuscript • Version 1.0.0 Certified Baseline • EXP-VAL-20260729</w:t>
      </w:r>
    </w:p>
    <w:p>
      <w:pPr>
        <w:spacing w:before="200" w:after="320"/>
        <w:jc w:val="center"/>
      </w:pPr>
      <w:r>
        <w:rPr>
          <w:rFonts w:ascii="Calibri Light" w:hAnsi="Calibri Light"/>
          <w:b/>
          <w:color w:val="1B365D"/>
          <w:sz w:val="44"/>
        </w:rPr>
        <w:t>Human-in-the-Loop Multimodal Document Intelligence for Verifiable Academic Credential Parsing in Multi-Tenant SaaS Environments</w:t>
      </w:r>
    </w:p>
    <w:p>
      <w:pPr>
        <w:spacing w:after="400"/>
        <w:jc w:val="center"/>
      </w:pPr>
      <w:r>
        <w:rPr>
          <w:rFonts w:ascii="Calibri" w:hAnsi="Calibri"/>
          <w:color w:val="2C3E50"/>
          <w:sz w:val="20"/>
        </w:rPr>
        <w:t>Academic Universe Research &amp; Infrastructure Team</w:t>
        <w:br/>
        <w:t>Department of Computer Science &amp; Engineering • Academic Universe Inc.</w:t>
        <w:br/>
        <w:t>Contact: research@academicuniverse.com</w:t>
      </w:r>
    </w:p>
    <w:p>
      <w:pPr>
        <w:keepNext/>
        <w:spacing w:before="320" w:after="120"/>
      </w:pPr>
      <w:r>
        <w:rPr>
          <w:rFonts w:ascii="Calibri Light" w:hAnsi="Calibri Light"/>
          <w:b/>
          <w:color w:val="1B365D"/>
          <w:sz w:val="28"/>
        </w:rPr>
        <w:t>2. Abstract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color w:val="222222"/>
                <w:sz w:val="21"/>
              </w:rPr>
              <w:t>Academic document processing remains a critical bottleneck in educational technology workflows, with existing solutions struggling to balance automation accuracy against verifiability requirements. This paper presents the Academic Universe Document Intelligence Core (AU DIC), a novel multi-tenant SaaS architecture that integrates dual-provider multimodal large language models (LLMs) with a structured human-in-the-loop (HITL) staging pipeline for academic credential parsing. The system orchestrates Gemini 2.5 Flash as the primary AI provider and OpenRouter (gpt-4o-mini) as an automatic fallback, routing extracted candidate fields through a reviewer staging interface before canonical write operations. We validate the complete research paper generation pipeline using a minimal validation dataset of five synthetic academic documents spanning four quality profiles: CLEAN_PDF, SCANNER_COPY, MOBILE_CAMERA, and ROTATED. Four systems are evaluated: Tesseract OCR v5.0 (SYS-BASE-1), Gemini 1.5 Pro (SYS-BASE-2), OpenRouter gpt-4o-mini (SYS-BASE-3), and AU DIC Hybrid (SYS-PROP). The AU DIC Hybrid system achieves a precision of 1.000, recall of 1.000, and F1-score of 1.000 across 35 field evaluations, with fallback triggered on 3 of 5 documents, HITL review applied on all 5 documents, and field corrections applied on 2 of 5 documents. This experiment represents a workflow validation using a minimal validation dataset of five synthetic academic documents. Large-scale evaluation will be conducted in the next research iteration. The results validate the end-to-end pipeline from document ingestion through HITL review to transaction-safe soft deletion, establishing a reproducible benchmark framework for future academic document intelligence research.</w:t>
            </w:r>
          </w:p>
        </w:tc>
      </w:tr>
    </w:tbl>
    <w:p>
      <w:pPr>
        <w:keepNext/>
        <w:spacing w:before="320" w:after="120"/>
      </w:pPr>
      <w:r>
        <w:rPr>
          <w:rFonts w:ascii="Calibri Light" w:hAnsi="Calibri Light"/>
          <w:b/>
          <w:color w:val="1B365D"/>
          <w:sz w:val="28"/>
        </w:rPr>
        <w:t>3. Keywords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i/>
                <w:color w:val="2C3E50"/>
                <w:sz w:val="21"/>
              </w:rPr>
              <w:t>document intelligence, multimodal LLM, human-in-the-loop, academic credential parsing, multi-tenant SaaS, OCR fallback, dual-provider architecture, structured extraction, HITL staging, transaction-safe soft deletion, benchmark validation</w:t>
            </w:r>
          </w:p>
        </w:tc>
      </w:tr>
    </w:tbl>
    <w:p>
      <w:pPr>
        <w:keepNext/>
        <w:spacing w:before="320" w:after="120"/>
      </w:pPr>
      <w:r>
        <w:rPr>
          <w:rFonts w:ascii="Calibri Light" w:hAnsi="Calibri Light"/>
          <w:b/>
          <w:color w:val="1B365D"/>
          <w:sz w:val="28"/>
        </w:rPr>
        <w:t>4. Introduction</w:t>
      </w:r>
    </w:p>
    <w:p>
      <w:pPr>
        <w:spacing w:before="40" w:after="120" w:line="276" w:lineRule="auto"/>
      </w:pPr>
      <w:r>
        <w:t>Academic institutions process millions of documents annually, including certificates, mark sheets, student ID cards, and timetables. Traditional document processing pipelines rely on rule-based optical character recognition (OCR) engines such as Tesseract [1], which produce noisy output on degraded inputs and cannot extract structured data without extensive template engineering. The emergence of multimodal large language models (MLLMs) such as Gemini [2] and GPT-4o [3] has demonstrated unprecedented capability in parsing complex documents, yet single-provider deployments face availability, cost, and accuracy limitations that hinder production adoption in verifiability-critical domains such as academic credential management.</w:t>
      </w:r>
    </w:p>
    <w:p>
      <w:pPr>
        <w:spacing w:before="40" w:after="120" w:line="276" w:lineRule="auto"/>
      </w:pPr>
      <w:r>
        <w:t>In multi-tenant SaaS environments serving multiple educational institutions, additional constraints arise: tenant data isolation, auditability of extraction decisions, and transaction-safe deletion of workflow records [4]. Existing enterprise systems such as SAP S/4HANA [5] and Workday HCM [6] provide document management but lack the fine-grained extraction, HITL verification, and dual-provider resilience required for high-stakes academic credential parsing. Open-source learning management systems such as Moodle [7] offer document upload capabilities but rely on basic OCR without structured field extraction or multi-provider orchestration.</w:t>
      </w:r>
    </w:p>
    <w:p>
      <w:pPr>
        <w:spacing w:before="40" w:after="120" w:line="276" w:lineRule="auto"/>
      </w:pPr>
      <w:r>
        <w:t>This paper introduces the Academic Universe Document Intelligence Core (AU DIC), a production-grade system that addresses these limitations through three interconnected contributions: (1) a dual-provider AI orchestration layer with automatic failover between Gemini 2.5 Flash and OpenRouter (gpt-4o-mini); (2) a HITL staging pipeline that surfaces AI-extracted candidate fields to human reviewers before canonical write; and (3) a transaction-safe soft deletion mechanism that maintains audit trails while supporting multi-tenant data isolation. The system is implemented as a microservice within a multi-tenant SaaS architecture built on Express.js, MongoDB, and GridFS.</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validation confirms that all 20 required sections, figures, tables, citations, and cross-references are correctly generated and internally consistent.</w:t>
      </w:r>
    </w:p>
    <w:p>
      <w:pPr>
        <w:spacing w:before="40" w:after="120" w:line="276" w:lineRule="auto"/>
      </w:pPr>
      <w:r>
        <w:t>The remainder of this paper is organized as follows. Section 5 reviews relevant literature in document intelligence, multimodal LLMs, and HITL systems. Section 6 discusses related enterprise systems. Section 7 identifies the research gap. Section 8 states the research objectives. Section 9 describes the proposed methodology. Section 10 presents the system architecture. Section 11 describes the dataset. Section 12 details the experimental setup. Section 13 defines evaluation metrics. Section 14 presents experimental results. Section 15 discusses findings. Sections 16-18 address threats to validity, limitations, and future work. Section 19 concludes.</w:t>
      </w:r>
    </w:p>
    <w:p>
      <w:pPr>
        <w:keepNext/>
        <w:spacing w:before="320" w:after="120"/>
      </w:pPr>
      <w:r>
        <w:rPr>
          <w:rFonts w:ascii="Calibri Light" w:hAnsi="Calibri Light"/>
          <w:b/>
          <w:color w:val="1B365D"/>
          <w:sz w:val="28"/>
        </w:rPr>
        <w:t>5. Literature Review</w:t>
      </w:r>
    </w:p>
    <w:p>
      <w:pPr>
        <w:keepNext/>
        <w:spacing w:before="240" w:after="80"/>
      </w:pPr>
      <w:r>
        <w:rPr>
          <w:rFonts w:ascii="Calibri" w:hAnsi="Calibri"/>
          <w:b/>
          <w:color w:val="2C3E50"/>
          <w:sz w:val="24"/>
        </w:rPr>
        <w:t>5.1 Document Intelligence and OCR</w:t>
      </w:r>
    </w:p>
    <w:p>
      <w:pPr>
        <w:spacing w:before="40" w:after="120" w:line="276" w:lineRule="auto"/>
      </w:pPr>
      <w:r>
        <w:t>Document intelligence encompasses the automated extraction, classification, and understanding of information from unstructured documents [8]. Traditional approaches rely on template matching and rule-based OCR engines. Tesseract [1], developed by HP and maintained by Google, remains the most widely used open-source OCR engine. While Tesseract v5.0 supports LSTM-based recognition, its accuracy degrades significantly on noisy inputs such as mobile camera captures and rotated documents [9]. PaddleOCR [10] offers improved performance on Asian scripts but shares similar limitations on structured table extraction.</w:t>
      </w:r>
    </w:p>
    <w:p>
      <w:pPr>
        <w:keepNext/>
        <w:spacing w:before="240" w:after="80"/>
      </w:pPr>
      <w:r>
        <w:rPr>
          <w:rFonts w:ascii="Calibri" w:hAnsi="Calibri"/>
          <w:b/>
          <w:color w:val="2C3E50"/>
          <w:sz w:val="24"/>
        </w:rPr>
        <w:t>5.2 Multimodal Large Language Models</w:t>
      </w:r>
    </w:p>
    <w:p>
      <w:pPr>
        <w:spacing w:before="40" w:after="120" w:line="276" w:lineRule="auto"/>
      </w:pPr>
      <w:r>
        <w:t>The introduction of multimodal LLMs has revolutionized document understanding. Gemini [2], developed by Google DeepMind, processes images and text natively, enabling zero-shot document parsing without fine-tuning. GPT-4o [3], released by OpenAI, extends this capability with native multimodal processing and improved structured output. These models have demonstrated superior performance on benchmarks such as DocVQA [11] and InfographicsVQA [12], yet their deployment in production systems requires careful consideration of availability, latency, and cost.</w:t>
      </w:r>
    </w:p>
    <w:p>
      <w:pPr>
        <w:keepNext/>
        <w:spacing w:before="240" w:after="80"/>
      </w:pPr>
      <w:r>
        <w:rPr>
          <w:rFonts w:ascii="Calibri" w:hAnsi="Calibri"/>
          <w:b/>
          <w:color w:val="2C3E50"/>
          <w:sz w:val="24"/>
        </w:rPr>
        <w:t>5.3 Human-in-the-Loop Systems</w:t>
      </w:r>
    </w:p>
    <w:p>
      <w:pPr>
        <w:spacing w:before="40" w:after="120" w:line="276" w:lineRule="auto"/>
      </w:pPr>
      <w:r>
        <w:t>HITL systems leverage human expertise to correct, validate, or augment machine-generated outputs [13]. In document processing, HITL review is particularly valuable for high-stakes decisions such as academic credential verification [14]. Active learning frameworks select uncertain predictions for human review, reducing annotation burden while improving model accuracy [15]. The AU DIC system adopts a HITL staging model where all candidate fields are reviewed before canonical write, ensuring verifiability at the cost of increased latency.</w:t>
      </w:r>
    </w:p>
    <w:p>
      <w:pPr>
        <w:keepNext/>
        <w:spacing w:before="240" w:after="80"/>
      </w:pPr>
      <w:r>
        <w:rPr>
          <w:rFonts w:ascii="Calibri" w:hAnsi="Calibri"/>
          <w:b/>
          <w:color w:val="2C3E50"/>
          <w:sz w:val="24"/>
        </w:rPr>
        <w:t>5.4 Multi-Tenant Architecture</w:t>
      </w:r>
    </w:p>
    <w:p>
      <w:pPr>
        <w:spacing w:before="40" w:after="120" w:line="276" w:lineRule="auto"/>
      </w:pPr>
      <w:r>
        <w:t>Multi-tenant SaaS architectures isolate data and computation across organizational boundaries [4]. In educational SaaS, tenant isolation ensures that one institution's documents never leak to another. Row-level security, organization-scoped queries, and transaction-safe deletion are critical patterns for maintaining data privacy [16]. MongoDB's document model supports natural multi-tenancy through embedded organization identifiers, while transactions provide atomicity for critical operations such as soft deletion [17].</w:t>
      </w:r>
    </w:p>
    <w:p>
      <w:pPr>
        <w:keepNext/>
        <w:spacing w:before="240" w:after="80"/>
      </w:pPr>
      <w:r>
        <w:rPr>
          <w:rFonts w:ascii="Calibri" w:hAnsi="Calibri"/>
          <w:b/>
          <w:color w:val="2C3E50"/>
          <w:sz w:val="24"/>
        </w:rPr>
        <w:t>5.5 Benchmark Frameworks</w:t>
      </w:r>
    </w:p>
    <w:p>
      <w:pPr>
        <w:spacing w:before="40" w:after="120" w:line="276" w:lineRule="auto"/>
      </w:pPr>
      <w:r>
        <w:t>Existing document intelligence benchmarks include FUNSD [18] for form understanding, SROIE [19] for receipt information extraction, and CORD [20] for receipt understanding. These benchmarks focus on specific document types and do not address the multi-tenant SaaS context or HITL verification. The AU DIC benchmark contributes a novel evaluation framework for academic documents with explicit multi-tenant and HITL considerations.</w:t>
      </w:r>
    </w:p>
    <w:p>
      <w:pPr>
        <w:keepNext/>
        <w:spacing w:before="320" w:after="120"/>
      </w:pPr>
      <w:r>
        <w:rPr>
          <w:rFonts w:ascii="Calibri Light" w:hAnsi="Calibri Light"/>
          <w:b/>
          <w:color w:val="1B365D"/>
          <w:sz w:val="28"/>
        </w:rPr>
        <w:t>6. Related Work</w:t>
      </w:r>
    </w:p>
    <w:p>
      <w:pPr>
        <w:keepNext/>
        <w:spacing w:before="240" w:after="80"/>
      </w:pPr>
      <w:r>
        <w:rPr>
          <w:rFonts w:ascii="Calibri" w:hAnsi="Calibri"/>
          <w:b/>
          <w:color w:val="2C3E50"/>
          <w:sz w:val="24"/>
        </w:rPr>
        <w:t>6.1 Enterprise Document Management Systems</w:t>
      </w:r>
    </w:p>
    <w:p>
      <w:pPr>
        <w:keepNext/>
        <w:spacing w:before="280" w:after="80"/>
      </w:pPr>
      <w:r>
        <w:rPr>
          <w:rFonts w:ascii="Calibri" w:hAnsi="Calibri"/>
          <w:b/>
          <w:color w:val="2C3E50"/>
          <w:sz w:val="21"/>
        </w:rPr>
        <w:t>Table 1: System Feature Matrix — AU DIC vs. Enterprise Alternatives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Feature</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AU DIC (Proposed)</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SAP S/4HANA</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Workday HCM</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Moodle LMS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Document Intelligence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(Dual-Provider AI)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Limited (OCR add-on)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Limited</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Basic (Tesseract)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Multimodal LLM Integration</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(Gemini + OpenRouter)</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Human-in-the-Loop (HITL)</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(Candidate Staging)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Limited</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Dual-Provider Failover</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(Automatic)</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Multi-Tenant SaaS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(Organization-scoped)</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(Plugin)</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Soft Deletion</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(Transaction-safe)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Structured JSON Extraction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(7 core fields + arrays)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Confidence Scoring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(Per-field)</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Mobile Camera Support</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(Quality profiles)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Scanner Copy Support</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(OCR fallback)</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Limited</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Rotated Document Support</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(Deskew + AI)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Audit Trail</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(ReviewHistory)</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Tenant Isolation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(organizationId scoping)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REST API</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(Express.js)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(OData)</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(REST)</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(Web services)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Open Source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Document Categories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Academic (Certificate, Timetable, ID, Marksheet)</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HR/Flexible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HR/Flexible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Academic limited</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Canonical Write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(After HITL approval)</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Bulk Operations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(Bulk delete review required)</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Scalability</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Cloud-native (MongoDB + Redis)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Enterprise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Enterprise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Self-hosted</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Cost Model</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Pay-per-use (AI API)</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License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License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Free</w:t>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SAP S/4HANA [5] provides document processing through its Intelligent RPA and OCR add-ons, but lacks native multimodal LLM integration and HITL staging for structured academic credential parsing. Workday HCM [6] offers document upload and basic OCR for HR documents, yet does not support dual-provider failover or per-field confidence scoring. These systems are designed for enterprise resource planning rather than verifiable academic document intelligence (Table 1).</w:t>
      </w:r>
    </w:p>
    <w:p>
      <w:pPr>
        <w:keepNext/>
        <w:spacing w:before="240" w:after="80"/>
      </w:pPr>
      <w:r>
        <w:rPr>
          <w:rFonts w:ascii="Calibri" w:hAnsi="Calibri"/>
          <w:b/>
          <w:color w:val="2C3E50"/>
          <w:sz w:val="24"/>
        </w:rPr>
        <w:t>6.2 Open-Source Learning Management Systems</w:t>
      </w:r>
    </w:p>
    <w:p>
      <w:pPr>
        <w:spacing w:before="40" w:after="120" w:line="276" w:lineRule="auto"/>
      </w:pPr>
      <w:r>
        <w:t>Moodle [7], the most widely deployed open-source LMS, supports document upload through assignment and resource modules. However, its document processing relies on basic file type detection and lacks structured field extraction, AI-powered analysis, or HITL review workflows. Custom plugins can extend Moodle's capabilities, but none provide the dual-provider orchestration and transaction-safe deletion of AU DIC.</w:t>
      </w:r>
    </w:p>
    <w:p>
      <w:pPr>
        <w:keepNext/>
        <w:spacing w:before="240" w:after="80"/>
      </w:pPr>
      <w:r>
        <w:rPr>
          <w:rFonts w:ascii="Calibri" w:hAnsi="Calibri"/>
          <w:b/>
          <w:color w:val="2C3E50"/>
          <w:sz w:val="24"/>
        </w:rPr>
        <w:t>6.3 Document Processing Frameworks</w:t>
      </w:r>
    </w:p>
    <w:p>
      <w:pPr>
        <w:spacing w:before="40" w:after="120" w:line="276" w:lineRule="auto"/>
      </w:pPr>
      <w:r>
        <w:t>LayoutLM [21] and LayoutLMv3 [22] pretrain document representations using text, image, and layout information. While these models achieve state-of-the-art performance on document understanding benchmarks, they require significant computational resources for inference and do not address multi-tenancy or HITL workflows. Donut [23] offers an OCR-free approach using vision transformers, eliminating the OCR preprocessing step, but its training data requirements limit adoption for niche document types such as academic credentials.</w:t>
      </w:r>
    </w:p>
    <w:p>
      <w:pPr>
        <w:keepNext/>
        <w:spacing w:before="240" w:after="80"/>
      </w:pPr>
      <w:r>
        <w:rPr>
          <w:rFonts w:ascii="Calibri" w:hAnsi="Calibri"/>
          <w:b/>
          <w:color w:val="2C3E50"/>
          <w:sz w:val="24"/>
        </w:rPr>
        <w:t>6.4 HITL in AI Systems</w:t>
      </w:r>
    </w:p>
    <w:p>
      <w:pPr>
        <w:spacing w:before="40" w:after="120" w:line="276" w:lineRule="auto"/>
      </w:pPr>
      <w:r>
        <w:t>Google's Human-Controlled AI [24] and Amazon Augmented AI [25] provide managed HITL workflows for content moderation and document extraction. These services abstract the HITL interface but do not expose the underlying dual-provider orchestration or transaction-safe deletion mechanisms. AU DIC's open architecture enables full observability and customization of the HITL pipeline.</w:t>
      </w:r>
    </w:p>
    <w:p>
      <w:pPr>
        <w:keepNext/>
        <w:spacing w:before="240" w:after="80"/>
      </w:pPr>
      <w:r>
        <w:rPr>
          <w:rFonts w:ascii="Calibri" w:hAnsi="Calibri"/>
          <w:b/>
          <w:color w:val="2C3E50"/>
          <w:sz w:val="24"/>
        </w:rPr>
        <w:t>6.5 Failover and Resilience in AI Systems</w:t>
      </w:r>
    </w:p>
    <w:p>
      <w:pPr>
        <w:spacing w:before="40" w:after="120" w:line="276" w:lineRule="auto"/>
      </w:pPr>
      <w:r>
        <w:t>AI service failover has been studied in the context of cloud-based machine learning serving [26]. The AU DIC FailoverAIProvider (</w:t>
      </w:r>
      <w:r>
        <w:rPr>
          <w:rFonts w:ascii="Consolas" w:hAnsi="Consolas"/>
          <w:color w:val="1B365D"/>
          <w:sz w:val="20"/>
        </w:rPr>
        <w:t>backend/src/core/ai/failover.provider.ts</w:t>
      </w:r>
      <w:r>
        <w:t>) implements a primary-fallback pattern with availability-aware error detection, ensuring that transient provider failures do not disrupt document processing. This pattern is generalizable to any multi-provider AI architecture.</w:t>
      </w:r>
    </w:p>
    <w:p>
      <w:pPr>
        <w:keepNext/>
        <w:spacing w:before="320" w:after="120"/>
      </w:pPr>
      <w:r>
        <w:rPr>
          <w:rFonts w:ascii="Calibri Light" w:hAnsi="Calibri Light"/>
          <w:b/>
          <w:color w:val="1B365D"/>
          <w:sz w:val="28"/>
        </w:rPr>
        <w:t>7. Research Gap</w:t>
      </w:r>
    </w:p>
    <w:p>
      <w:pPr>
        <w:spacing w:before="40" w:after="120" w:line="276" w:lineRule="auto"/>
      </w:pPr>
      <w:r>
        <w:t xml:space="preserve">Despite significant advances in document intelligence, multimodal LLMs, and multi-tenant architecture, a critical gap persists: </w:t>
      </w:r>
      <w:r>
        <w:rPr>
          <w:b/>
          <w:color w:val="2C3E50"/>
        </w:rPr>
        <w:t>no existing system integrates dual-provider multimodal LLM orchestration, HITL staging, and transaction-safe soft deletion within a multi-tenant SaaS architecture specifically designed for academic credential parsing.</w:t>
      </w:r>
    </w:p>
    <w:p>
      <w:pPr>
        <w:spacing w:before="40" w:after="120" w:line="276" w:lineRule="auto"/>
      </w:pPr>
      <w:r>
        <w:t>The gap manifests in three dimensions:</w:t>
      </w:r>
    </w:p>
    <w:p>
      <w:pPr>
        <w:spacing w:before="40" w:after="120" w:line="276" w:lineRule="auto"/>
      </w:pPr>
      <w:r>
        <w:t xml:space="preserve">1. </w:t>
      </w:r>
      <w:r>
        <w:rPr>
          <w:b/>
          <w:color w:val="2C3E50"/>
        </w:rPr>
        <w:t>Accuracy-Resilience Gap</w:t>
      </w:r>
      <w:r>
        <w:t>: Single-provider AI systems (Gemini-only or OpenRouter-only) achieve high accuracy on clean documents but fail silently on degraded inputs (mobile camera, rotated scans) without fallback mechanisms.</w:t>
      </w:r>
    </w:p>
    <w:p>
      <w:pPr>
        <w:spacing w:before="40" w:after="120" w:line="276" w:lineRule="auto"/>
      </w:pPr>
      <w:r>
        <w:t xml:space="preserve">2. </w:t>
      </w:r>
      <w:r>
        <w:rPr>
          <w:b/>
          <w:color w:val="2C3E50"/>
        </w:rPr>
        <w:t>Automation-Verifiability Gap</w:t>
      </w:r>
      <w:r>
        <w:t>: Fully automated extraction achieves speed but cannot guarantee accuracy for high-stakes credentials. HITL review ensures verifiability but introduces latency and cost. Existing systems do not balance these trade-offs through intelligent routing.</w:t>
      </w:r>
    </w:p>
    <w:p>
      <w:pPr>
        <w:spacing w:before="40" w:after="120" w:line="276" w:lineRule="auto"/>
      </w:pPr>
      <w:r>
        <w:t xml:space="preserve">3. </w:t>
      </w:r>
      <w:r>
        <w:rPr>
          <w:b/>
          <w:color w:val="2C3E50"/>
        </w:rPr>
        <w:t>Isolation-Usability Gap</w:t>
      </w:r>
      <w:r>
        <w:t>: Multi-tenant architectures enforce strict data isolation [4], yet document processing systems often sacrifice usability for isolation, providing separate queues per tenant without cross-tenant learning or shared infrastructure efficiency.</w:t>
      </w:r>
    </w:p>
    <w:p>
      <w:pPr>
        <w:spacing w:before="40" w:after="120" w:line="276" w:lineRule="auto"/>
      </w:pPr>
      <w:r>
        <w:t>The AU DIC system addresses all three gaps through a unified architecture.</w:t>
      </w:r>
    </w:p>
    <w:p>
      <w:pPr>
        <w:keepNext/>
        <w:spacing w:before="320" w:after="120"/>
      </w:pPr>
      <w:r>
        <w:rPr>
          <w:rFonts w:ascii="Calibri Light" w:hAnsi="Calibri Light"/>
          <w:b/>
          <w:color w:val="1B365D"/>
          <w:sz w:val="28"/>
        </w:rPr>
        <w:t>8. Research Objectives</w:t>
      </w:r>
    </w:p>
    <w:p>
      <w:pPr>
        <w:spacing w:before="40" w:after="120" w:line="276" w:lineRule="auto"/>
      </w:pPr>
      <w:r>
        <w:t>The primary objective of this research is to design, implement, and validate a multi-tenant SaaS document intelligence system for academic credential parsing that integrates dual-provider multimodal LLMs with HITL staging and transaction-safe soft deletion.</w:t>
      </w:r>
    </w:p>
    <w:p>
      <w:pPr>
        <w:keepNext/>
        <w:spacing w:before="280" w:after="80"/>
        <w:jc w:val="center"/>
      </w:pPr>
      <w:r>
        <w:drawing>
          <wp:inline xmlns:a="http://schemas.openxmlformats.org/drawingml/2006/main" xmlns:pic="http://schemas.openxmlformats.org/drawingml/2006/picture">
            <wp:extent cx="5669280" cy="3684284"/>
            <wp:docPr id="1" name="Picture 1"/>
            <wp:cNvGraphicFramePr>
              <a:graphicFrameLocks noChangeAspect="1"/>
            </wp:cNvGraphicFramePr>
            <a:graphic>
              <a:graphicData uri="http://schemas.openxmlformats.org/drawingml/2006/picture">
                <pic:pic>
                  <pic:nvPicPr>
                    <pic:cNvPr id="0" name="fig7_research_workflow.png"/>
                    <pic:cNvPicPr/>
                  </pic:nvPicPr>
                  <pic:blipFill>
                    <a:blip r:embed="rId9"/>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7: Complete Research Paper &amp; Benchmark Infrastructure Artifact Generation Workflow.</w:t>
      </w:r>
    </w:p>
    <w:p>
      <w:pPr>
        <w:spacing w:before="40" w:after="120" w:line="276" w:lineRule="auto"/>
      </w:pPr>
      <w:r>
        <w:t>Specific objectives are:</w:t>
      </w:r>
    </w:p>
    <w:p>
      <w:pPr>
        <w:spacing w:before="40" w:after="120" w:line="276" w:lineRule="auto"/>
      </w:pPr>
      <w:r>
        <w:rPr>
          <w:b/>
          <w:color w:val="2C3E50"/>
        </w:rPr>
        <w:t>RO1</w:t>
      </w:r>
      <w:r>
        <w:t>: Design a dual-provider AI orchestration layer that automatically fails over from Gemini 2.5 Flash to OpenRouter (gpt-4o-mini) on availability errors, maintaining extraction continuity.</w:t>
      </w:r>
    </w:p>
    <w:p>
      <w:pPr>
        <w:spacing w:before="40" w:after="120" w:line="276" w:lineRule="auto"/>
      </w:pPr>
      <w:r>
        <w:rPr>
          <w:b/>
          <w:color w:val="2C3E50"/>
        </w:rPr>
        <w:t>RO2</w:t>
      </w:r>
      <w:r>
        <w:t>: Implement a HITL staging pipeline that surfaces AI-extracted candidate fields to human reviewers, records corrections, and routes only approved records to canonical write.</w:t>
      </w:r>
    </w:p>
    <w:p>
      <w:pPr>
        <w:spacing w:before="40" w:after="120" w:line="276" w:lineRule="auto"/>
      </w:pPr>
      <w:r>
        <w:rPr>
          <w:b/>
          <w:color w:val="2C3E50"/>
        </w:rPr>
        <w:t>RO3</w:t>
      </w:r>
      <w:r>
        <w:t>: Develop a transaction-safe soft deletion mechanism that atomically updates UaipUpload, KnowledgeRecord, and ReviewHistory collections, with fallback to sequential deletion in standalone MongoDB environments.</w:t>
      </w:r>
    </w:p>
    <w:p>
      <w:pPr>
        <w:spacing w:before="40" w:after="120" w:line="276" w:lineRule="auto"/>
      </w:pPr>
      <w:r>
        <w:rPr>
          <w:b/>
          <w:color w:val="2C3E50"/>
        </w:rPr>
        <w:t>RO4</w:t>
      </w:r>
      <w:r>
        <w:t>: Validate the complete research paper generation pipeline using a minimal 5-document synthetic dataset, ensuring reproducibility and internal consistency of all research artifacts.</w:t>
      </w:r>
    </w:p>
    <w:p>
      <w:pPr>
        <w:spacing w:before="40" w:after="120" w:line="276" w:lineRule="auto"/>
      </w:pPr>
      <w:r>
        <w:rPr>
          <w:b/>
          <w:color w:val="2C3E50"/>
        </w:rPr>
        <w:t>RO5</w:t>
      </w:r>
      <w:r>
        <w:t>: Establish a benchmark framework with formal precision, recall, and F1-score metrics for document-level and field-level extraction evaluation.</w:t>
      </w:r>
    </w:p>
    <w:p>
      <w:pPr>
        <w:spacing w:before="40" w:after="120" w:line="276" w:lineRule="auto"/>
      </w:pPr>
      <w:r>
        <w:t>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9. Proposed Methodology</w:t>
      </w:r>
    </w:p>
    <w:p>
      <w:pPr>
        <w:keepNext/>
        <w:spacing w:before="240" w:after="80"/>
      </w:pPr>
      <w:r>
        <w:rPr>
          <w:rFonts w:ascii="Calibri" w:hAnsi="Calibri"/>
          <w:b/>
          <w:color w:val="2C3E50"/>
          <w:sz w:val="24"/>
        </w:rPr>
        <w:t>9.1 System Overview</w:t>
      </w:r>
    </w:p>
    <w:p>
      <w:pPr>
        <w:keepNext/>
        <w:spacing w:before="280" w:after="80"/>
        <w:jc w:val="center"/>
      </w:pPr>
      <w:r>
        <w:drawing>
          <wp:inline xmlns:a="http://schemas.openxmlformats.org/drawingml/2006/main" xmlns:pic="http://schemas.openxmlformats.org/drawingml/2006/picture">
            <wp:extent cx="5669280" cy="3968632"/>
            <wp:docPr id="2" name="Picture 2"/>
            <wp:cNvGraphicFramePr>
              <a:graphicFrameLocks noChangeAspect="1"/>
            </wp:cNvGraphicFramePr>
            <a:graphic>
              <a:graphicData uri="http://schemas.openxmlformats.org/drawingml/2006/picture">
                <pic:pic>
                  <pic:nvPicPr>
                    <pic:cNvPr id="0" name="fig1_overall_architecture.png"/>
                    <pic:cNvPicPr/>
                  </pic:nvPicPr>
                  <pic:blipFill>
                    <a:blip r:embed="rId10"/>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1: AU DIC Four-Tier Microservice Architecture showing Presentation, API, Service, and Data layers with Multi-Tenant Organization Isolation.</w:t>
      </w:r>
    </w:p>
    <w:p>
      <w:pPr>
        <w:spacing w:before="40" w:after="120" w:line="276" w:lineRule="auto"/>
      </w:pPr>
      <w:r>
        <w:t>The AU DIC system follows a layered microservice architecture (Fig. 1) with four tiers: Presentation, API, Service, and Data. The Document Intelligence module (</w:t>
      </w:r>
      <w:r>
        <w:rPr>
          <w:rFonts w:ascii="Consolas" w:hAnsi="Consolas"/>
          <w:color w:val="1B365D"/>
          <w:sz w:val="20"/>
        </w:rPr>
        <w:t>backend/src/modules/documentIntelligence/</w:t>
      </w:r>
      <w:r>
        <w:t>) implements the core pipeline, comprising the controller (</w:t>
      </w:r>
      <w:r>
        <w:rPr>
          <w:rFonts w:ascii="Consolas" w:hAnsi="Consolas"/>
          <w:color w:val="1B365D"/>
          <w:sz w:val="20"/>
        </w:rPr>
        <w:t>documentIntelligence.controller.ts</w:t>
      </w:r>
      <w:r>
        <w:t>), service (</w:t>
      </w:r>
      <w:r>
        <w:rPr>
          <w:rFonts w:ascii="Consolas" w:hAnsi="Consolas"/>
          <w:color w:val="1B365D"/>
          <w:sz w:val="20"/>
        </w:rPr>
        <w:t>documentIntelligence.service.ts</w:t>
      </w:r>
      <w:r>
        <w:t>), repository (</w:t>
      </w:r>
      <w:r>
        <w:rPr>
          <w:rFonts w:ascii="Consolas" w:hAnsi="Consolas"/>
          <w:color w:val="1B365D"/>
          <w:sz w:val="20"/>
        </w:rPr>
        <w:t>documentIntelligence.repository.ts</w:t>
      </w:r>
      <w:r>
        <w:t>), and types (</w:t>
      </w:r>
      <w:r>
        <w:rPr>
          <w:rFonts w:ascii="Consolas" w:hAnsi="Consolas"/>
          <w:color w:val="1B365D"/>
          <w:sz w:val="20"/>
        </w:rPr>
        <w:t>documentIntelligence.types.ts</w:t>
      </w:r>
      <w:r>
        <w:t>).</w:t>
      </w:r>
    </w:p>
    <w:p>
      <w:pPr>
        <w:keepNext/>
        <w:spacing w:before="240" w:after="80"/>
      </w:pPr>
      <w:r>
        <w:rPr>
          <w:rFonts w:ascii="Calibri" w:hAnsi="Calibri"/>
          <w:b/>
          <w:color w:val="2C3E50"/>
          <w:sz w:val="24"/>
        </w:rPr>
        <w:t>9.2 Dual-Provider AI Orchestration</w:t>
      </w:r>
    </w:p>
    <w:p>
      <w:pPr>
        <w:spacing w:before="40" w:after="120" w:line="276" w:lineRule="auto"/>
      </w:pPr>
      <w:r>
        <w:t xml:space="preserve">The AI orchestration layer is implemented in </w:t>
      </w:r>
      <w:r>
        <w:rPr>
          <w:rFonts w:ascii="Consolas" w:hAnsi="Consolas"/>
          <w:color w:val="1B365D"/>
          <w:sz w:val="20"/>
        </w:rPr>
        <w:t>backend/src/core/ai/failover.provider.ts</w:t>
      </w:r>
      <w:r>
        <w:t xml:space="preserve"> using the FailoverAIProvider pattern. Given a primary provider ($P$) and fallback provider ($F$), the system attempts inference on $P$:</w:t>
      </w:r>
    </w:p>
    <w:p>
      <w:pPr>
        <w:spacing w:before="160" w:after="160"/>
        <w:jc w:val="center"/>
      </w:pPr>
      <w:r>
        <w:rPr>
          <w:rFonts w:ascii="Cambria Math" w:hAnsi="Cambria Math"/>
          <w:i/>
          <w:color w:val="1B365D"/>
          <w:sz w:val="22"/>
        </w:rPr>
        <w:t>y_P = P(x)</w:t>
      </w:r>
    </w:p>
    <w:p>
      <w:pPr>
        <w:spacing w:before="40" w:after="120" w:line="276" w:lineRule="auto"/>
      </w:pPr>
      <w:r>
        <w:t>If $P$ raises an availability error ($E_P \in \mathcal{E}_{avail}$), the system transparently retries on $F$:</w:t>
      </w:r>
    </w:p>
    <w:p>
      <w:pPr>
        <w:spacing w:before="160" w:after="160"/>
        <w:jc w:val="center"/>
      </w:pPr>
      <w:r>
        <w:rPr>
          <w:rFonts w:ascii="Cambria Math" w:hAnsi="Cambria Math"/>
          <w:i/>
          <w:color w:val="1B365D"/>
          <w:sz w:val="22"/>
        </w:rPr>
        <w:t>y_F = F(x)</w:t>
      </w:r>
    </w:p>
    <w:p>
      <w:pPr>
        <w:spacing w:before="40" w:after="120" w:line="276" w:lineRule="auto"/>
      </w:pPr>
      <w:r>
        <w:t>The final output is $y = y_P$ if $P$ succeeds, otherwise $y = y_F$ if $F$ succeeds, otherwise the error is propagated. The primary provider is Gemini 2.5 Flash (</w:t>
      </w:r>
      <w:r>
        <w:rPr>
          <w:rFonts w:ascii="Consolas" w:hAnsi="Consolas"/>
          <w:color w:val="1B365D"/>
          <w:sz w:val="20"/>
        </w:rPr>
        <w:t>backend/src/core/ai/gemini.provider.ts</w:t>
      </w:r>
      <w:r>
        <w:t>), selected for its high accuracy on structured extraction. The fallback provider is OpenRouter (</w:t>
      </w:r>
      <w:r>
        <w:rPr>
          <w:rFonts w:ascii="Consolas" w:hAnsi="Consolas"/>
          <w:color w:val="1B365D"/>
          <w:sz w:val="20"/>
        </w:rPr>
        <w:t>backend/src/core/ai/openrouter.provider.ts</w:t>
      </w:r>
      <w:r>
        <w:t>), which provides access to gpt-4o-mini at competitive cost.</w:t>
      </w:r>
    </w:p>
    <w:p>
      <w:pPr>
        <w:keepNext/>
        <w:spacing w:before="240" w:after="80"/>
      </w:pPr>
      <w:r>
        <w:rPr>
          <w:rFonts w:ascii="Calibri" w:hAnsi="Calibri"/>
          <w:b/>
          <w:color w:val="2C3E50"/>
          <w:sz w:val="24"/>
        </w:rPr>
        <w:t>9.3 Document Processing Pipeline</w:t>
      </w:r>
    </w:p>
    <w:p>
      <w:pPr>
        <w:keepNext/>
        <w:spacing w:before="280" w:after="80"/>
        <w:jc w:val="center"/>
      </w:pPr>
      <w:r>
        <w:drawing>
          <wp:inline xmlns:a="http://schemas.openxmlformats.org/drawingml/2006/main" xmlns:pic="http://schemas.openxmlformats.org/drawingml/2006/picture">
            <wp:extent cx="5669280" cy="4251620"/>
            <wp:docPr id="3" name="Picture 3"/>
            <wp:cNvGraphicFramePr>
              <a:graphicFrameLocks noChangeAspect="1"/>
            </wp:cNvGraphicFramePr>
            <a:graphic>
              <a:graphicData uri="http://schemas.openxmlformats.org/drawingml/2006/picture">
                <pic:pic>
                  <pic:nvPicPr>
                    <pic:cNvPr id="0" name="fig2_dic_pipeline.png"/>
                    <pic:cNvPicPr/>
                  </pic:nvPicPr>
                  <pic:blipFill>
                    <a:blip r:embed="rId11"/>
                    <a:stretch>
                      <a:fillRect/>
                    </a:stretch>
                  </pic:blipFill>
                  <pic:spPr>
                    <a:xfrm>
                      <a:off x="0" y="0"/>
                      <a:ext cx="5669280" cy="4251620"/>
                    </a:xfrm>
                    <a:prstGeom prst="rect"/>
                  </pic:spPr>
                </pic:pic>
              </a:graphicData>
            </a:graphic>
          </wp:inline>
        </w:drawing>
      </w:r>
    </w:p>
    <w:p>
      <w:pPr>
        <w:spacing w:before="40" w:after="240"/>
        <w:jc w:val="center"/>
      </w:pPr>
      <w:r>
        <w:rPr>
          <w:rFonts w:ascii="Calibri" w:hAnsi="Calibri"/>
          <w:i/>
          <w:color w:val="2C3E50"/>
          <w:sz w:val="19"/>
        </w:rPr>
        <w:t>Figure 2: End-to-End Document Intelligence Pipeline from Upload Validation through AI Orchestration to HITL Staging.</w:t>
      </w:r>
    </w:p>
    <w:p>
      <w:pPr>
        <w:spacing w:before="40" w:after="120" w:line="276" w:lineRule="auto"/>
      </w:pPr>
      <w:r>
        <w:t>The document intelligence pipeline (Fig. 2) consists of four stages:</w:t>
      </w:r>
    </w:p>
    <w:p>
      <w:pPr>
        <w:spacing w:before="40" w:after="120" w:line="276" w:lineRule="auto"/>
      </w:pPr>
      <w:r>
        <w:rPr>
          <w:b/>
          <w:color w:val="2C3E50"/>
        </w:rPr>
        <w:t>Stage 1: Upload and Validation</w:t>
      </w:r>
      <w:r>
        <w:t xml:space="preserve"> — The client uploads a document via </w:t>
      </w:r>
      <w:r>
        <w:rPr>
          <w:rFonts w:ascii="Consolas" w:hAnsi="Consolas"/>
          <w:color w:val="1B365D"/>
          <w:sz w:val="20"/>
        </w:rPr>
        <w:t>POST /api/document-intelligence/documents</w:t>
      </w:r>
      <w:r>
        <w:t xml:space="preserve">. The system validates MIME type, computes file hash, and enforces tenant isolation via the </w:t>
      </w:r>
      <w:r>
        <w:rPr>
          <w:rFonts w:ascii="Consolas" w:hAnsi="Consolas"/>
          <w:color w:val="1B365D"/>
          <w:sz w:val="20"/>
        </w:rPr>
        <w:t>organizationId</w:t>
      </w:r>
      <w:r>
        <w:t xml:space="preserve"> middleware (</w:t>
      </w:r>
      <w:r>
        <w:rPr>
          <w:rFonts w:ascii="Consolas" w:hAnsi="Consolas"/>
          <w:color w:val="1B365D"/>
          <w:sz w:val="20"/>
        </w:rPr>
        <w:t>backend/src/middleware/auth.ts:215</w:t>
      </w:r>
      <w:r>
        <w:t>). The upload record is persisted to the UaipUpload collection.</w:t>
      </w:r>
    </w:p>
    <w:p>
      <w:pPr>
        <w:spacing w:before="40" w:after="120" w:line="276" w:lineRule="auto"/>
      </w:pPr>
      <w:r>
        <w:rPr>
          <w:b/>
          <w:color w:val="2C3E50"/>
        </w:rPr>
        <w:t>Stage 2: Pre-processing and OCR</w:t>
      </w:r>
      <w:r>
        <w:t xml:space="preserve"> — The OCRService (</w:t>
      </w:r>
      <w:r>
        <w:rPr>
          <w:rFonts w:ascii="Consolas" w:hAnsi="Consolas"/>
          <w:color w:val="1B365D"/>
          <w:sz w:val="20"/>
        </w:rPr>
        <w:t>backend/src/services/ocr/OCRService.ts</w:t>
      </w:r>
      <w:r>
        <w:t>) applies deskewing, denoising, and binarization. For clean PDFs, text is extracted directly. For scanned documents, Tesseract v5.0 is invoked with PaddleOCR as fallback when Tesseract confidence is below threshold.</w:t>
      </w:r>
    </w:p>
    <w:p>
      <w:pPr>
        <w:spacing w:before="40" w:after="120" w:line="276" w:lineRule="auto"/>
      </w:pPr>
      <w:r>
        <w:rPr>
          <w:b/>
          <w:color w:val="2C3E50"/>
        </w:rPr>
        <w:t>Stage 3: AI Extraction</w:t>
      </w:r>
      <w:r>
        <w:t xml:space="preserve"> — The AI orchestrator sends the pre-processed text (and optionally images) to the dual-provider system. The extraction prompt requests structured JSON output conforming to the canonical schema:</w:t>
      </w:r>
    </w:p>
    <w:p>
      <w:pPr>
        <w:spacing w:before="160" w:after="160"/>
        <w:jc w:val="center"/>
      </w:pPr>
      <w:r>
        <w:rPr>
          <w:rFonts w:ascii="Cambria Math" w:hAnsi="Cambria Math"/>
          <w:i/>
          <w:color w:val="1B365D"/>
          <w:sz w:val="22"/>
        </w:rPr>
        <w:t>\text{fields} = \{studentName, rollNumber, semester, sgpa, cgpa, issueDate, courseMarks\}</w:t>
      </w:r>
    </w:p>
    <w:p>
      <w:pPr>
        <w:spacing w:before="40" w:after="120" w:line="276" w:lineRule="auto"/>
      </w:pPr>
      <w:r>
        <w:t>where $courseMarks$ is an array of objects with keys $courseCode$, $courseName$, $marksObtained$, and $maxMarks$. The system enforces JSON-mode output to guarantee parseability.</w:t>
      </w:r>
    </w:p>
    <w:p>
      <w:pPr>
        <w:spacing w:before="40" w:after="120" w:line="276" w:lineRule="auto"/>
      </w:pPr>
      <w:r>
        <w:rPr>
          <w:b/>
          <w:color w:val="2C3E50"/>
        </w:rPr>
        <w:t>Stage 4: HITL Staging</w:t>
      </w:r>
      <w:r>
        <w:t xml:space="preserve"> — Extracted fields are persisted to the KnowledgeRecord collection with </w:t>
      </w:r>
      <w:r>
        <w:rPr>
          <w:rFonts w:ascii="Consolas" w:hAnsi="Consolas"/>
          <w:color w:val="1B365D"/>
          <w:sz w:val="20"/>
        </w:rPr>
        <w:t>reviewStatus: PENDING_REVIEW</w:t>
      </w:r>
      <w:r>
        <w:t>. The reviewer interface (Fig. 3) displays candidate fields with per-field confidence scores, enabling inline correction. Approved records are written to the canonical collections; rejected records are discarded with an audit trail.</w:t>
      </w:r>
    </w:p>
    <w:p>
      <w:pPr>
        <w:keepNext/>
        <w:spacing w:before="240" w:after="80"/>
      </w:pPr>
      <w:r>
        <w:rPr>
          <w:rFonts w:ascii="Calibri" w:hAnsi="Calibri"/>
          <w:b/>
          <w:color w:val="2C3E50"/>
          <w:sz w:val="24"/>
        </w:rPr>
        <w:t>9.4 Transaction-Safe Soft Deletion</w:t>
      </w:r>
    </w:p>
    <w:p>
      <w:pPr>
        <w:keepNext/>
        <w:spacing w:before="280" w:after="80"/>
        <w:jc w:val="center"/>
      </w:pPr>
      <w:r>
        <w:drawing>
          <wp:inline xmlns:a="http://schemas.openxmlformats.org/drawingml/2006/main" xmlns:pic="http://schemas.openxmlformats.org/drawingml/2006/picture">
            <wp:extent cx="5669280" cy="3684284"/>
            <wp:docPr id="4" name="Picture 4"/>
            <wp:cNvGraphicFramePr>
              <a:graphicFrameLocks noChangeAspect="1"/>
            </wp:cNvGraphicFramePr>
            <a:graphic>
              <a:graphicData uri="http://schemas.openxmlformats.org/drawingml/2006/picture">
                <pic:pic>
                  <pic:nvPicPr>
                    <pic:cNvPr id="0" name="fig4_transaction_sequence.png"/>
                    <pic:cNvPicPr/>
                  </pic:nvPicPr>
                  <pic:blipFill>
                    <a:blip r:embed="rId12"/>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4: Transaction-Safe Soft Deletion Sequence with MongoDB Session ACID Commit and Fallback Rollback.</w:t>
      </w:r>
    </w:p>
    <w:p>
      <w:pPr>
        <w:spacing w:before="40" w:after="120" w:line="276" w:lineRule="auto"/>
      </w:pPr>
      <w:r>
        <w:t>The soft deletion mechanism (</w:t>
      </w:r>
      <w:r>
        <w:rPr>
          <w:rFonts w:ascii="Consolas" w:hAnsi="Consolas"/>
          <w:color w:val="1B365D"/>
          <w:sz w:val="20"/>
        </w:rPr>
        <w:t>documentIntelligence.repository.ts:371-627</w:t>
      </w:r>
      <w:r>
        <w:t xml:space="preserve">) ensures atomic removal of workflow records while preserving canonical data. When MongoDB supports transactions (replica set), the operation uses a session with </w:t>
      </w:r>
      <w:r>
        <w:rPr>
          <w:rFonts w:ascii="Consolas" w:hAnsi="Consolas"/>
          <w:color w:val="1B365D"/>
          <w:sz w:val="20"/>
        </w:rPr>
        <w:t>startTransaction()</w:t>
      </w:r>
      <w:r>
        <w:t>:</w:t>
      </w:r>
    </w:p>
    <w:p>
      <w:pPr>
        <w:spacing w:before="160" w:after="160"/>
        <w:jc w:val="center"/>
      </w:pPr>
      <w:r>
        <w:rPr>
          <w:rFonts w:ascii="Cambria Math" w:hAnsi="Cambria Math"/>
          <w:i/>
          <w:color w:val="1B365D"/>
          <w:sz w:val="22"/>
        </w:rPr>
        <w:t>\mathcal{T} = \{U_{del}, KR_{del}, RH_{del}\}</w:t>
      </w:r>
    </w:p>
    <w:p>
      <w:pPr>
        <w:spacing w:before="40" w:after="120" w:line="276" w:lineRule="auto"/>
      </w:pPr>
      <w:r>
        <w:t>where $U_{del}$ marks the UaipUpload record as DELETED, $KR_{del}$ marks all associated KnowledgeRecords as DELETED, and $RH_{del}$ marks DRAFT_SAVED ReviewHistory entries as DELETED. The transaction commits only if all three operations succeed; otherwise, all changes are aborted.</w:t>
      </w:r>
    </w:p>
    <w:p>
      <w:pPr>
        <w:spacing w:before="40" w:after="120" w:line="276" w:lineRule="auto"/>
      </w:pPr>
      <w:r>
        <w:t>In standalone MongoDB (no replica set), the system falls back to sequential soft deletes with manual rollback:</w:t>
      </w:r>
    </w:p>
    <w:p>
      <w:pPr>
        <w:spacing w:before="160" w:after="160"/>
        <w:jc w:val="center"/>
      </w:pPr>
      <w:r>
        <w:rPr>
          <w:rFonts w:ascii="Cambria Math" w:hAnsi="Cambria Math"/>
          <w:i/>
          <w:color w:val="1B365D"/>
          <w:sz w:val="22"/>
        </w:rPr>
        <w:t>U_{del} \rightarrow KR_{del} \rightarrow RH_{del}</w:t>
      </w:r>
    </w:p>
    <w:p>
      <w:pPr>
        <w:spacing w:before="40" w:after="120" w:line="276" w:lineRule="auto"/>
      </w:pPr>
      <w:r>
        <w:t>If any step fails, previous steps are rolled back in reverse order. GridFS file deletion and OCR cache cleanup occur after successful database updates, ensuring idempotency.</w:t>
      </w:r>
    </w:p>
    <w:p>
      <w:pPr>
        <w:spacing w:before="40" w:after="120" w:line="276" w:lineRule="auto"/>
      </w:pPr>
      <w:r>
        <w:t>The deletion sequence is illustrated in Fig. 4.</w:t>
      </w:r>
    </w:p>
    <w:p>
      <w:pPr>
        <w:keepNext/>
        <w:spacing w:before="320" w:after="120"/>
      </w:pPr>
      <w:r>
        <w:rPr>
          <w:rFonts w:ascii="Calibri Light" w:hAnsi="Calibri Light"/>
          <w:b/>
          <w:color w:val="1B365D"/>
          <w:sz w:val="28"/>
        </w:rPr>
        <w:t>10. System Architecture</w:t>
      </w:r>
    </w:p>
    <w:p>
      <w:pPr>
        <w:keepNext/>
        <w:spacing w:before="240" w:after="80"/>
      </w:pPr>
      <w:r>
        <w:rPr>
          <w:rFonts w:ascii="Calibri" w:hAnsi="Calibri"/>
          <w:b/>
          <w:color w:val="2C3E50"/>
          <w:sz w:val="24"/>
        </w:rPr>
        <w:t>10.1 Layered Architecture</w:t>
      </w:r>
    </w:p>
    <w:p>
      <w:pPr>
        <w:keepNext/>
        <w:spacing w:before="280" w:after="80"/>
      </w:pPr>
      <w:r>
        <w:rPr>
          <w:rFonts w:ascii="Calibri" w:hAnsi="Calibri"/>
          <w:b/>
          <w:color w:val="2C3E50"/>
          <w:sz w:val="21"/>
        </w:rPr>
        <w:t>Table 2: Technology Stack and Architecture Specifications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Layer</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Component</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Technology</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Source File(s)</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Research Figure/Table</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Frontend</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Web Portal</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Next.js 14, React, Tailwind CSS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`app/`, `components/`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1</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Frontend</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Type Safety</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TypeScript, global.d.ts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`global.d.ts`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API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HTTP Server</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Express.js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`backend/src/index.ts`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1</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API</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Authentication</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JWT, Firebase Auth</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`backend/src/middleware/auth.ts`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4</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API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Rate Limiting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Express rate-limit</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`backend/src/middleware/rateLimit.ts`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API</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Request Tracking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requestId middleware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`backend/src/middleware/requestId.ts`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 Intelligence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DocumentIntelligenceService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`backend/src/modules/documentIntelligence/documentIntelligence.service.ts`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2, Fig. 3</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OCR Processing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Tesseract v5.0, PaddleOCR</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`backend/src/services/ocr/OCRService.ts`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2</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AI Orchestration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FailoverAIProvider</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`backend/src/core/ai/failover.provider.ts`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2, Fig. 4</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AI Provider (Primary)</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Gemini 2.5 Flash</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`backend/src/core/ai/gemini.provider.ts`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2</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AI Provider (Fallback)</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OpenRouter (gpt-4o-mini)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`backend/src/core/ai/openrouter.provider.ts`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2, Fig. 4</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Canonical Write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CanonicalWriteService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`backend/src/__tests__/canonicalWrite.service.test.ts`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4</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Repository</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Data Access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Mongoose ODM</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`backend/src/modules/documentIntelligence/documentIntelligence.repository.ts`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4</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Repository</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File Storage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GridFSProvider</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`backend/src/storage/GridFSProvider.ts`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4</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Database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Primary DB</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MongoDB (UaipUpload, KnowledgeRecord, ReviewHistory)</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`backend/src/models/`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1, Fig. 4</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Database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Cache/Queue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Redis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`backend/src/shared/services/`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1</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Infrastructure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Containerization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Docker</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`Dockerfile`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Infrastructure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Hosting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Firebase, Vercel</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`firebase.json`, `next.config.mjs`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Testing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Unit Tests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Jest</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`jest.config.cjs`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Testing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Integration Tests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Jest + Supertest</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`backend/src/__tests__/`</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Monitoring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Error Tracking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Sentry</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`sentry.server.config.ts`, `sentry.edge.config.ts`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Logging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Structured Logging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Winston/Pino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`backend/src/utils/logger.ts`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bl>
    <w:p>
      <w:pPr>
        <w:spacing w:before="60" w:after="240"/>
      </w:pPr>
      <w:r>
        <w:rPr>
          <w:rFonts w:ascii="Calibri" w:hAnsi="Calibri"/>
          <w:i/>
          <w:color w:val="555555"/>
          <w:sz w:val="18"/>
        </w:rPr>
        <w:t>**Traceability**: Every module in the AU DIC system is traceable from the research paper's proposed methodology (Section 9) to the actual implementation. The Document Intelligence Controller (`documentIntelligence.controller.ts`) exposes the REST API endpoints documented in Section 11.</w:t>
      </w:r>
    </w:p>
    <w:p>
      <w:pPr>
        <w:spacing w:before="40" w:after="120" w:line="276" w:lineRule="auto"/>
      </w:pPr>
      <w:r>
        <w:t>The AU DIC system follows a four-layer architecture (Fig. 1):</w:t>
      </w:r>
    </w:p>
    <w:p>
      <w:pPr>
        <w:spacing w:before="40" w:after="120" w:line="276" w:lineRule="auto"/>
      </w:pPr>
      <w:r>
        <w:rPr>
          <w:b/>
          <w:color w:val="2C3E50"/>
        </w:rPr>
        <w:t>Presentation Layer</w:t>
      </w:r>
      <w:r>
        <w:t xml:space="preserve"> — The Web Portal (Next.js), Mobile App, Admin Dashboard, and API Gateway provide tenant-specific interfaces. All clients authenticate via Firebase Auth and include the </w:t>
      </w:r>
      <w:r>
        <w:rPr>
          <w:rFonts w:ascii="Consolas" w:hAnsi="Consolas"/>
          <w:color w:val="1B365D"/>
          <w:sz w:val="20"/>
        </w:rPr>
        <w:t>organizationId</w:t>
      </w:r>
      <w:r>
        <w:t xml:space="preserve"> in request context.</w:t>
      </w:r>
    </w:p>
    <w:p>
      <w:pPr>
        <w:spacing w:before="40" w:after="120" w:line="276" w:lineRule="auto"/>
      </w:pPr>
      <w:r>
        <w:rPr>
          <w:b/>
          <w:color w:val="2C3E50"/>
        </w:rPr>
        <w:t>API Layer</w:t>
      </w:r>
      <w:r>
        <w:t xml:space="preserve"> — Express.js routes (</w:t>
      </w:r>
      <w:r>
        <w:rPr>
          <w:rFonts w:ascii="Consolas" w:hAnsi="Consolas"/>
          <w:color w:val="1B365D"/>
          <w:sz w:val="20"/>
        </w:rPr>
        <w:t>backend/src/routes/documentIntelligenceRoutes.ts</w:t>
      </w:r>
      <w:r>
        <w:t>) expose document CRUD, review, analytics, and deletion endpoints. The DocumentIntelligenceController (</w:t>
      </w:r>
      <w:r>
        <w:rPr>
          <w:rFonts w:ascii="Consolas" w:hAnsi="Consolas"/>
          <w:color w:val="1B365D"/>
          <w:sz w:val="20"/>
        </w:rPr>
        <w:t>documentIntelligence.controller.ts</w:t>
      </w:r>
      <w:r>
        <w:t>) enforces tenant isolation, validates query parameters, and delegates to the service layer.</w:t>
      </w:r>
    </w:p>
    <w:p>
      <w:pPr>
        <w:spacing w:before="40" w:after="120" w:line="276" w:lineRule="auto"/>
      </w:pPr>
      <w:r>
        <w:rPr>
          <w:b/>
          <w:color w:val="2C3E50"/>
        </w:rPr>
        <w:t>Service Layer</w:t>
      </w:r>
      <w:r>
        <w:t xml:space="preserve"> — The DocumentIntelligenceService (</w:t>
      </w:r>
      <w:r>
        <w:rPr>
          <w:rFonts w:ascii="Consolas" w:hAnsi="Consolas"/>
          <w:color w:val="1B365D"/>
          <w:sz w:val="20"/>
        </w:rPr>
        <w:t>documentIntelligence.service.ts</w:t>
      </w:r>
      <w:r>
        <w:t>) orchestrates OCR, AI extraction, canonical write, and soft deletion. It delegates data access to the repository layer, maintaining separation of concerns.</w:t>
      </w:r>
    </w:p>
    <w:p>
      <w:pPr>
        <w:spacing w:before="40" w:after="120" w:line="276" w:lineRule="auto"/>
      </w:pPr>
      <w:r>
        <w:rPr>
          <w:b/>
          <w:color w:val="2C3E50"/>
        </w:rPr>
        <w:t>Data Layer</w:t>
      </w:r>
      <w:r>
        <w:t xml:space="preserve"> — MongoDB stores UaipUpload, KnowledgeRecord, and ReviewHistory collections. GridFS stores uploaded files. Redis provides caching and queuing. All queries are strictly scoped by </w:t>
      </w:r>
      <w:r>
        <w:rPr>
          <w:rFonts w:ascii="Consolas" w:hAnsi="Consolas"/>
          <w:color w:val="1B365D"/>
          <w:sz w:val="20"/>
        </w:rPr>
        <w:t>organizationId</w:t>
      </w:r>
      <w:r>
        <w:t xml:space="preserve"> to enforce multi-tenant isolation (Table 2).</w:t>
      </w:r>
    </w:p>
    <w:p>
      <w:pPr>
        <w:keepNext/>
        <w:spacing w:before="240" w:after="80"/>
      </w:pPr>
      <w:r>
        <w:rPr>
          <w:rFonts w:ascii="Calibri" w:hAnsi="Calibri"/>
          <w:b/>
          <w:color w:val="2C3E50"/>
          <w:sz w:val="24"/>
        </w:rPr>
        <w:t>10.2 Multi-Tenant Isolation</w:t>
      </w:r>
    </w:p>
    <w:p>
      <w:pPr>
        <w:spacing w:before="40" w:after="120" w:line="276" w:lineRule="auto"/>
      </w:pPr>
      <w:r>
        <w:t xml:space="preserve">Multi-tenant isolation is enforced at the data access layer. Every repository method accepts </w:t>
      </w:r>
      <w:r>
        <w:rPr>
          <w:rFonts w:ascii="Consolas" w:hAnsi="Consolas"/>
          <w:color w:val="1B365D"/>
          <w:sz w:val="20"/>
        </w:rPr>
        <w:t>organizationId</w:t>
      </w:r>
      <w:r>
        <w:t xml:space="preserve"> as a required parameter and includes it in all query filters:</w:t>
      </w:r>
    </w:p>
    <w:p>
      <w:pPr>
        <w:spacing w:before="160" w:after="160"/>
        <w:jc w:val="center"/>
      </w:pPr>
      <w:r>
        <w:rPr>
          <w:rFonts w:ascii="Cambria Math" w:hAnsi="Cambria Math"/>
          <w:i/>
          <w:color w:val="1B365D"/>
          <w:sz w:val="22"/>
        </w:rPr>
        <w:t>Q_{org} = \{doc \in \mathcal{D} \mid doc.organizationId = orgId \land doc.status \neq DELETED\}</w:t>
      </w:r>
    </w:p>
    <w:p>
      <w:pPr>
        <w:spacing w:before="40" w:after="120" w:line="276" w:lineRule="auto"/>
      </w:pPr>
      <w:r>
        <w:t>The auth middleware (</w:t>
      </w:r>
      <w:r>
        <w:rPr>
          <w:rFonts w:ascii="Consolas" w:hAnsi="Consolas"/>
          <w:color w:val="1B365D"/>
          <w:sz w:val="20"/>
        </w:rPr>
        <w:t>backend/src/middleware/auth.ts:43</w:t>
      </w:r>
      <w:r>
        <w:t xml:space="preserve">) extracts </w:t>
      </w:r>
      <w:r>
        <w:rPr>
          <w:rFonts w:ascii="Consolas" w:hAnsi="Consolas"/>
          <w:color w:val="1B365D"/>
          <w:sz w:val="20"/>
        </w:rPr>
        <w:t>organizationId</w:t>
      </w:r>
      <w:r>
        <w:t xml:space="preserve"> from the authenticated user's context and attaches it to the request. Controllers reject requests without a valid </w:t>
      </w:r>
      <w:r>
        <w:rPr>
          <w:rFonts w:ascii="Consolas" w:hAnsi="Consolas"/>
          <w:color w:val="1B365D"/>
          <w:sz w:val="20"/>
        </w:rPr>
        <w:t>organizationId</w:t>
      </w:r>
      <w:r>
        <w:t xml:space="preserve"> with a 403 response.</w:t>
      </w:r>
    </w:p>
    <w:p>
      <w:pPr>
        <w:keepNext/>
        <w:spacing w:before="240" w:after="80"/>
      </w:pPr>
      <w:r>
        <w:rPr>
          <w:rFonts w:ascii="Calibri" w:hAnsi="Calibri"/>
          <w:b/>
          <w:color w:val="2C3E50"/>
          <w:sz w:val="24"/>
        </w:rPr>
        <w:t>10.3 AI Provider Architecture</w:t>
      </w:r>
    </w:p>
    <w:p>
      <w:pPr>
        <w:spacing w:before="40" w:after="120" w:line="276" w:lineRule="auto"/>
      </w:pPr>
      <w:r>
        <w:t>The AI provider abstraction (</w:t>
      </w:r>
      <w:r>
        <w:rPr>
          <w:rFonts w:ascii="Consolas" w:hAnsi="Consolas"/>
          <w:color w:val="1B365D"/>
          <w:sz w:val="20"/>
        </w:rPr>
        <w:t>backend/src/core/ai/ai.factory.ts</w:t>
      </w:r>
      <w:r>
        <w:t xml:space="preserve">) supports multiple providers through the </w:t>
      </w:r>
      <w:r>
        <w:rPr>
          <w:rFonts w:ascii="Consolas" w:hAnsi="Consolas"/>
          <w:color w:val="1B365D"/>
          <w:sz w:val="20"/>
        </w:rPr>
        <w:t>IAIProvider</w:t>
      </w:r>
      <w:r>
        <w:t xml:space="preserve"> interface. The factory instantiates available providers and wraps them in a </w:t>
      </w:r>
      <w:r>
        <w:rPr>
          <w:rFonts w:ascii="Consolas" w:hAnsi="Consolas"/>
          <w:color w:val="1B365D"/>
          <w:sz w:val="20"/>
        </w:rPr>
        <w:t>FailoverAIProvider</w:t>
      </w:r>
      <w:r>
        <w:t xml:space="preserve"> when both Gemini and OpenRouter are configured. Provider selection follows this logic:</w:t>
      </w:r>
    </w:p>
    <w:p>
      <w:pPr>
        <w:spacing w:before="40" w:after="120" w:line="276" w:lineRule="auto"/>
      </w:pPr>
      <w:r>
        <w:t xml:space="preserve">1. If both providers are available, create </w:t>
      </w:r>
      <w:r>
        <w:rPr>
          <w:rFonts w:ascii="Consolas" w:hAnsi="Consolas"/>
          <w:color w:val="1B365D"/>
          <w:sz w:val="20"/>
        </w:rPr>
        <w:t>FailoverAIProvider(gemini, openrouter)</w:t>
      </w:r>
      <w:r>
        <w:t>.</w:t>
      </w:r>
    </w:p>
    <w:p>
      <w:pPr>
        <w:spacing w:before="40" w:after="120" w:line="276" w:lineRule="auto"/>
      </w:pPr>
      <w:r>
        <w:t>2. If only Gemini is available, use Gemini directly.</w:t>
      </w:r>
    </w:p>
    <w:p>
      <w:pPr>
        <w:spacing w:before="40" w:after="120" w:line="276" w:lineRule="auto"/>
      </w:pPr>
      <w:r>
        <w:t>3. If only OpenRouter is available, use OpenRouter directly (with a development warning).</w:t>
      </w:r>
    </w:p>
    <w:p>
      <w:pPr>
        <w:spacing w:before="40" w:after="120" w:line="276" w:lineRule="auto"/>
      </w:pPr>
      <w:r>
        <w:t xml:space="preserve">4. If no providers are available, fall back to </w:t>
      </w:r>
      <w:r>
        <w:rPr>
          <w:rFonts w:ascii="Consolas" w:hAnsi="Consolas"/>
          <w:color w:val="1B365D"/>
          <w:sz w:val="20"/>
        </w:rPr>
        <w:t>MockAIProvider</w:t>
      </w:r>
      <w:r>
        <w:t>.</w:t>
      </w:r>
    </w:p>
    <w:p>
      <w:pPr>
        <w:spacing w:before="40" w:after="120" w:line="276" w:lineRule="auto"/>
      </w:pPr>
      <w:r>
        <w:t>The FailoverAIProvider (</w:t>
      </w:r>
      <w:r>
        <w:rPr>
          <w:rFonts w:ascii="Consolas" w:hAnsi="Consolas"/>
          <w:color w:val="1B365D"/>
          <w:sz w:val="20"/>
        </w:rPr>
        <w:t>backend/src/core/ai/failover.provider.ts</w:t>
      </w:r>
      <w:r>
        <w:t>) intercepts availability errors (rate limits, service outages) and transparently retries on the fallback provider, logging both attempts for observability.</w:t>
      </w:r>
    </w:p>
    <w:p>
      <w:pPr>
        <w:keepNext/>
        <w:spacing w:before="320" w:after="120"/>
      </w:pPr>
      <w:r>
        <w:rPr>
          <w:rFonts w:ascii="Calibri Light" w:hAnsi="Calibri Light"/>
          <w:b/>
          <w:color w:val="1B365D"/>
          <w:sz w:val="28"/>
        </w:rPr>
        <w:t>11. Dataset Description</w:t>
      </w:r>
    </w:p>
    <w:p>
      <w:pPr>
        <w:keepNext/>
        <w:spacing w:before="240" w:after="80"/>
      </w:pPr>
      <w:r>
        <w:rPr>
          <w:rFonts w:ascii="Calibri" w:hAnsi="Calibri"/>
          <w:b/>
          <w:color w:val="2C3E50"/>
          <w:sz w:val="24"/>
        </w:rPr>
        <w:t>11.1 Synthetic Dataset</w:t>
      </w:r>
    </w:p>
    <w:p>
      <w:pPr>
        <w:spacing w:before="40" w:after="120" w:line="276" w:lineRule="auto"/>
      </w:pPr>
      <w:r>
        <w:t xml:space="preserve">The validation dataset consists of 5 synthetic academic documents generated using the Academic Universe Synthetic Benchmark Dataset Generator v1.1.0. The dataset is explicitly synthetic and contains fictional institutions and content. Ground truth is stored in JSON files at </w:t>
      </w:r>
      <w:r>
        <w:rPr>
          <w:rFonts w:ascii="Consolas" w:hAnsi="Consolas"/>
          <w:color w:val="1B365D"/>
          <w:sz w:val="20"/>
        </w:rPr>
        <w:t>C:\github\academicuniverse.com\academicuniverse\benchmarks\synthetic-dataset-5\ground-truth\</w:t>
      </w:r>
      <w:r>
        <w:t>.</w:t>
      </w:r>
    </w:p>
    <w:p>
      <w:pPr>
        <w:spacing w:before="40" w:after="120" w:line="276" w:lineRule="auto"/>
      </w:pPr>
      <w:r>
        <w:t xml:space="preserve">Each document contains 7 core fields and a </w:t>
      </w:r>
      <w:r>
        <w:rPr>
          <w:rFonts w:ascii="Consolas" w:hAnsi="Consolas"/>
          <w:color w:val="1B365D"/>
          <w:sz w:val="20"/>
        </w:rPr>
        <w:t>courseMarks</w:t>
      </w:r>
      <w:r>
        <w:t xml:space="preserve"> array with 5 entries:</w:t>
      </w:r>
    </w:p>
    <w:p>
      <w:pPr>
        <w:pStyle w:val="ListBullet"/>
        <w:spacing w:before="20" w:after="60" w:line="276" w:lineRule="auto"/>
      </w:pPr>
      <w:r>
        <w:rPr>
          <w:rFonts w:ascii="Calibri" w:hAnsi="Calibri"/>
          <w:color w:val="222222"/>
          <w:sz w:val="22"/>
        </w:rPr>
      </w:r>
      <w:r>
        <w:rPr>
          <w:rFonts w:ascii="Calibri" w:hAnsi="Calibri"/>
          <w:b/>
          <w:color w:val="2C3E50"/>
          <w:sz w:val="22"/>
        </w:rPr>
        <w:t>studentName</w:t>
      </w:r>
      <w:r>
        <w:rPr>
          <w:rFonts w:ascii="Calibri" w:hAnsi="Calibri"/>
          <w:color w:val="222222"/>
          <w:sz w:val="22"/>
        </w:rPr>
        <w:t>: Full name of the student</w:t>
      </w:r>
    </w:p>
    <w:p>
      <w:pPr>
        <w:pStyle w:val="ListBullet"/>
        <w:spacing w:before="20" w:after="60" w:line="276" w:lineRule="auto"/>
      </w:pPr>
      <w:r>
        <w:rPr>
          <w:rFonts w:ascii="Calibri" w:hAnsi="Calibri"/>
          <w:color w:val="222222"/>
          <w:sz w:val="22"/>
        </w:rPr>
      </w:r>
      <w:r>
        <w:rPr>
          <w:rFonts w:ascii="Calibri" w:hAnsi="Calibri"/>
          <w:b/>
          <w:color w:val="2C3E50"/>
          <w:sz w:val="22"/>
        </w:rPr>
        <w:t>rollNumber</w:t>
      </w:r>
      <w:r>
        <w:rPr>
          <w:rFonts w:ascii="Calibri" w:hAnsi="Calibri"/>
          <w:color w:val="222222"/>
          <w:sz w:val="22"/>
        </w:rPr>
        <w:t>: Numeric enrollment identifier</w:t>
      </w:r>
    </w:p>
    <w:p>
      <w:pPr>
        <w:pStyle w:val="ListBullet"/>
        <w:spacing w:before="20" w:after="60" w:line="276" w:lineRule="auto"/>
      </w:pPr>
      <w:r>
        <w:rPr>
          <w:rFonts w:ascii="Calibri" w:hAnsi="Calibri"/>
          <w:color w:val="222222"/>
          <w:sz w:val="22"/>
        </w:rPr>
      </w:r>
      <w:r>
        <w:rPr>
          <w:rFonts w:ascii="Calibri" w:hAnsi="Calibri"/>
          <w:b/>
          <w:color w:val="2C3E50"/>
          <w:sz w:val="22"/>
        </w:rPr>
        <w:t>semester</w:t>
      </w:r>
      <w:r>
        <w:rPr>
          <w:rFonts w:ascii="Calibri" w:hAnsi="Calibri"/>
          <w:color w:val="222222"/>
          <w:sz w:val="22"/>
        </w:rPr>
        <w:t>: Academic semester label</w:t>
      </w:r>
    </w:p>
    <w:p>
      <w:pPr>
        <w:pStyle w:val="ListBullet"/>
        <w:spacing w:before="20" w:after="60" w:line="276" w:lineRule="auto"/>
      </w:pPr>
      <w:r>
        <w:rPr>
          <w:rFonts w:ascii="Calibri" w:hAnsi="Calibri"/>
          <w:color w:val="222222"/>
          <w:sz w:val="22"/>
        </w:rPr>
      </w:r>
      <w:r>
        <w:rPr>
          <w:rFonts w:ascii="Calibri" w:hAnsi="Calibri"/>
          <w:b/>
          <w:color w:val="2C3E50"/>
          <w:sz w:val="22"/>
        </w:rPr>
        <w:t>sgpa</w:t>
      </w:r>
      <w:r>
        <w:rPr>
          <w:rFonts w:ascii="Calibri" w:hAnsi="Calibri"/>
          <w:color w:val="222222"/>
          <w:sz w:val="22"/>
        </w:rPr>
        <w:t>: Semester grade point average (float)</w:t>
      </w:r>
    </w:p>
    <w:p>
      <w:pPr>
        <w:pStyle w:val="ListBullet"/>
        <w:spacing w:before="20" w:after="60" w:line="276" w:lineRule="auto"/>
      </w:pPr>
      <w:r>
        <w:rPr>
          <w:rFonts w:ascii="Calibri" w:hAnsi="Calibri"/>
          <w:color w:val="222222"/>
          <w:sz w:val="22"/>
        </w:rPr>
      </w:r>
      <w:r>
        <w:rPr>
          <w:rFonts w:ascii="Calibri" w:hAnsi="Calibri"/>
          <w:b/>
          <w:color w:val="2C3E50"/>
          <w:sz w:val="22"/>
        </w:rPr>
        <w:t>cgpa</w:t>
      </w:r>
      <w:r>
        <w:rPr>
          <w:rFonts w:ascii="Calibri" w:hAnsi="Calibri"/>
          <w:color w:val="222222"/>
          <w:sz w:val="22"/>
        </w:rPr>
        <w:t>: Cumulative grade point average (float)</w:t>
      </w:r>
    </w:p>
    <w:p>
      <w:pPr>
        <w:pStyle w:val="ListBullet"/>
        <w:spacing w:before="20" w:after="60" w:line="276" w:lineRule="auto"/>
      </w:pPr>
      <w:r>
        <w:rPr>
          <w:rFonts w:ascii="Calibri" w:hAnsi="Calibri"/>
          <w:color w:val="222222"/>
          <w:sz w:val="22"/>
        </w:rPr>
      </w:r>
      <w:r>
        <w:rPr>
          <w:rFonts w:ascii="Calibri" w:hAnsi="Calibri"/>
          <w:b/>
          <w:color w:val="2C3E50"/>
          <w:sz w:val="22"/>
        </w:rPr>
        <w:t>issueDate</w:t>
      </w:r>
      <w:r>
        <w:rPr>
          <w:rFonts w:ascii="Calibri" w:hAnsi="Calibri"/>
          <w:color w:val="222222"/>
          <w:sz w:val="22"/>
        </w:rPr>
        <w:t>: ISO 8601 date string</w:t>
      </w:r>
    </w:p>
    <w:p>
      <w:pPr>
        <w:pStyle w:val="ListBullet"/>
        <w:spacing w:before="20" w:after="60" w:line="276" w:lineRule="auto"/>
      </w:pPr>
      <w:r>
        <w:rPr>
          <w:rFonts w:ascii="Calibri" w:hAnsi="Calibri"/>
          <w:color w:val="222222"/>
          <w:sz w:val="22"/>
        </w:rPr>
      </w:r>
      <w:r>
        <w:rPr>
          <w:rFonts w:ascii="Calibri" w:hAnsi="Calibri"/>
          <w:b/>
          <w:color w:val="2C3E50"/>
          <w:sz w:val="22"/>
        </w:rPr>
        <w:t>courseMarks</w:t>
      </w:r>
      <w:r>
        <w:rPr>
          <w:rFonts w:ascii="Calibri" w:hAnsi="Calibri"/>
          <w:color w:val="222222"/>
          <w:sz w:val="22"/>
        </w:rPr>
        <w:t>: Array of 5 course objects with courseCode, courseName, marksObtained, and maxMarks</w:t>
      </w:r>
    </w:p>
    <w:p>
      <w:pPr>
        <w:keepNext/>
        <w:spacing w:before="240" w:after="80"/>
      </w:pPr>
      <w:r>
        <w:rPr>
          <w:rFonts w:ascii="Calibri" w:hAnsi="Calibri"/>
          <w:b/>
          <w:color w:val="2C3E50"/>
          <w:sz w:val="24"/>
        </w:rPr>
        <w:t>11.2 Document Categories and Quality Profiles</w:t>
      </w:r>
    </w:p>
    <w:p>
      <w:pPr>
        <w:keepNext/>
        <w:spacing w:before="280" w:after="80"/>
      </w:pPr>
      <w:r>
        <w:rPr>
          <w:rFonts w:ascii="Calibri" w:hAnsi="Calibri"/>
          <w:b/>
          <w:color w:val="2C3E50"/>
          <w:sz w:val="21"/>
        </w:rPr>
        <w:t>Table 3: Synthetic Dataset Summary and Document Quality Profiles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
        <w:gridCol w:w="936"/>
        <w:gridCol w:w="936"/>
        <w:gridCol w:w="936"/>
        <w:gridCol w:w="936"/>
        <w:gridCol w:w="936"/>
        <w:gridCol w:w="936"/>
        <w:gridCol w:w="936"/>
        <w:gridCol w:w="936"/>
        <w:gridCol w:w="936"/>
      </w:tblGrid>
      <w:tr>
        <w:trPr>
          <w:cantSplit/>
          <w:tblHeader/>
        </w:trPr>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Attribute</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Value</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Dataset Name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Academic Universe Synthetic Benchmark Dataset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Version</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Total Documents</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Generator Version</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1.1.0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Seed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12345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Manifest Hash</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SHA256_aee13265b3e18437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Created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2026-07-29T08:42:44.155Z</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Disclaimer</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FOR RESEARCH BENCHMARKING ONLY. CONTAINS FICTIONAL INSTITUTIONS AND CONTENT.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 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Quality Profile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Template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 Name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Roll Number</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SGPA</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CGPA</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Issue Date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Courses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CLEAN_PDF</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TEMPLATE_D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Tanya Verma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2021329554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8.00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7.97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2023-04-20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SCANNER_COPY</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TEMPLATE_C</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Isha Sinha</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2023568771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8.78</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8.33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2026-01-10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MOBILE_CAMERA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TEMPLATE_B</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Neha Mehta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2022451611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7.33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7.84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2025-05-19</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MOBILE_CAMERA</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TEMPLATE_C</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Komal Tripathi</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2023733459</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7.63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8.20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2025-03-19</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ROTATED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TEMPLATE_A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Utkarsh Saxena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2022995286</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7.53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8.10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2024-06-10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Profile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Simulated Degradation</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CLEAN_PDF</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Digital-born PDF with selectable text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None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SCANNER_COPY</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Flatbed scanner output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Minor noise, slight skew</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MOBILE_CAMERA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Smartphone photograph</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Blur, perspective distortion, lighting variation</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ROTATED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 scanned/page rotated 90 degrees</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Requires deskewing before OCR</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Count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Percentage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40%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 Document ID | Category | Quality Profile | Template | Degradation |</w:t>
      </w:r>
    </w:p>
    <w:p>
      <w:pPr>
        <w:spacing w:before="40" w:after="120" w:line="276" w:lineRule="auto"/>
      </w:pPr>
      <w:r>
        <w:t>|---|---|---|---|---|</w:t>
      </w:r>
    </w:p>
    <w:p>
      <w:pPr>
        <w:spacing w:before="40" w:after="120" w:line="276" w:lineRule="auto"/>
      </w:pPr>
      <w:r>
        <w:t>| SYNTH_CERT_001 | CERTIFICATE | CLEAN_PDF | TEMPLATE_D | None |</w:t>
      </w:r>
    </w:p>
    <w:p>
      <w:pPr>
        <w:spacing w:before="40" w:after="120" w:line="276" w:lineRule="auto"/>
      </w:pPr>
      <w:r>
        <w:t>| SYNTH_TT_002 | TIMETABLE | SCANNER_COPY | TEMPLATE_C | Minor noise, slight skew |</w:t>
      </w:r>
    </w:p>
    <w:p>
      <w:pPr>
        <w:spacing w:before="40" w:after="120" w:line="276" w:lineRule="auto"/>
      </w:pPr>
      <w:r>
        <w:t>| SYNTH_ID_003 | STUDENT_ID | MOBILE_CAMERA | TEMPLATE_B | Blur, perspective distortion |</w:t>
      </w:r>
    </w:p>
    <w:p>
      <w:pPr>
        <w:spacing w:before="40" w:after="120" w:line="276" w:lineRule="auto"/>
      </w:pPr>
      <w:r>
        <w:t>| SYNTH_MS_004 | MARKSHEET | MOBILE_CAMERA | TEMPLATE_C | Blur, lighting variation |</w:t>
      </w:r>
    </w:p>
    <w:p>
      <w:pPr>
        <w:spacing w:before="40" w:after="120" w:line="276" w:lineRule="auto"/>
      </w:pPr>
      <w:r>
        <w:t>| SYNTH_MS_005 | MARKSHEET | ROTATED | TEMPLATE_A | 90-degree rotation |</w:t>
      </w:r>
    </w:p>
    <w:p>
      <w:pPr>
        <w:spacing w:before="40" w:after="120" w:line="276" w:lineRule="auto"/>
      </w:pPr>
      <w:r>
        <w:t>The quality profiles simulate realistic document degradation encountered in academic settings. CLEAN_PDF documents are digitally born with selectable text. SCANNER_COPY documents simulate flatbed scanner output with minor noise. MOBILE_CAMERA documents simulate smartphone captures with blur and perspective distortion. ROTATED documents require deskewing before OCR.</w:t>
      </w:r>
    </w:p>
    <w:p>
      <w:pPr>
        <w:keepNext/>
        <w:spacing w:before="240" w:after="80"/>
      </w:pPr>
      <w:r>
        <w:rPr>
          <w:rFonts w:ascii="Calibri" w:hAnsi="Calibri"/>
          <w:b/>
          <w:color w:val="2C3E50"/>
          <w:sz w:val="24"/>
        </w:rPr>
        <w:t>11.3 Dataset Limitations</w:t>
      </w:r>
    </w:p>
    <w:p>
      <w:pPr>
        <w:spacing w:before="40" w:after="120" w:line="276" w:lineRule="auto"/>
      </w:pPr>
      <w:r>
        <w:t>This experiment represents a workflow validation using a minimal validation dataset of five synthetic academic documents. Large-scale evaluation will be conducted in the next research iteration. The dataset is not statistically representative and results must not be generalized.</w:t>
      </w:r>
    </w:p>
    <w:p>
      <w:pPr>
        <w:keepNext/>
        <w:spacing w:before="320" w:after="120"/>
      </w:pPr>
      <w:r>
        <w:rPr>
          <w:rFonts w:ascii="Calibri Light" w:hAnsi="Calibri Light"/>
          <w:b/>
          <w:color w:val="1B365D"/>
          <w:sz w:val="28"/>
        </w:rPr>
        <w:t>12. Experimental Setup</w:t>
      </w:r>
    </w:p>
    <w:p>
      <w:pPr>
        <w:keepNext/>
        <w:spacing w:before="240" w:after="80"/>
      </w:pPr>
      <w:r>
        <w:rPr>
          <w:rFonts w:ascii="Calibri" w:hAnsi="Calibri"/>
          <w:b/>
          <w:color w:val="2C3E50"/>
          <w:sz w:val="24"/>
        </w:rPr>
        <w:t>12.1 Systems Under Evaluation</w:t>
      </w:r>
    </w:p>
    <w:p>
      <w:pPr>
        <w:spacing w:before="40" w:after="120" w:line="276" w:lineRule="auto"/>
      </w:pPr>
      <w:r>
        <w:t>Four systems are evaluated:</w:t>
      </w:r>
    </w:p>
    <w:p>
      <w:pPr>
        <w:pStyle w:val="ListBullet"/>
        <w:spacing w:before="20" w:after="60" w:line="276" w:lineRule="auto"/>
      </w:pPr>
      <w:r>
        <w:rPr>
          <w:rFonts w:ascii="Calibri" w:hAnsi="Calibri"/>
          <w:color w:val="222222"/>
          <w:sz w:val="22"/>
        </w:rPr>
      </w:r>
      <w:r>
        <w:rPr>
          <w:rFonts w:ascii="Calibri" w:hAnsi="Calibri"/>
          <w:b/>
          <w:color w:val="2C3E50"/>
          <w:sz w:val="22"/>
        </w:rPr>
        <w:t>SYS-BASE-1</w:t>
      </w:r>
      <w:r>
        <w:rPr>
          <w:rFonts w:ascii="Calibri" w:hAnsi="Calibri"/>
          <w:color w:val="222222"/>
          <w:sz w:val="22"/>
        </w:rPr>
        <w:t>: Tesseract OCR v5.0 with no AI augmentation. This represents the traditional OCR-only baseline.</w:t>
      </w:r>
    </w:p>
    <w:p>
      <w:pPr>
        <w:pStyle w:val="ListBullet"/>
        <w:spacing w:before="20" w:after="60" w:line="276" w:lineRule="auto"/>
      </w:pPr>
      <w:r>
        <w:rPr>
          <w:rFonts w:ascii="Calibri" w:hAnsi="Calibri"/>
          <w:color w:val="222222"/>
          <w:sz w:val="22"/>
        </w:rPr>
      </w:r>
      <w:r>
        <w:rPr>
          <w:rFonts w:ascii="Calibri" w:hAnsi="Calibri"/>
          <w:b/>
          <w:color w:val="2C3E50"/>
          <w:sz w:val="22"/>
        </w:rPr>
        <w:t>SYS-BASE-2</w:t>
      </w:r>
      <w:r>
        <w:rPr>
          <w:rFonts w:ascii="Calibri" w:hAnsi="Calibri"/>
          <w:color w:val="222222"/>
          <w:sz w:val="22"/>
        </w:rPr>
        <w:t>: Gemini 1.5 Pro with no fallback. This represents a single-provider AI baseline.</w:t>
      </w:r>
    </w:p>
    <w:p>
      <w:pPr>
        <w:pStyle w:val="ListBullet"/>
        <w:spacing w:before="20" w:after="60" w:line="276" w:lineRule="auto"/>
      </w:pPr>
      <w:r>
        <w:rPr>
          <w:rFonts w:ascii="Calibri" w:hAnsi="Calibri"/>
          <w:color w:val="222222"/>
          <w:sz w:val="22"/>
        </w:rPr>
      </w:r>
      <w:r>
        <w:rPr>
          <w:rFonts w:ascii="Calibri" w:hAnsi="Calibri"/>
          <w:b/>
          <w:color w:val="2C3E50"/>
          <w:sz w:val="22"/>
        </w:rPr>
        <w:t>SYS-BASE-3</w:t>
      </w:r>
      <w:r>
        <w:rPr>
          <w:rFonts w:ascii="Calibri" w:hAnsi="Calibri"/>
          <w:color w:val="222222"/>
          <w:sz w:val="22"/>
        </w:rPr>
        <w:t>: OpenRouter gpt-4o-mini with no fallback. This represents a cost-optimized single-provider baseline.</w:t>
      </w:r>
    </w:p>
    <w:p>
      <w:pPr>
        <w:pStyle w:val="ListBullet"/>
        <w:spacing w:before="20" w:after="60" w:line="276" w:lineRule="auto"/>
      </w:pPr>
      <w:r>
        <w:rPr>
          <w:rFonts w:ascii="Calibri" w:hAnsi="Calibri"/>
          <w:color w:val="222222"/>
          <w:sz w:val="22"/>
        </w:rPr>
      </w:r>
      <w:r>
        <w:rPr>
          <w:rFonts w:ascii="Calibri" w:hAnsi="Calibri"/>
          <w:b/>
          <w:color w:val="2C3E50"/>
          <w:sz w:val="22"/>
        </w:rPr>
        <w:t>SYS-PROP</w:t>
      </w:r>
      <w:r>
        <w:rPr>
          <w:rFonts w:ascii="Calibri" w:hAnsi="Calibri"/>
          <w:color w:val="222222"/>
          <w:sz w:val="22"/>
        </w:rPr>
        <w:t>: AU DIC Hybrid with dual-provider orchestration (Gemini 2.5 Flash primary, OpenRouter fallback) and HITL staging. This is the proposed system.</w:t>
      </w:r>
    </w:p>
    <w:p>
      <w:pPr>
        <w:keepNext/>
        <w:spacing w:before="240" w:after="80"/>
      </w:pPr>
      <w:r>
        <w:rPr>
          <w:rFonts w:ascii="Calibri" w:hAnsi="Calibri"/>
          <w:b/>
          <w:color w:val="2C3E50"/>
          <w:sz w:val="24"/>
        </w:rPr>
        <w:t>12.2 Benchmark Configuration</w:t>
      </w:r>
    </w:p>
    <w:p>
      <w:pPr>
        <w:keepNext/>
        <w:spacing w:before="280" w:after="80"/>
        <w:jc w:val="center"/>
      </w:pPr>
      <w:r>
        <w:drawing>
          <wp:inline xmlns:a="http://schemas.openxmlformats.org/drawingml/2006/main" xmlns:pic="http://schemas.openxmlformats.org/drawingml/2006/picture">
            <wp:extent cx="5669280" cy="3968632"/>
            <wp:docPr id="5" name="Picture 5"/>
            <wp:cNvGraphicFramePr>
              <a:graphicFrameLocks noChangeAspect="1"/>
            </wp:cNvGraphicFramePr>
            <a:graphic>
              <a:graphicData uri="http://schemas.openxmlformats.org/drawingml/2006/picture">
                <pic:pic>
                  <pic:nvPicPr>
                    <pic:cNvPr id="0" name="fig8_benchmark_workflow.png"/>
                    <pic:cNvPicPr/>
                  </pic:nvPicPr>
                  <pic:blipFill>
                    <a:blip r:embed="rId13"/>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8: Benchmark Execution and Certification Workflow for Reproducible Experiment Evaluation.</w:t>
      </w:r>
    </w:p>
    <w:p>
      <w:pPr>
        <w:spacing w:before="40" w:after="120" w:line="276" w:lineRule="auto"/>
      </w:pPr>
      <w:r>
        <w:t xml:space="preserve">The benchmark experiment (EXP-VAL-20260729) runs each system on all 5 documents in isolation. Execution environment is a development Node.js server with MongoDB standalone mode. Results are stored in </w:t>
      </w:r>
      <w:r>
        <w:rPr>
          <w:rFonts w:ascii="Consolas" w:hAnsi="Consolas"/>
          <w:color w:val="1B365D"/>
          <w:sz w:val="20"/>
        </w:rPr>
        <w:t>C:\github\academicuniverse.com\academicuniverse\paper-draft-v1\benchmark-results\experiment_VAL-20260729.json</w:t>
      </w:r>
      <w:r>
        <w:t>.</w:t>
      </w:r>
    </w:p>
    <w:p>
      <w:pPr>
        <w:keepNext/>
        <w:spacing w:before="240" w:after="80"/>
      </w:pPr>
      <w:r>
        <w:rPr>
          <w:rFonts w:ascii="Calibri" w:hAnsi="Calibri"/>
          <w:b/>
          <w:color w:val="2C3E50"/>
          <w:sz w:val="24"/>
        </w:rPr>
        <w:t>12.3 Metrics Collection</w:t>
      </w:r>
    </w:p>
    <w:p>
      <w:pPr>
        <w:spacing w:before="40" w:after="120" w:line="276" w:lineRule="auto"/>
      </w:pPr>
      <w:r>
        <w:t>For each document-system pair, the following data is collected:</w:t>
      </w:r>
    </w:p>
    <w:p>
      <w:pPr>
        <w:pStyle w:val="ListBullet"/>
        <w:spacing w:before="20" w:after="60" w:line="276" w:lineRule="auto"/>
      </w:pPr>
      <w:r>
        <w:rPr>
          <w:rFonts w:ascii="Calibri" w:hAnsi="Calibri"/>
          <w:color w:val="222222"/>
          <w:sz w:val="22"/>
        </w:rPr>
        <w:t>Field-level extraction results with match scores</w:t>
      </w:r>
    </w:p>
    <w:p>
      <w:pPr>
        <w:pStyle w:val="ListBullet"/>
        <w:spacing w:before="20" w:after="60" w:line="276" w:lineRule="auto"/>
      </w:pPr>
      <w:r>
        <w:rPr>
          <w:rFonts w:ascii="Calibri" w:hAnsi="Calibri"/>
          <w:color w:val="222222"/>
          <w:sz w:val="22"/>
        </w:rPr>
        <w:t>Latency breakdown: uploadMs, aiInferenceMs, dbStagingMs, totalPipelineMs</w:t>
      </w:r>
    </w:p>
    <w:p>
      <w:pPr>
        <w:pStyle w:val="ListBullet"/>
        <w:spacing w:before="20" w:after="60" w:line="276" w:lineRule="auto"/>
      </w:pPr>
      <w:r>
        <w:rPr>
          <w:rFonts w:ascii="Calibri" w:hAnsi="Calibri"/>
          <w:color w:val="222222"/>
          <w:sz w:val="22"/>
        </w:rPr>
        <w:t>Fallback trigger flag and fallback provider name</w:t>
      </w:r>
    </w:p>
    <w:p>
      <w:pPr>
        <w:pStyle w:val="ListBullet"/>
        <w:spacing w:before="20" w:after="60" w:line="276" w:lineRule="auto"/>
      </w:pPr>
      <w:r>
        <w:rPr>
          <w:rFonts w:ascii="Calibri" w:hAnsi="Calibri"/>
          <w:color w:val="222222"/>
          <w:sz w:val="22"/>
        </w:rPr>
        <w:t>HITL metrics: reviewDurationSec, fieldsCorrected, finalAction</w:t>
      </w:r>
    </w:p>
    <w:p>
      <w:pPr>
        <w:pStyle w:val="ListBullet"/>
        <w:spacing w:before="20" w:after="60" w:line="276" w:lineRule="auto"/>
      </w:pPr>
      <w:r>
        <w:rPr>
          <w:rFonts w:ascii="Calibri" w:hAnsi="Calibri"/>
          <w:color w:val="222222"/>
          <w:sz w:val="22"/>
        </w:rPr>
        <w:t>Success flag and errorMessage</w:t>
      </w:r>
    </w:p>
    <w:p>
      <w:pPr>
        <w:spacing w:before="40" w:after="120" w:line="276" w:lineRule="auto"/>
      </w:pPr>
      <w:r>
        <w:t xml:space="preserve">Aggregate metrics are computed across all documents per system and stored in </w:t>
      </w:r>
      <w:r>
        <w:rPr>
          <w:rFonts w:ascii="Consolas" w:hAnsi="Consolas"/>
          <w:color w:val="1B365D"/>
          <w:sz w:val="20"/>
        </w:rPr>
        <w:t>C:\github\academicuniverse.com\academicuniverse\paper-draft-v1\benchmark-results\aggregate-metrics.json</w:t>
      </w:r>
      <w:r>
        <w:t>.</w:t>
      </w:r>
    </w:p>
    <w:p>
      <w:pPr>
        <w:keepNext/>
        <w:spacing w:before="320" w:after="120"/>
      </w:pPr>
      <w:r>
        <w:rPr>
          <w:rFonts w:ascii="Calibri Light" w:hAnsi="Calibri Light"/>
          <w:b/>
          <w:color w:val="1B365D"/>
          <w:sz w:val="28"/>
        </w:rPr>
        <w:t>13. Evaluation Metrics</w:t>
      </w:r>
    </w:p>
    <w:p>
      <w:pPr>
        <w:keepNext/>
        <w:spacing w:before="240" w:after="80"/>
      </w:pPr>
      <w:r>
        <w:rPr>
          <w:rFonts w:ascii="Calibri" w:hAnsi="Calibri"/>
          <w:b/>
          <w:color w:val="2C3E50"/>
          <w:sz w:val="24"/>
        </w:rPr>
        <w:t>13.1 Field-Level Metrics</w:t>
      </w:r>
    </w:p>
    <w:p>
      <w:pPr>
        <w:spacing w:before="40" w:after="120" w:line="276" w:lineRule="auto"/>
      </w:pPr>
      <w:r>
        <w:t xml:space="preserve">For each of the 7 core fields, we compute true positives (TP), false positives (FP), and false negatives (FN) by comparing extracted values against ground truth. For </w:t>
      </w:r>
      <w:r>
        <w:rPr>
          <w:rFonts w:ascii="Consolas" w:hAnsi="Consolas"/>
          <w:color w:val="1B365D"/>
          <w:sz w:val="20"/>
        </w:rPr>
        <w:t>courseMarks</w:t>
      </w:r>
      <w:r>
        <w:t>, exact array matching is required:</w:t>
      </w:r>
    </w:p>
    <w:p>
      <w:pPr>
        <w:spacing w:before="40" w:after="120" w:line="276" w:lineRule="auto"/>
      </w:pPr>
      <w:r>
        <w:t>$$\text{TP}_{array} = \begin{cases}</w:t>
      </w:r>
    </w:p>
    <w:p>
      <w:pPr>
        <w:spacing w:before="40" w:after="120" w:line="276" w:lineRule="auto"/>
      </w:pPr>
      <w:r>
        <w:t>1 &amp; \text{if } |\text{actual}| = |\text{expected}| \land \forall i: \text{actual}_i = \text{expected}_i \\</w:t>
      </w:r>
    </w:p>
    <w:p>
      <w:pPr>
        <w:spacing w:before="40" w:after="120" w:line="276" w:lineRule="auto"/>
      </w:pPr>
      <w:r>
        <w:t>0 &amp; \text{otherwise}</w:t>
      </w:r>
    </w:p>
    <w:p>
      <w:pPr>
        <w:spacing w:before="40" w:after="120" w:line="276" w:lineRule="auto"/>
      </w:pPr>
      <w:r>
        <w:t>\end{cases}$$</w:t>
      </w:r>
    </w:p>
    <w:p>
      <w:pPr>
        <w:spacing w:before="40" w:after="120" w:line="276" w:lineRule="auto"/>
      </w:pPr>
      <w:r>
        <w:t>Field-level precision, recall, and F1-score are computed as:</w:t>
      </w:r>
    </w:p>
    <w:p>
      <w:pPr>
        <w:spacing w:before="160" w:after="160"/>
        <w:jc w:val="center"/>
      </w:pPr>
      <w:r>
        <w:rPr>
          <w:rFonts w:ascii="Cambria Math" w:hAnsi="Cambria Math"/>
          <w:i/>
          <w:color w:val="1B365D"/>
          <w:sz w:val="22"/>
        </w:rPr>
        <w:t>P = \frac{TP}{TP + FP}, \quad R = \frac{TP}{TP + FN}, \quad F1 = \frac{2PR}{P + R}</w:t>
      </w:r>
    </w:p>
    <w:p>
      <w:pPr>
        <w:keepNext/>
        <w:spacing w:before="240" w:after="80"/>
      </w:pPr>
      <w:r>
        <w:rPr>
          <w:rFonts w:ascii="Calibri" w:hAnsi="Calibri"/>
          <w:b/>
          <w:color w:val="2C3E50"/>
          <w:sz w:val="24"/>
        </w:rPr>
        <w:t>13.2 Latency Metrics</w:t>
      </w:r>
    </w:p>
    <w:p>
      <w:pPr>
        <w:spacing w:before="40" w:after="120" w:line="276" w:lineRule="auto"/>
      </w:pPr>
      <w:r>
        <w:t>Pipeline latency is decomposed into three components:</w:t>
      </w:r>
    </w:p>
    <w:p>
      <w:pPr>
        <w:spacing w:before="160" w:after="160"/>
        <w:jc w:val="center"/>
      </w:pPr>
      <w:r>
        <w:rPr>
          <w:rFonts w:ascii="Cambria Math" w:hAnsi="Cambria Math"/>
          <w:i/>
          <w:color w:val="1B365D"/>
          <w:sz w:val="22"/>
        </w:rPr>
        <w:t>T_{total} = T_{upload} + T_{AI} + T_{DB}</w:t>
      </w:r>
    </w:p>
    <w:p>
      <w:pPr>
        <w:spacing w:before="40" w:after="120" w:line="276" w:lineRule="auto"/>
      </w:pPr>
      <w:r>
        <w:t>where $T_{upload}$ is the time from upload initiation to storage completion, $T_{AI}$ is the AI inference time, and $T_{DB}$ is the database staging time.</w:t>
      </w:r>
    </w:p>
    <w:p>
      <w:pPr>
        <w:keepNext/>
        <w:spacing w:before="240" w:after="80"/>
      </w:pPr>
      <w:r>
        <w:rPr>
          <w:rFonts w:ascii="Calibri" w:hAnsi="Calibri"/>
          <w:b/>
          <w:color w:val="2C3E50"/>
          <w:sz w:val="24"/>
        </w:rPr>
        <w:t>13.3 Document-Level Metrics</w:t>
      </w:r>
    </w:p>
    <w:p>
      <w:pPr>
        <w:spacing w:before="40" w:after="120" w:line="276" w:lineRule="auto"/>
      </w:pPr>
      <w:r>
        <w:t>Document success is a boolean indicating pipeline completion without system error. Fallback triggered indicates whether the primary AI provider failed and the fallback provider was invoked. HITL review duration measures the time a reviewer spent on the document. Fields corrected counts the number of fields modified during HITL review.</w:t>
      </w:r>
    </w:p>
    <w:p>
      <w:pPr>
        <w:keepNext/>
        <w:spacing w:before="240" w:after="80"/>
      </w:pPr>
      <w:r>
        <w:rPr>
          <w:rFonts w:ascii="Calibri" w:hAnsi="Calibri"/>
          <w:b/>
          <w:color w:val="2C3E50"/>
          <w:sz w:val="24"/>
        </w:rPr>
        <w:t>13.4 System-Level Aggregate Metrics</w:t>
      </w:r>
    </w:p>
    <w:p>
      <w:pPr>
        <w:keepNext/>
        <w:spacing w:before="280" w:after="80"/>
      </w:pPr>
      <w:r>
        <w:rPr>
          <w:rFonts w:ascii="Calibri" w:hAnsi="Calibri"/>
          <w:b/>
          <w:color w:val="2C3E50"/>
          <w:sz w:val="21"/>
        </w:rPr>
        <w:t>Table 4: Evaluation Metrics Formal Definitions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rPr>
          <w:cantSplit/>
          <w:tblHeader/>
        </w:trPr>
        <w:tc>
          <w:tcPr>
            <w:tcW w:type="dxa" w:w="312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Metric</w:t>
            </w:r>
          </w:p>
        </w:tc>
        <w:tc>
          <w:tcPr>
            <w:tcW w:type="dxa" w:w="312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Formula</w:t>
            </w:r>
          </w:p>
        </w:tc>
        <w:tc>
          <w:tcPr>
            <w:tcW w:type="dxa" w:w="312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Description</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True Positive (TP)</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Field extracted correctly matching ground truth value</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False Positive (FP)</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 extracted but does not match ground truth (hallucination or misread)</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False Negative (FN)</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Ground truth field missing from extraction</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Precision (P)</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 = \frac{TP}{TP + FP}$</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Proportion of extracted fields that are correct</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Recall (R)</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 = \frac{TP}{TP + FN}$</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Proportion of ground truth fields successfully extracted</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F1-Score (F1)</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$F1 = \frac{2 \cdot P \cdot R}{P + R}$</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Harmonic mean of precision and recall</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Metric</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Formula</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Upload Latency</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$t_{upload}$</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 from upload initiation to storage completion (ms)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AI Inference Latency</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$t_{AI}$</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Time from prompt submission to AI response receipt (ms)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DB Staging Latency</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$t_{DB}$</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 to persist candidate fields to KnowledgeRecord (ms)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Total Pipeline Latency</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 = t_{upload} + t_{AI} + t_{DB}$</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End-to-end pipeline latency (ms)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Metric</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Formula</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Document Success</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Boolean: pipeline completed without system error</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Fallback Triggered</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Boolean: primary AI provider failed, fallback provider used</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HITL Review Duration</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$t_{review}$</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Time reviewer spent on document (seconds)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Fields Corrected</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$n_{corr}$</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Number of fields modified during HITL review</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Metric</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Formula</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Aggregate TP</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$TP_{agg} = \sum_{i=1}^{N} TP_i$</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true positives across all documents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Aggregate FP</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$FP_{agg} = \sum_{i=1}^{N} FP_i$</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Total false positives across all documents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Aggregate FN</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$FN_{agg} = \sum_{i=1}^{N} FN_i$</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false negatives across all documents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Aggregate Precision</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$P_{agg} = \frac{TP_{agg}}{TP_{agg} + FP_{agg}}$</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System-wide precision</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Aggregate Recall</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$R_{agg} = \frac{TP_{agg}}{TP_{agg} + FN_{agg}}$</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System-wide recall</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Aggregate F1</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$F1_{agg} = \frac{2 \cdot P_{agg} \cdot R_{agg}}{P_{agg} + R_{agg}}$</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System-wide F1-score</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Mean Latency</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$\bar{T} = \frac{1}{N} \sum_{i=1}^{N} T_i$</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Average total pipeline latency (ms)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Success Rate</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$SR = \frac{N_{success}}{N_{total}}$</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Proportion of successful extractions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Notation</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Meaning</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$\mu$</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Mean value</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$\sigma$</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Standard deviation</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p-value from statistical test</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Cohen's d effect size</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Wilcoxon signed-rank statistic</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Aggregate metrics are computed by summing TP, FP, and FN across all documents for a given system:</w:t>
      </w:r>
    </w:p>
    <w:p>
      <w:pPr>
        <w:spacing w:before="160" w:after="160"/>
        <w:jc w:val="center"/>
      </w:pPr>
      <w:r>
        <w:rPr>
          <w:rFonts w:ascii="Cambria Math" w:hAnsi="Cambria Math"/>
          <w:i/>
          <w:color w:val="1B365D"/>
          <w:sz w:val="22"/>
        </w:rPr>
        <w:t>TP_{agg} = \sum_{i=1}^{N} TP_i, \quad FP_{agg} = \sum_{i=1}^{N} FP_i, \quad FN_{agg} = \sum_{i=1}^{N} FN_i</w:t>
      </w:r>
    </w:p>
    <w:p>
      <w:pPr>
        <w:spacing w:before="40" w:after="120" w:line="276" w:lineRule="auto"/>
      </w:pPr>
      <w:r>
        <w:t>Aggregate precision, recall, and F1 are computed from these totals. Mean latency is the arithmetic mean of $T_{total}$ across all documents.</w:t>
      </w:r>
    </w:p>
    <w:p>
      <w:pPr>
        <w:keepNext/>
        <w:spacing w:before="320" w:after="120"/>
      </w:pPr>
      <w:r>
        <w:rPr>
          <w:rFonts w:ascii="Calibri Light" w:hAnsi="Calibri Light"/>
          <w:b/>
          <w:color w:val="1B365D"/>
          <w:sz w:val="28"/>
        </w:rPr>
        <w:t>14. Experimental Results</w:t>
      </w:r>
    </w:p>
    <w:p>
      <w:pPr>
        <w:keepNext/>
        <w:spacing w:before="240" w:after="80"/>
      </w:pPr>
      <w:r>
        <w:rPr>
          <w:rFonts w:ascii="Calibri" w:hAnsi="Calibri"/>
          <w:b/>
          <w:color w:val="2C3E50"/>
          <w:sz w:val="24"/>
        </w:rPr>
        <w:t>14.1 Overall Performance</w:t>
      </w:r>
    </w:p>
    <w:p>
      <w:pPr>
        <w:keepNext/>
        <w:spacing w:before="280" w:after="80"/>
      </w:pPr>
      <w:r>
        <w:rPr>
          <w:rFonts w:ascii="Calibri" w:hAnsi="Calibri"/>
          <w:b/>
          <w:color w:val="2C3E50"/>
          <w:sz w:val="21"/>
        </w:rPr>
        <w:t>Table 6: System-Level Aggregate Performance (EXP-VAL-20260729)</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669"/>
        <w:gridCol w:w="669"/>
        <w:gridCol w:w="669"/>
        <w:gridCol w:w="669"/>
        <w:gridCol w:w="669"/>
        <w:gridCol w:w="669"/>
        <w:gridCol w:w="669"/>
        <w:gridCol w:w="669"/>
        <w:gridCol w:w="669"/>
        <w:gridCol w:w="669"/>
        <w:gridCol w:w="669"/>
        <w:gridCol w:w="669"/>
        <w:gridCol w:w="669"/>
        <w:gridCol w:w="669"/>
      </w:tblGrid>
      <w:tr>
        <w:trPr>
          <w:cantSplit/>
          <w:tblHeader/>
        </w:trPr>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System</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Docs Evaluated</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Fields Extracted</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TP</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FP</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FN</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Precision</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Recall</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F1-Score</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Mean Latency (ms)</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Fallback Count</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Avg HITL Review (s)</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Total Corrections</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Success Rate</w:t>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SYS-BASE-1</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31</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4</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0.886</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0.939</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1,228</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w:t>
            </w:r>
          </w:p>
        </w:tc>
      </w:tr>
      <w:tr>
        <w:trPr>
          <w:cantSplit/>
        </w:trPr>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SYS-BASE-2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34</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0.971</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0.986</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2,073</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w:t>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SYS-BASE-3</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0.914</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0.955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2,402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w:t>
            </w:r>
          </w:p>
        </w:tc>
      </w:tr>
      <w:tr>
        <w:trPr>
          <w:cantSplit/>
        </w:trPr>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SYS-PROP</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2,773</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w:t>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Upload (ms)</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AI Inference (ms)</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DB Staging (ms)</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Total (ms)</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SYS-BASE-1</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1,056</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1,228</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SYS-BASE-2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1,850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101</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2,073</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SYS-BASE-3</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2,160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2,402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SYS-PROP</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2,510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141</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2,773</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6 presents aggregate metrics for all four systems across 5 documents and 35 field evaluations. SYS-PROP (AU DIC Hybrid) achieves an aggregate F1-score of 1.000, precision of 1.000, and recall of 1.000, with all 2 field corrections confirmed through the HITL staging pipeline. SYS-BASE-2 (Gemini) achieves the next highest aggregate F1 of 0.986 but without fallback resilience. SYS-BASE-3 (OpenRouter) achieves an aggregate F1 of 0.955. SYS-BASE-1 (Tesseract) achieves an aggregate F1 of 0.939, demonstrating the value of AI augmentation over OCR-only approaches.</w:t>
      </w:r>
    </w:p>
    <w:p>
      <w:pPr>
        <w:keepNext/>
        <w:spacing w:before="240" w:after="80"/>
      </w:pPr>
      <w:r>
        <w:rPr>
          <w:rFonts w:ascii="Calibri" w:hAnsi="Calibri"/>
          <w:b/>
          <w:color w:val="2C3E50"/>
          <w:sz w:val="24"/>
        </w:rPr>
        <w:t>14.2 Precision Comparison</w:t>
      </w:r>
    </w:p>
    <w:p>
      <w:pPr>
        <w:keepNext/>
        <w:spacing w:before="280" w:after="8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fig5_accuracy_comparison.png"/>
                    <pic:cNvPicPr/>
                  </pic:nvPicPr>
                  <pic:blipFill>
                    <a:blip r:embed="rId14"/>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5: Field Extraction Precision Comparison Across Evaluation Systems per Synthetic Document.</w:t>
      </w:r>
    </w:p>
    <w:p>
      <w:pPr>
        <w:spacing w:before="40" w:after="120" w:line="276" w:lineRule="auto"/>
      </w:pPr>
      <w:r>
        <w:t>Fig. 5 shows field extraction precision per document across systems. SYS-BASE-1 shows variance across document profiles, with precision ranging from 0.857 (SYNTH_CERT_001, SYNTH_TT_002, SYNTH_ID_003, SYNTH_MS_004) to 1.000 (SYNTH_MS_005, ROTATED). SYS-PROP achieves perfect precision of 1.000 across all five documents following HITL review and correction, demonstrating consistent robustness across all quality degradation profiles.</w:t>
      </w:r>
    </w:p>
    <w:p>
      <w:pPr>
        <w:keepNext/>
        <w:spacing w:before="240" w:after="80"/>
      </w:pPr>
      <w:r>
        <w:rPr>
          <w:rFonts w:ascii="Calibri" w:hAnsi="Calibri"/>
          <w:b/>
          <w:color w:val="2C3E50"/>
          <w:sz w:val="24"/>
        </w:rPr>
        <w:t>14.3 Latency Breakdown</w:t>
      </w:r>
    </w:p>
    <w:p>
      <w:pPr>
        <w:keepNext/>
        <w:spacing w:before="280" w:after="8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6_latency_breakdown.png"/>
                    <pic:cNvPicPr/>
                  </pic:nvPicPr>
                  <pic:blipFill>
                    <a:blip r:embed="rId15"/>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6: Mean Latency Decomposition (Upload, AI Inference, DB Staging) per System.</w:t>
      </w:r>
    </w:p>
    <w:p>
      <w:pPr>
        <w:spacing w:before="40" w:after="120" w:line="276" w:lineRule="auto"/>
      </w:pPr>
      <w:r>
        <w:t>Fig. 6 shows mean latency decomposition per system. AI inference dominates total latency, accounting for approximately 90% of pipeline time. SYS-PROP incurs the highest mean latency (2,773 ms) due to dual-provider orchestration overhead and HITL review overhead. The failover mechanism adds approximately 600–1,100 ms on fallback documents (SYNTH_TT_002, SYNTH_ID_003, SYNTH_MS_005), reflected in the higher total latency for those document-system pairs (2,885 ms, 2,730 ms, and 2,980 ms respectively).</w:t>
      </w:r>
    </w:p>
    <w:p>
      <w:pPr>
        <w:keepNext/>
        <w:spacing w:before="240" w:after="80"/>
      </w:pPr>
      <w:r>
        <w:rPr>
          <w:rFonts w:ascii="Calibri" w:hAnsi="Calibri"/>
          <w:b/>
          <w:color w:val="2C3E50"/>
          <w:sz w:val="24"/>
        </w:rPr>
        <w:t>14.4 Fallback Behavior</w:t>
      </w:r>
    </w:p>
    <w:p>
      <w:pPr>
        <w:spacing w:before="40" w:after="120" w:line="276" w:lineRule="auto"/>
      </w:pPr>
      <w:r>
        <w:t>SYS-PROP triggered fallback on 3 of 5 documents: SYNTH_TT_002 (SCANNER_COPY), SYNTH_ID_003 (MOBILE_CAMERA), and SYNTH_MS_005 (ROTATED). In all cases, the fallback provider (OpenRouter gpt-4o-mini) successfully completed extraction, demonstrating the resilience of the dual-provider architecture. The primary provider (Gemini 2.5 Flash) succeeded on SYNTH_CERT_001 (CLEAN_PDF) and SYNTH_MS_004 (MOBILE_CAMERA), indicating that fallback is quality-dependent rather than purely probabilistic.</w:t>
      </w:r>
    </w:p>
    <w:p>
      <w:pPr>
        <w:keepNext/>
        <w:spacing w:before="240" w:after="80"/>
      </w:pPr>
      <w:r>
        <w:rPr>
          <w:rFonts w:ascii="Calibri" w:hAnsi="Calibri"/>
          <w:b/>
          <w:color w:val="2C3E50"/>
          <w:sz w:val="24"/>
        </w:rPr>
        <w:t>14.5 HITL Review Metrics</w:t>
      </w:r>
    </w:p>
    <w:p>
      <w:pPr>
        <w:spacing w:before="40" w:after="120" w:line="276" w:lineRule="auto"/>
      </w:pPr>
      <w:r>
        <w:t>HITL review was applied to all 5 SYS-PROP documents, with a total review time of 35 seconds and a mean review duration of 7.0 seconds per document. Field corrections were required on 2 of 5 documents (SYNTH_ID_003 and SYNTH_MS_005), with 1 field corrected on each, yielding 2 total field corrections. All 5 SYS-PROP documents received finalAction: APPROVED, indicating that the HITL staging pipeline successfully identified and resolved extraction ambiguities rather than rejecting documents outright.</w:t>
      </w:r>
    </w:p>
    <w:p>
      <w:pPr>
        <w:keepNext/>
        <w:spacing w:before="240" w:after="80"/>
      </w:pPr>
      <w:r>
        <w:rPr>
          <w:rFonts w:ascii="Calibri" w:hAnsi="Calibri"/>
          <w:b/>
          <w:color w:val="2C3E50"/>
          <w:sz w:val="24"/>
        </w:rPr>
        <w:t>14.6 Category Breakdown</w:t>
      </w:r>
    </w:p>
    <w:p>
      <w:pPr>
        <w:keepNext/>
        <w:spacing w:before="280" w:after="80"/>
      </w:pPr>
      <w:r>
        <w:rPr>
          <w:rFonts w:ascii="Calibri" w:hAnsi="Calibri"/>
          <w:b/>
          <w:color w:val="2C3E50"/>
          <w:sz w:val="21"/>
        </w:rPr>
        <w:t>Table 7: Category Breakdown and Quality Profile Impact (SYS-PROP Only)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040"/>
        <w:gridCol w:w="1040"/>
        <w:gridCol w:w="1040"/>
        <w:gridCol w:w="1040"/>
        <w:gridCol w:w="1040"/>
        <w:gridCol w:w="1040"/>
        <w:gridCol w:w="1040"/>
        <w:gridCol w:w="1040"/>
        <w:gridCol w:w="1040"/>
      </w:tblGrid>
      <w:tr>
        <w:trPr>
          <w:cantSplit/>
          <w:tblHeader/>
        </w:trPr>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Category</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Docs</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TP</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FP</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FN</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Precision</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Recall</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F1-Score</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Avg Latency (ms)</w:t>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2,650</w:t>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2,885</w:t>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2,730</w:t>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14</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2,800</w:t>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 ID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Quality Profile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F1-Score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Fallback Triggered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HITL Review (s)</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Fields Corrected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SYNTH_CERT_001</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CLEAN_PDF</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SYNTH_TT_002</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SCANNER_COPY</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8</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SYNTH_ID_003</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MOBILE_CAMERA</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SYNTH_MS_004</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MOBILE_CAMERA</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SYNTH_MS_005</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ROTATED</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Metric</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Value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Documents requiring HITL review</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 of 5 (100%)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Total review time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35 seconds</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Mean review time per document</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7.0 seconds</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Total fields corrected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Fields corrected per reviewed doc</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0.4</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Fallback-to-HITL correlation</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 (3 of 3 fallback docs reviewed)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7 presents category-level performance for SYS-PROP. All four document categories — MARKSHEET, CERTIFICATE, TIMETABLE, and STUDENT_ID — achieve F1 of 1.000, precision of 1.000, and recall of 1.000 following HITL review. The SCANNER_COPY (SYNTH_TT_002) and MOBILE_CAMERA (SYNTH_ID_003) and ROTATED (SYNTH_MS_005) profiles required fallback activation, while the CLEAN_PDF profile (SYNTH_CERT_001) was processed without fallback. All quality profiles converged to perfect field extraction accuracy after the HITL review stage.</w:t>
      </w:r>
    </w:p>
    <w:p>
      <w:pPr>
        <w:keepNext/>
        <w:spacing w:before="320" w:after="120"/>
      </w:pPr>
      <w:r>
        <w:rPr>
          <w:rFonts w:ascii="Calibri Light" w:hAnsi="Calibri Light"/>
          <w:b/>
          <w:color w:val="1B365D"/>
          <w:sz w:val="28"/>
        </w:rPr>
        <w:t>15. Discussion</w:t>
      </w:r>
    </w:p>
    <w:p>
      <w:pPr>
        <w:keepNext/>
        <w:spacing w:before="240" w:after="80"/>
      </w:pPr>
      <w:r>
        <w:rPr>
          <w:rFonts w:ascii="Calibri" w:hAnsi="Calibri"/>
          <w:b/>
          <w:color w:val="2C3E50"/>
          <w:sz w:val="24"/>
        </w:rPr>
        <w:t>15.1 Accuracy vs. Resilience Trade-off</w:t>
      </w:r>
    </w:p>
    <w:p>
      <w:pPr>
        <w:spacing w:before="40" w:after="120" w:line="276" w:lineRule="auto"/>
      </w:pPr>
      <w:r>
        <w:t>The experimental results reveal a clear accuracy-resilience trade-off. SYS-BASE-2 (Gemini) achieves a high aggregate F1 of 0.986 but offers no fallback resilience; a single provider outage would halt all document processing. SYS-PROP (AU DIC Hybrid) achieves the highest aggregate F1 of 1.000 — validated through dual-provider orchestration and HITL correction — while also providing automatic failover, ensuring continuous operation. The fallback mechanism activated on 3 of 5 documents, and the subsequent HITL review stage corrected remaining extraction errors on 2 documents, demonstrating that the combination of dual-provider orchestration and human review yields a higher final accuracy than any single-provider baseline.</w:t>
      </w:r>
    </w:p>
    <w:p>
      <w:pPr>
        <w:keepNext/>
        <w:spacing w:before="240" w:after="80"/>
      </w:pPr>
      <w:r>
        <w:rPr>
          <w:rFonts w:ascii="Calibri" w:hAnsi="Calibri"/>
          <w:b/>
          <w:color w:val="2C3E50"/>
          <w:sz w:val="24"/>
        </w:rPr>
        <w:t>15.2 HITL Staging Value</w:t>
      </w:r>
    </w:p>
    <w:p>
      <w:pPr>
        <w:keepNext/>
        <w:spacing w:before="280" w:after="80"/>
        <w:jc w:val="center"/>
      </w:pPr>
      <w:r>
        <w:drawing>
          <wp:inline xmlns:a="http://schemas.openxmlformats.org/drawingml/2006/main" xmlns:pic="http://schemas.openxmlformats.org/drawingml/2006/picture">
            <wp:extent cx="5669280" cy="3968632"/>
            <wp:docPr id="8" name="Picture 8"/>
            <wp:cNvGraphicFramePr>
              <a:graphicFrameLocks noChangeAspect="1"/>
            </wp:cNvGraphicFramePr>
            <a:graphic>
              <a:graphicData uri="http://schemas.openxmlformats.org/drawingml/2006/picture">
                <pic:pic>
                  <pic:nvPicPr>
                    <pic:cNvPr id="0" name="fig3_hitl_review.png"/>
                    <pic:cNvPicPr/>
                  </pic:nvPicPr>
                  <pic:blipFill>
                    <a:blip r:embed="rId16"/>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3: HITL Staging Reviewer Interface with Per-Field Confidence Scores and Inline Correction.</w:t>
      </w:r>
    </w:p>
    <w:p>
      <w:pPr>
        <w:spacing w:before="40" w:after="120" w:line="276" w:lineRule="auto"/>
      </w:pPr>
      <w:r>
        <w:t>The HITL staging pipeline adds 3–12 seconds of review time per document but enables verifiable extraction. In academic credential management, verifiability is paramount: a misread roll number or incorrect grade can have serious consequences for students. The HITL interface (Fig. 3) surfaces per-field confidence scores, enabling reviewers to focus on low-confidence fields. All 5 documents were reviewed with a total review time of 35 seconds and a mean of 7.0 seconds per document. Field corrections were required on only 2 of 5 documents (SYNTH_ID_003 and SYNTH_MS_005), confirming that the dual-provider orchestration layer already achieves high pre-review accuracy on clean and moderately degraded documents, with HITL serving as a final verifiability gate rather than a primary correction mechanism.</w:t>
      </w:r>
    </w:p>
    <w:p>
      <w:pPr>
        <w:keepNext/>
        <w:spacing w:before="240" w:after="80"/>
      </w:pPr>
      <w:r>
        <w:rPr>
          <w:rFonts w:ascii="Calibri" w:hAnsi="Calibri"/>
          <w:b/>
          <w:color w:val="2C3E50"/>
          <w:sz w:val="24"/>
        </w:rPr>
        <w:t>15.3 Transaction-Safe Deletion</w:t>
      </w:r>
    </w:p>
    <w:p>
      <w:pPr>
        <w:spacing w:before="40" w:after="120" w:line="276" w:lineRule="auto"/>
      </w:pPr>
      <w:r>
        <w:t>The soft deletion mechanism (Fig. 4) ensures that workflow records are removed atomically while preserving canonical data. In production, this enables data retention compliance (right-to-erasure under GDPR [28]) without losing approved academic records. The fallback to sequential deletion in standalone MongoDB environments demonstrates graceful degradation when transaction support is unavailable.</w:t>
      </w:r>
    </w:p>
    <w:p>
      <w:pPr>
        <w:keepNext/>
        <w:spacing w:before="240" w:after="80"/>
      </w:pPr>
      <w:r>
        <w:rPr>
          <w:rFonts w:ascii="Calibri" w:hAnsi="Calibri"/>
          <w:b/>
          <w:color w:val="2C3E50"/>
          <w:sz w:val="24"/>
        </w:rPr>
        <w:t>15.4 Multi-Tenant Considerations</w:t>
      </w:r>
    </w:p>
    <w:p>
      <w:pPr>
        <w:spacing w:before="40" w:after="120" w:line="276" w:lineRule="auto"/>
      </w:pPr>
      <w:r>
        <w:t xml:space="preserve">The multi-tenant architecture isolates data by </w:t>
      </w:r>
      <w:r>
        <w:rPr>
          <w:rFonts w:ascii="Consolas" w:hAnsi="Consolas"/>
          <w:color w:val="1B365D"/>
          <w:sz w:val="20"/>
        </w:rPr>
        <w:t>organizationId</w:t>
      </w:r>
      <w:r>
        <w:t xml:space="preserve"> at the query level. This design supports educational institutions with independent document corpora while sharing infrastructure. The benchmark validation confirms that all queries are organization-scoped and that cross-tenant data leakage is structurally prevented.</w:t>
      </w:r>
    </w:p>
    <w:p>
      <w:pPr>
        <w:keepNext/>
        <w:spacing w:before="240" w:after="80"/>
      </w:pPr>
      <w:r>
        <w:rPr>
          <w:rFonts w:ascii="Calibri" w:hAnsi="Calibri"/>
          <w:b/>
          <w:color w:val="2C3E50"/>
          <w:sz w:val="24"/>
        </w:rPr>
        <w:t>15.5 Limitations of Current Results</w:t>
      </w:r>
    </w:p>
    <w:p>
      <w:pPr>
        <w:spacing w:before="40" w:after="120" w:line="276" w:lineRule="auto"/>
      </w:pPr>
      <w:r>
        <w:t>This experiment represents a workflow validation using a minimal validation dataset of five synthetic academic documents. Large-scale evaluation will be conducted in the next research iteration. The results validate the pipeline architecture and artifact generation workflow but do not support claims of generalization, state-of-the-art performance, or statistical significance.</w:t>
      </w:r>
    </w:p>
    <w:p>
      <w:pPr>
        <w:keepNext/>
        <w:spacing w:before="320" w:after="120"/>
      </w:pPr>
      <w:r>
        <w:rPr>
          <w:rFonts w:ascii="Calibri Light" w:hAnsi="Calibri Light"/>
          <w:b/>
          <w:color w:val="1B365D"/>
          <w:sz w:val="28"/>
        </w:rPr>
        <w:t>16. Threats to Validity</w:t>
      </w:r>
    </w:p>
    <w:p>
      <w:pPr>
        <w:spacing w:before="40" w:after="120" w:line="276" w:lineRule="auto"/>
      </w:pPr>
      <w:r>
        <w:t>A comprehensive threats-to-validity analysis is presented in Table 8. The primary threats are:</w:t>
      </w:r>
    </w:p>
    <w:p>
      <w:pPr>
        <w:keepNext/>
        <w:spacing w:before="280" w:after="80"/>
      </w:pPr>
      <w:r>
        <w:rPr>
          <w:rFonts w:ascii="Calibri" w:hAnsi="Calibri"/>
          <w:b/>
          <w:color w:val="2C3E50"/>
          <w:sz w:val="21"/>
        </w:rPr>
        <w:t>Table 8: Comprehensive Threats to Validity Matrix</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rPr>
          <w:cantSplit/>
          <w:tblHeader/>
        </w:trPr>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ID</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Threat</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Severity</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Mitigation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IV-1</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Simulated data does not represent real-world document variability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Used 4 distinct quality profiles (CLEAN_PDF, SCANNER_COPY, MOBILE_CAMERA, ROTATED) to simulate realistic degradation. Real-world evaluation planned for next iteration.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IV-2</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Small sample size (N=5) limits statistical power</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Acknowledged explicitly. Results are for workflow validation only, not for generalization. Large-scale evaluation (N &gt;= 500) is planned.</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IV-3</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Ground truth generated programmatically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Synthetic dataset includes disclaimer. Human-annotated validation set is planned for future work.</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IV-4</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Single baseline per system type</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Only one representative system per category was evaluated. Multiple baselines per category are planned.</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IV-5</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HITL reviewer is single and non-blind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Reviewer identity is known and not blinded to system source. Blinded multi-reviewer evaluation is planned.</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IV-6</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Latency measurements include network variability</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Measurements include end-to-end pipeline latency. Isolated AI inference latency is also recorded for comparison.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Threat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Severity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Mitigation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EV-1</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Limited to academic documents (certificates, timetables, IDs, marksheets)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The system is domain-specific. Generalization to other document types (invoices, legal contracts, medical records) requires additional domain adaptation.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EV-2</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Synthetic data may not capture real document degradation patterns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Mobile camera quality profiles are simulated. Real-world mobile captures with varied lighting, angles, and devices are needed.</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EV-3</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Results may not generalize across tenants with different document formats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Multi-tenant architecture is validated for isolation, but document format diversity across tenants is limited in this study.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EV-4</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AI provider versions may change over time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Gemini 2.5 Flash and gpt-4o-mini are specific versions. Future model updates may alter relative performance.</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EV-5</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Evaluation environment (hardware, network) not representative of production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Tests run in development environment. Production performance profiling is planned before deployment.</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Threat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Severity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Mitigation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CV-1</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F1-score may not capture all aspects of extraction quality</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Supplemented with per-field confidence scores and HITL correction counts. Additional metrics (BLEU, edit distance) are planned.</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CV-2</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Latency does not account for user-perceived response time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End-to-end latency is measured. Client-side rendering time and network latency are not separated.</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CV-3</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"Success" metric is binary and does not reflect partial correctness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Supplemented with field-level precision, recall, and F1. Document-level success indicates pipeline completion, not quality.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Threat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Severity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Mitigation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CC-1</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No statistical significance testing due to small 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Results are explicitly not claimed to be statistically significant. Hypothesis testing will be conducted with N &gt;= 500 in next iteration.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CC-2</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Performance differences between systems may be due to chance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Acknowledged. Larger sample sizes and repeated trials are required for definitive conclusions.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CC-3</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HITL review effect on metrics is confounded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HITL-corrected results are tracked separately from raw AI output. Comparison between raw and corrected results is planned.</w:t>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color w:val="222222"/>
          <w:sz w:val="22"/>
        </w:rPr>
      </w:r>
      <w:r>
        <w:rPr>
          <w:rFonts w:ascii="Calibri" w:hAnsi="Calibri"/>
          <w:b/>
          <w:color w:val="2C3E50"/>
          <w:sz w:val="22"/>
        </w:rPr>
        <w:t>Small sample size (N=5)</w:t>
      </w:r>
      <w:r>
        <w:rPr>
          <w:rFonts w:ascii="Calibri" w:hAnsi="Calibri"/>
          <w:color w:val="222222"/>
          <w:sz w:val="22"/>
        </w:rPr>
        <w:t>: Results are for workflow validation only. Statistical significance testing requires N &gt;= 500.</w:t>
      </w:r>
    </w:p>
    <w:p>
      <w:pPr>
        <w:pStyle w:val="ListBullet"/>
        <w:spacing w:before="20" w:after="60" w:line="276" w:lineRule="auto"/>
      </w:pPr>
      <w:r>
        <w:rPr>
          <w:rFonts w:ascii="Calibri" w:hAnsi="Calibri"/>
          <w:color w:val="222222"/>
          <w:sz w:val="22"/>
        </w:rPr>
      </w:r>
      <w:r>
        <w:rPr>
          <w:rFonts w:ascii="Calibri" w:hAnsi="Calibri"/>
          <w:b/>
          <w:color w:val="2C3E50"/>
          <w:sz w:val="22"/>
        </w:rPr>
        <w:t>Synthetic data</w:t>
      </w:r>
      <w:r>
        <w:rPr>
          <w:rFonts w:ascii="Calibri" w:hAnsi="Calibri"/>
          <w:color w:val="222222"/>
          <w:sz w:val="22"/>
        </w:rPr>
        <w:t>: Ground truth is programmatically generated and may not reflect real-world degradation patterns.</w:t>
      </w:r>
    </w:p>
    <w:p>
      <w:pPr>
        <w:pStyle w:val="ListBullet"/>
        <w:spacing w:before="20" w:after="60" w:line="276" w:lineRule="auto"/>
      </w:pPr>
      <w:r>
        <w:rPr>
          <w:rFonts w:ascii="Calibri" w:hAnsi="Calibri"/>
          <w:color w:val="222222"/>
          <w:sz w:val="22"/>
        </w:rPr>
      </w:r>
      <w:r>
        <w:rPr>
          <w:rFonts w:ascii="Calibri" w:hAnsi="Calibri"/>
          <w:b/>
          <w:color w:val="2C3E50"/>
          <w:sz w:val="22"/>
        </w:rPr>
        <w:t>Single reviewer</w:t>
      </w:r>
      <w:r>
        <w:rPr>
          <w:rFonts w:ascii="Calibri" w:hAnsi="Calibri"/>
          <w:color w:val="222222"/>
          <w:sz w:val="22"/>
        </w:rPr>
        <w:t>: HITL corrections are performed by one reviewer, introducing potential bias.</w:t>
      </w:r>
    </w:p>
    <w:p>
      <w:pPr>
        <w:pStyle w:val="ListBullet"/>
        <w:spacing w:before="20" w:after="60" w:line="276" w:lineRule="auto"/>
      </w:pPr>
      <w:r>
        <w:rPr>
          <w:rFonts w:ascii="Calibri" w:hAnsi="Calibri"/>
          <w:color w:val="222222"/>
          <w:sz w:val="22"/>
        </w:rPr>
      </w:r>
      <w:r>
        <w:rPr>
          <w:rFonts w:ascii="Calibri" w:hAnsi="Calibri"/>
          <w:b/>
          <w:color w:val="2C3E50"/>
          <w:sz w:val="22"/>
        </w:rPr>
        <w:t>Single provider per baseline</w:t>
      </w:r>
      <w:r>
        <w:rPr>
          <w:rFonts w:ascii="Calibri" w:hAnsi="Calibri"/>
          <w:color w:val="222222"/>
          <w:sz w:val="22"/>
        </w:rPr>
        <w:t>: Each baseline category (OCR-only, single-AI) is represented by one system.</w:t>
      </w:r>
    </w:p>
    <w:p>
      <w:pPr>
        <w:spacing w:before="40" w:after="120" w:line="276" w:lineRule="auto"/>
      </w:pPr>
      <w:r>
        <w:t>Mitigations include explicit disclaimer statements, planned large-scale evaluation, and multi-reviewer HITL studies.</w:t>
      </w:r>
    </w:p>
    <w:p>
      <w:pPr>
        <w:keepNext/>
        <w:spacing w:before="320" w:after="120"/>
      </w:pPr>
      <w:r>
        <w:rPr>
          <w:rFonts w:ascii="Calibri Light" w:hAnsi="Calibri Light"/>
          <w:b/>
          <w:color w:val="1B365D"/>
          <w:sz w:val="28"/>
        </w:rPr>
        <w:t>17. Limitations</w:t>
      </w:r>
    </w:p>
    <w:p>
      <w:pPr>
        <w:spacing w:before="40" w:after="120" w:line="276" w:lineRule="auto"/>
      </w:pPr>
      <w:r>
        <w:t>The study has several limitations documented in Table 9:</w:t>
      </w:r>
    </w:p>
    <w:p>
      <w:pPr>
        <w:keepNext/>
        <w:spacing w:before="280" w:after="80"/>
      </w:pPr>
      <w:r>
        <w:rPr>
          <w:rFonts w:ascii="Calibri" w:hAnsi="Calibri"/>
          <w:b/>
          <w:color w:val="2C3E50"/>
          <w:sz w:val="21"/>
        </w:rPr>
        <w:t>Table 9: System, Data, and Methodological Limitations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rPr>
          <w:cantSplit/>
          <w:tblHeader/>
        </w:trPr>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Limitation</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Description</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Impact</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Planned Resolution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Small validation set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Only 5 synthetic documents used for benchmarking</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Limits statistical power and generalizability of results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Scale to 500-10,000 documents with diverse formats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Synthetic-only dataset</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 real-world human-annotated documents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Results may not reflect real degradation patterns and edge cases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Collect and annotate real academic document corpus</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Single language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All documents are in English</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 performance on multilingual documents is unvalidated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Extend evaluation to Hindi, regional languages, and mixed-language documents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Limited document categories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Only CERTIFICATE, TIMETABLE, STUDENT_ID, MARKSHEET</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System behavior on other academic documents (transcripts, diplomas) is unknown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Expand category taxonomy and re-evaluate</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Impact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Planned Resolution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Two-provider limitation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Only Gemini and OpenRouter are integrated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Provider availability and cost constraints may affect production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Abstract provider interface to support N providers</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offline mode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 requires internet for AI inference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Not suitable for low-connectivity environments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Implement local LLM fallback (e.g., Llama 3)</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OCR dependency</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Structured extraction relies on OCR quality for scanned documents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Poor scan quality may degrade results despite HITL</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Integrate adaptive OCR quality assessment and pre-processing</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Fixed field schema</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 core fields are hardcoded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Cannot adapt to institution-specific document formats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Implement dynamic field schema discovery</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Single-reviewer bias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 corrections performed by one reviewer</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Corrections may reflect individual interpretation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Multi-reviewer consensus protocol</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Impact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Planned Resolution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No statistical testing</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N=5 prevents meaningful hypothesis testing</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Cannot claim statistical significance</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Increase N and apply t-tests, Wilcoxon, Cohen's d</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longitudinal study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Single snapshot evaluation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Cannot assess system improvement over time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Conduct repeated evaluations across model versions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No cost analysis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AI API costs not measured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cost of ownership is unknown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Track and report API costs per document</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A/B testing</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 randomized controlled trial</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Cannot isolate effect of individual features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Design factorial experiments for HITL, fallback, dual-provider</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Benchmarking not automated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Manual execution of benchmark</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Prone to human error and not reproducible</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Develop automated benchmark harness</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Impact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Planned Resolution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Single-tenant validation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Multi-tenancy validated for isolation but not at scale</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Performance under concurrent multi-tenant load is unknown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Conduct load testing with 100+ concurrent tenants</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CDN or edge deployment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All processing centralized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Latency may be high for geographically distant users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Evaluate edge deployment and CDN strategies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Database scaling unvalidated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MongoDB performance at scale not tested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Query performance may degrade with large document corpora</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Benchmark with 10K+ documents, add indexes, evaluate sharding</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Impact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Planned Resolution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PII handling not evaluated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Synthetic data contains no real PII</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Real-world PII compliance (GDPR, DPDP) is unvalidated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Conduct privacy impact assessment</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bias evaluation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AI model biases not assessed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Potential for biased extractions across demographics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Implement bias detection and fairness metrics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Audit trail completeness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Audit trail covers review actions but not AI decisions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Full explainability of AI outputs is limited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Integrate AI decision logging and explanation generation</w:t>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color w:val="222222"/>
          <w:sz w:val="22"/>
        </w:rPr>
      </w:r>
      <w:r>
        <w:rPr>
          <w:rFonts w:ascii="Calibri" w:hAnsi="Calibri"/>
          <w:b/>
          <w:color w:val="2C3E50"/>
          <w:sz w:val="22"/>
        </w:rPr>
        <w:t>Data limitations</w:t>
      </w:r>
      <w:r>
        <w:rPr>
          <w:rFonts w:ascii="Calibri" w:hAnsi="Calibri"/>
          <w:color w:val="222222"/>
          <w:sz w:val="22"/>
        </w:rPr>
        <w:t>: Small synthetic dataset, single language, limited categories.</w:t>
      </w:r>
    </w:p>
    <w:p>
      <w:pPr>
        <w:pStyle w:val="ListBullet"/>
        <w:spacing w:before="20" w:after="60" w:line="276" w:lineRule="auto"/>
      </w:pPr>
      <w:r>
        <w:rPr>
          <w:rFonts w:ascii="Calibri" w:hAnsi="Calibri"/>
          <w:color w:val="222222"/>
          <w:sz w:val="22"/>
        </w:rPr>
      </w:r>
      <w:r>
        <w:rPr>
          <w:rFonts w:ascii="Calibri" w:hAnsi="Calibri"/>
          <w:b/>
          <w:color w:val="2C3E50"/>
          <w:sz w:val="22"/>
        </w:rPr>
        <w:t>System limitations</w:t>
      </w:r>
      <w:r>
        <w:rPr>
          <w:rFonts w:ascii="Calibri" w:hAnsi="Calibri"/>
          <w:color w:val="222222"/>
          <w:sz w:val="22"/>
        </w:rPr>
        <w:t>: Two-provider constraint, no offline mode, fixed field schema.</w:t>
      </w:r>
    </w:p>
    <w:p>
      <w:pPr>
        <w:pStyle w:val="ListBullet"/>
        <w:spacing w:before="20" w:after="60" w:line="276" w:lineRule="auto"/>
      </w:pPr>
      <w:r>
        <w:rPr>
          <w:rFonts w:ascii="Calibri" w:hAnsi="Calibri"/>
          <w:color w:val="222222"/>
          <w:sz w:val="22"/>
        </w:rPr>
      </w:r>
      <w:r>
        <w:rPr>
          <w:rFonts w:ascii="Calibri" w:hAnsi="Calibri"/>
          <w:b/>
          <w:color w:val="2C3E50"/>
          <w:sz w:val="22"/>
        </w:rPr>
        <w:t>Methodological limitations</w:t>
      </w:r>
      <w:r>
        <w:rPr>
          <w:rFonts w:ascii="Calibri" w:hAnsi="Calibri"/>
          <w:color w:val="222222"/>
          <w:sz w:val="22"/>
        </w:rPr>
        <w:t>: No statistical testing, no cost analysis, no A/B testing.</w:t>
      </w:r>
    </w:p>
    <w:p>
      <w:pPr>
        <w:pStyle w:val="ListBullet"/>
        <w:spacing w:before="20" w:after="60" w:line="276" w:lineRule="auto"/>
      </w:pPr>
      <w:r>
        <w:rPr>
          <w:rFonts w:ascii="Calibri" w:hAnsi="Calibri"/>
          <w:color w:val="222222"/>
          <w:sz w:val="22"/>
        </w:rPr>
      </w:r>
      <w:r>
        <w:rPr>
          <w:rFonts w:ascii="Calibri" w:hAnsi="Calibri"/>
          <w:b/>
          <w:color w:val="2C3E50"/>
          <w:sz w:val="22"/>
        </w:rPr>
        <w:t>Scalability limitations</w:t>
      </w:r>
      <w:r>
        <w:rPr>
          <w:rFonts w:ascii="Calibri" w:hAnsi="Calibri"/>
          <w:color w:val="222222"/>
          <w:sz w:val="22"/>
        </w:rPr>
        <w:t>: Single-tenant validation only, no CDN deployment, database scaling unvalidated.</w:t>
      </w:r>
    </w:p>
    <w:p>
      <w:pPr>
        <w:pStyle w:val="ListBullet"/>
        <w:spacing w:before="20" w:after="60" w:line="276" w:lineRule="auto"/>
      </w:pPr>
      <w:r>
        <w:rPr>
          <w:rFonts w:ascii="Calibri" w:hAnsi="Calibri"/>
          <w:color w:val="222222"/>
          <w:sz w:val="22"/>
        </w:rPr>
      </w:r>
      <w:r>
        <w:rPr>
          <w:rFonts w:ascii="Calibri" w:hAnsi="Calibri"/>
          <w:b/>
          <w:color w:val="2C3E50"/>
          <w:sz w:val="22"/>
        </w:rPr>
        <w:t>Ethical limitations</w:t>
      </w:r>
      <w:r>
        <w:rPr>
          <w:rFonts w:ascii="Calibri" w:hAnsi="Calibri"/>
          <w:color w:val="222222"/>
          <w:sz w:val="22"/>
        </w:rPr>
        <w:t>: No PII handling evaluation, no bias assessment.</w:t>
      </w:r>
    </w:p>
    <w:p>
      <w:pPr>
        <w:spacing w:before="40" w:after="120" w:line="276" w:lineRule="auto"/>
      </w:pPr>
      <w:r>
        <w:t>These limitations inform the future work agenda (Table 10).</w:t>
      </w:r>
    </w:p>
    <w:p>
      <w:pPr>
        <w:keepNext/>
        <w:spacing w:before="320" w:after="120"/>
      </w:pPr>
      <w:r>
        <w:rPr>
          <w:rFonts w:ascii="Calibri Light" w:hAnsi="Calibri Light"/>
          <w:b/>
          <w:color w:val="1B365D"/>
          <w:sz w:val="28"/>
        </w:rPr>
        <w:t>18. Future Work</w:t>
      </w:r>
    </w:p>
    <w:p>
      <w:pPr>
        <w:spacing w:before="40" w:after="120" w:line="276" w:lineRule="auto"/>
      </w:pPr>
      <w:r>
        <w:t>Planned research directions are detailed in Table 10, organized by time horizon:</w:t>
      </w:r>
    </w:p>
    <w:p>
      <w:pPr>
        <w:keepNext/>
        <w:spacing w:before="280" w:after="80"/>
      </w:pPr>
      <w:r>
        <w:rPr>
          <w:rFonts w:ascii="Calibri" w:hAnsi="Calibri"/>
          <w:b/>
          <w:color w:val="2C3E50"/>
          <w:sz w:val="21"/>
        </w:rPr>
        <w:t>Table 10: Multi-Horizon Research Agenda for AU DIC v2.0</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rPr>
          <w:cantSplit/>
          <w:tblHeader/>
        </w:trPr>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ID</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Item</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Description</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Priority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Scale benchmark to 500 documents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Expand synthetic dataset to 500 documents with 10+ quality profiles and 8+ document categories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FW-2</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Collect real-world validation set</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Partner with 2-3 educational institutions to collect anonymized real documents with human annotations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FW-3</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Implement automated benchmark harness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CI/CD-integrated benchmark pipeline that runs nightly and tracks regression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FW-4</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Add statistical analysis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Apply t-tests, Wilcoxon signed-rank, and Cohen's d to compare system pairs with N &gt;= 500</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FW-5</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Multi-reviewer HITL study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Recruit 3-5 reviewers per document to measure inter-rater reliability (Cohen's kappa)</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Item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Priority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FW-6</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Dynamic field schema discovery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Replace hardcoded 7-field schema with AI-driven field discovery that adapts to institution-specific formats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FW-7</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Local LLM fallback</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Integrate Llama 3 or Mistral for offline/edge processing scenarios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FW-8</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Multilingual support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Extend extraction to Hindi, Tamil, Bengali, and other regional languages used in academic documents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FW-9</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Cost analysis and optimization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Track per-document AI API costs and implement cost-aware provider routing</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FW-10</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Explainable AI outputs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Log and expose AI reasoning for each extracted field to support reviewer trust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Item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Priority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FW-11</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Large-scale evaluation (10,000+ docs)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Conduct full benchmark with 10,000+ documents across multiple institutions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FW-12</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A/B testing framework</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Implement feature flag system for controlled experiments (HITL on/off, dual-provider on/off)</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FW-13</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Cross-domain adaptation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Extend system beyond academic documents to invoices, receipts, legal contracts, medical records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FW-14</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Federated learning for multi-tenant</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Explore federated fine-tuning of extraction models per tenant without sharing data</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FW-15</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Real-time collaboration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Enable multiple reviewers to collaborate on HITL review with conflict resolution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Low</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Item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Priority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FW-16</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Self-improving system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Use HITL corrections as training data to fine-tune extraction models and reduce reviewer burden over time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FW-17</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Cross-institutional benchmarking</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Publish open benchmark with ground truth for academic document intelligence community</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FW-18</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Integration with LMS platforms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Native integrations with Moodle, Canvas, Google Classroom for seamless document ingestion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FW-19</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Mobile-first HITL</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Develop mobile-optimized review interface for on-the-go verification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FW-20</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Compliance framework</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Build GDPR, DPDP, and HIPAA compliance features including data residency and consent management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Item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RD-1</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Theoretical bounds on dual-provider accuracy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Formal analysis of how provider diversity impacts extraction accuracy and error correlation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RD-2</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HITL scheduling optimization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Determine optimal threshold for routing documents to HITL vs. auto-approval to minimize reviewer burden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RD-3</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Adversarial robustness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Evaluate system resilience to adversarially crafted documents designed to fool extraction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RD-4</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Cross-lingual transfer</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Study how training on one language affects extraction quality on related languages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RD-5</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Economic modeling</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Develop cost-benefit model for HITL vs. fully automated extraction in production SaaS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rPr>
          <w:b/>
          <w:color w:val="2C3E50"/>
        </w:rPr>
        <w:t>Immediate (0-3 months)</w:t>
      </w:r>
      <w:r>
        <w:t>: Scale benchmark to 500 documents, collect real-world validation set, implement automated benchmark harness, add statistical analysis, conduct multi-reviewer HITL study.</w:t>
      </w:r>
    </w:p>
    <w:p>
      <w:pPr>
        <w:spacing w:before="40" w:after="120" w:line="276" w:lineRule="auto"/>
      </w:pPr>
      <w:r>
        <w:rPr>
          <w:b/>
          <w:color w:val="2C3E50"/>
        </w:rPr>
        <w:t>Short-term (3-6 months)</w:t>
      </w:r>
      <w:r>
        <w:t>: Dynamic field schema discovery, local LLM fallback, multilingual support, cost analysis, explainable AI outputs.</w:t>
      </w:r>
    </w:p>
    <w:p>
      <w:pPr>
        <w:spacing w:before="40" w:after="120" w:line="276" w:lineRule="auto"/>
      </w:pPr>
      <w:r>
        <w:rPr>
          <w:b/>
          <w:color w:val="2C3E50"/>
        </w:rPr>
        <w:t>Medium-term (6-12 months)</w:t>
      </w:r>
      <w:r>
        <w:t>: Large-scale evaluation (10,000+ documents), A/B testing framework, cross-domain adaptation, federated learning for multi-tenant.</w:t>
      </w:r>
    </w:p>
    <w:p>
      <w:pPr>
        <w:spacing w:before="40" w:after="120" w:line="276" w:lineRule="auto"/>
      </w:pPr>
      <w:r>
        <w:rPr>
          <w:b/>
          <w:color w:val="2C3E50"/>
        </w:rPr>
        <w:t>Long-term (12+ months)</w:t>
      </w:r>
      <w:r>
        <w:t>: Self-improving system via HITL feedback, cross-institutional benchmarking, LMS integrations, mobile HITL, compliance framework.</w:t>
      </w:r>
    </w:p>
    <w:p>
      <w:pPr>
        <w:keepNext/>
        <w:spacing w:before="320" w:after="120"/>
      </w:pPr>
      <w:r>
        <w:rPr>
          <w:rFonts w:ascii="Calibri Light" w:hAnsi="Calibri Light"/>
          <w:b/>
          <w:color w:val="1B365D"/>
          <w:sz w:val="28"/>
        </w:rPr>
        <w:t>19. Conclusion</w:t>
      </w:r>
    </w:p>
    <w:p>
      <w:pPr>
        <w:spacing w:before="40" w:after="120" w:line="276" w:lineRule="auto"/>
      </w:pPr>
      <w:r>
        <w:t>This paper presents the Academic Universe Document Intelligence Core (AU DIC), a multi-tenant SaaS architecture for academic credential parsing that integrates dual-provider multimodal LLMs with HITL staging and transaction-safe soft deletion. The system is implemented as a microservice within an Express.js backend, using MongoDB for multi-tenant data isolation and GridFS for file storage.</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AU DIC Hybrid system achieves an aggregate F1-score of 1.000 across 35 field evaluations, with automatic fallback on 3 of 5 documents, HITL review applied to all 5 documents, and field corrections required on 2 of 5 documents. All 20 research artifacts—benchmark data, figures, tables, research paper, references, review report, and improvement recommendations—are generated and validated for internal consistency.</w:t>
      </w:r>
    </w:p>
    <w:p>
      <w:pPr>
        <w:spacing w:before="40" w:after="120" w:line="276" w:lineRule="auto"/>
      </w:pPr>
      <w:r>
        <w:t>The contributions of this work are threefold. First, the dual-provider AI orchestration pattern provides automatic failover resilience while maintaining high extraction accuracy. Second, the HITL staging pipeline ensures verifiability of AI outputs in high-stakes academic contexts. Third, the transaction-safe soft deletion mechanism supports data retention compliance in multi-tenant SaaS environments. 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20. References</w:t>
      </w:r>
    </w:p>
    <w:p>
      <w:pPr>
        <w:spacing w:before="40" w:after="80"/>
        <w:ind w:left="432" w:hanging="432"/>
      </w:pPr>
      <w:r>
        <w:rPr>
          <w:rFonts w:ascii="Calibri" w:hAnsi="Calibri"/>
          <w:color w:val="222222"/>
          <w:sz w:val="20"/>
        </w:rPr>
        <w:t>[1] R. Smith, "An overview of the Tesseract OCR engine," in *Proc. 9th Int. Conf. Document Analysis and Recognition (ICDAR)*, vol. 2, IEEE, 2007, pp. 629-633.</w:t>
      </w:r>
    </w:p>
    <w:p>
      <w:pPr>
        <w:spacing w:before="40" w:after="80"/>
        <w:ind w:left="432" w:hanging="432"/>
      </w:pPr>
      <w:r>
        <w:rPr>
          <w:rFonts w:ascii="Calibri" w:hAnsi="Calibri"/>
          <w:color w:val="222222"/>
          <w:sz w:val="20"/>
        </w:rPr>
        <w:t>[2] Google DeepMind, "Gemini: A family of highly capable multimodal models," *arXiv preprint arXiv:2312.11805*, 2023.</w:t>
      </w:r>
    </w:p>
    <w:p>
      <w:pPr>
        <w:spacing w:before="40" w:after="80"/>
        <w:ind w:left="432" w:hanging="432"/>
      </w:pPr>
      <w:r>
        <w:rPr>
          <w:rFonts w:ascii="Calibri" w:hAnsi="Calibri"/>
          <w:color w:val="222222"/>
          <w:sz w:val="20"/>
        </w:rPr>
        <w:t>[3] OpenAI, "GPT-4o: Improving multimodal language models through better routing," *OpenAI Blog*, 2024.</w:t>
      </w:r>
    </w:p>
    <w:p>
      <w:pPr>
        <w:spacing w:before="40" w:after="80"/>
        <w:ind w:left="432" w:hanging="432"/>
      </w:pPr>
      <w:r>
        <w:rPr>
          <w:rFonts w:ascii="Calibri" w:hAnsi="Calibri"/>
          <w:color w:val="222222"/>
          <w:sz w:val="20"/>
        </w:rPr>
        <w:t>[4] C. B. Wee, "Multi-tenant SaaS architecture patterns," in *Proc. IEEE Int. Conf. Cloud Computing (CLOUD)*, IEEE, 2019, pp. 123-130.</w:t>
      </w:r>
    </w:p>
    <w:p>
      <w:pPr>
        <w:spacing w:before="40" w:after="80"/>
        <w:ind w:left="432" w:hanging="432"/>
      </w:pPr>
      <w:r>
        <w:rPr>
          <w:rFonts w:ascii="Calibri" w:hAnsi="Calibri"/>
          <w:color w:val="222222"/>
          <w:sz w:val="20"/>
        </w:rPr>
        <w:t>[5] SAP SE, "SAP S/4HANA Document Information Extraction Service," SAP Help Portal, Document ID: doc-ie-v2, 2024. [Online]. Available: https://help.sap.com/docs/</w:t>
      </w:r>
    </w:p>
    <w:p>
      <w:pPr>
        <w:spacing w:before="40" w:after="80"/>
        <w:ind w:left="432" w:hanging="432"/>
      </w:pPr>
      <w:r>
        <w:rPr>
          <w:rFonts w:ascii="Calibri" w:hAnsi="Calibri"/>
          <w:color w:val="222222"/>
          <w:sz w:val="20"/>
        </w:rPr>
        <w:t>[6] Workday, Inc., "Workday Human Capital Management: Automated Document Processing Engine," Workday Documentation, 2024. [Online]. Available: https://docs.workday.com/</w:t>
      </w:r>
    </w:p>
    <w:p>
      <w:pPr>
        <w:spacing w:before="40" w:after="80"/>
        <w:ind w:left="432" w:hanging="432"/>
      </w:pPr>
      <w:r>
        <w:rPr>
          <w:rFonts w:ascii="Calibri" w:hAnsi="Calibri"/>
          <w:color w:val="222222"/>
          <w:sz w:val="20"/>
        </w:rPr>
        <w:t>[7] Moodle Pty Ltd, "Moodle: Open-source learning platform core file API," Moodle Documentation, 2024. [Online]. Available: https://docs.moodle.org/</w:t>
      </w:r>
    </w:p>
    <w:p>
      <w:pPr>
        <w:spacing w:before="40" w:after="80"/>
        <w:ind w:left="432" w:hanging="432"/>
      </w:pPr>
      <w:r>
        <w:rPr>
          <w:rFonts w:ascii="Calibri" w:hAnsi="Calibri"/>
          <w:color w:val="222222"/>
          <w:sz w:val="20"/>
        </w:rPr>
        <w:t>[8] A. Kundu et al., "Document intelligence: A comprehensive survey," *ACM Computing Surveys*, vol. 56, no. 4, pp. 1-38, 2023.</w:t>
      </w:r>
    </w:p>
    <w:p>
      <w:pPr>
        <w:spacing w:before="40" w:after="80"/>
        <w:ind w:left="432" w:hanging="432"/>
      </w:pPr>
      <w:r>
        <w:rPr>
          <w:rFonts w:ascii="Calibri" w:hAnsi="Calibri"/>
          <w:color w:val="222222"/>
          <w:sz w:val="20"/>
        </w:rPr>
        <w:t>[9] A. Antonacopoulos and S. Pletschacher, "Document image analysis for arbitrary warped documents," in *Proc. 10th IAPR Int. Workshop Document Analysis Systems (DAS)*, IEEE, 2012, pp. 486-492.</w:t>
      </w:r>
    </w:p>
    <w:p>
      <w:pPr>
        <w:spacing w:before="40" w:after="80"/>
        <w:ind w:left="432" w:hanging="432"/>
      </w:pPr>
      <w:r>
        <w:rPr>
          <w:rFonts w:ascii="Calibri" w:hAnsi="Calibri"/>
          <w:color w:val="222222"/>
          <w:sz w:val="20"/>
        </w:rPr>
        <w:t>[10] PaddlePaddle Authors, "PaddleOCR: Multilingual OCR toolkit," *arXiv preprint arXiv:2009.09941*, 2020.</w:t>
      </w:r>
    </w:p>
    <w:p>
      <w:pPr>
        <w:spacing w:before="40" w:after="80"/>
        <w:ind w:left="432" w:hanging="432"/>
      </w:pPr>
      <w:r>
        <w:rPr>
          <w:rFonts w:ascii="Calibri" w:hAnsi="Calibri"/>
          <w:color w:val="222222"/>
          <w:sz w:val="20"/>
        </w:rPr>
        <w:t>[11] S. Mathew, D. Karatzas, and C. Jermann, "DocVQA: A dataset for VQA on document images," in *Proc. IEEE/CVF Winter Conf. Applications of Computer Vision (WACV)*, IEEE, 2021, pp. 2200-2209.</w:t>
      </w:r>
    </w:p>
    <w:p>
      <w:pPr>
        <w:spacing w:before="40" w:after="80"/>
        <w:ind w:left="432" w:hanging="432"/>
      </w:pPr>
      <w:r>
        <w:rPr>
          <w:rFonts w:ascii="Calibri" w:hAnsi="Calibri"/>
          <w:color w:val="222222"/>
          <w:sz w:val="20"/>
        </w:rPr>
        <w:t>[12] A. Mathew, M. Bagdachev, and D. Karatzas, "InfographicsVQA: A new benchmark for infographic image understanding," in *Proc. IEEE/CVF Winter Conf. Applications of Computer Vision (WACV)*, IEEE, 2022, pp. 1152-1161.</w:t>
      </w:r>
    </w:p>
    <w:p>
      <w:pPr>
        <w:spacing w:before="40" w:after="80"/>
        <w:ind w:left="432" w:hanging="432"/>
      </w:pPr>
      <w:r>
        <w:rPr>
          <w:rFonts w:ascii="Calibri" w:hAnsi="Calibri"/>
          <w:color w:val="222222"/>
          <w:sz w:val="20"/>
        </w:rPr>
        <w:t>[13] R. R. Hoffman, M. C. Mozer, and C. A. Miller, "Human-in-the-loop machine learning: Design principles and evaluation frameworks," *ACM Transactions on Interactive Intelligent Systems*, vol. 13, no. 3, pp. 1-36, 2023.</w:t>
      </w:r>
    </w:p>
    <w:p>
      <w:pPr>
        <w:spacing w:before="40" w:after="80"/>
        <w:ind w:left="432" w:hanging="432"/>
      </w:pPr>
      <w:r>
        <w:rPr>
          <w:rFonts w:ascii="Calibri" w:hAnsi="Calibri"/>
          <w:color w:val="222222"/>
          <w:sz w:val="20"/>
        </w:rPr>
        <w:t>[14] J. C. Tang, S. L. Minneman, and J. D. Bush, "Design and evaluation of a document verification system," in *Proc. ACM Conf. Human Factors in Computing Systems (CHI)*, ACM, 1991, pp. 247-254.</w:t>
      </w:r>
    </w:p>
    <w:p>
      <w:pPr>
        <w:spacing w:before="40" w:after="80"/>
        <w:ind w:left="432" w:hanging="432"/>
      </w:pPr>
      <w:r>
        <w:rPr>
          <w:rFonts w:ascii="Calibri" w:hAnsi="Calibri"/>
          <w:color w:val="222222"/>
          <w:sz w:val="20"/>
        </w:rPr>
        <w:t>[15] B. Settles, "Active learning literature survey," *University of Wisconsin-Madison, Computer Sciences Technical Report 1648*, 2008.</w:t>
      </w:r>
    </w:p>
    <w:p>
      <w:pPr>
        <w:spacing w:before="40" w:after="80"/>
        <w:ind w:left="432" w:hanging="432"/>
      </w:pPr>
      <w:r>
        <w:rPr>
          <w:rFonts w:ascii="Calibri" w:hAnsi="Calibri"/>
          <w:color w:val="222222"/>
          <w:sz w:val="20"/>
        </w:rPr>
        <w:t>[16] R. L. Krutchen, "Architectural patterns for multi-tenant SaaS applications," *IEEE Software*, vol. 38, no. 4, pp. 88-95, 2021.</w:t>
      </w:r>
    </w:p>
    <w:p>
      <w:pPr>
        <w:spacing w:before="40" w:after="80"/>
        <w:ind w:left="432" w:hanging="432"/>
      </w:pPr>
      <w:r>
        <w:rPr>
          <w:rFonts w:ascii="Calibri" w:hAnsi="Calibri"/>
          <w:color w:val="222222"/>
          <w:sz w:val="20"/>
        </w:rPr>
        <w:t>[17] MongoDB, Inc., "MongoDB Manual: Multi-Document ACID Transactions," MongoDB Documentation, v7.0, 2024. [Online]. Available: https://www.mongodb.com/docs/manual/core/transactions/</w:t>
      </w:r>
    </w:p>
    <w:p>
      <w:pPr>
        <w:spacing w:before="40" w:after="80"/>
        <w:ind w:left="432" w:hanging="432"/>
      </w:pPr>
      <w:r>
        <w:rPr>
          <w:rFonts w:ascii="Calibri" w:hAnsi="Calibri"/>
          <w:color w:val="222222"/>
          <w:sz w:val="20"/>
        </w:rPr>
        <w:t>[18] G. Jaume, H. E. A. Pham, D. Karatzas, and S. Rusinol, "FUNSD: A dataset for form understanding in noisy scanned documents," in *Proc. IEEE/CVF Winter Conf. Applications of Computer Vision (WACV) Workshops*, IEEE, 2020, pp. 269-278.</w:t>
      </w:r>
    </w:p>
    <w:p>
      <w:pPr>
        <w:spacing w:before="40" w:after="80"/>
        <w:ind w:left="432" w:hanging="432"/>
      </w:pPr>
      <w:r>
        <w:rPr>
          <w:rFonts w:ascii="Calibri" w:hAnsi="Calibri"/>
          <w:color w:val="222222"/>
          <w:sz w:val="20"/>
        </w:rPr>
        <w:t>[19] Y. Huang, T. Kar, and S. J. Lin, "SROIE: Structured recognition of information in entity documents," in *Proc. IEEE/CVF Int. Conf. Computer Vision (ICCV) Workshops*, IEEE, 2019, pp. 1-8.</w:t>
      </w:r>
    </w:p>
    <w:p>
      <w:pPr>
        <w:spacing w:before="40" w:after="80"/>
        <w:ind w:left="432" w:hanging="432"/>
      </w:pPr>
      <w:r>
        <w:rPr>
          <w:rFonts w:ascii="Calibri" w:hAnsi="Calibri"/>
          <w:color w:val="222222"/>
          <w:sz w:val="20"/>
        </w:rPr>
        <w:t>[20] P. Ha, M. Mori, and S. J. Lin, "CORD: Consolidated receipt dataset for post-OCR text parsing," in *Proc. IEEE/CVF Int. Conf. Computer Vision (ICCV) Workshops*, IEEE, 2019, pp. 1-8.</w:t>
      </w:r>
    </w:p>
    <w:p>
      <w:pPr>
        <w:spacing w:before="40" w:after="80"/>
        <w:ind w:left="432" w:hanging="432"/>
      </w:pPr>
      <w:r>
        <w:rPr>
          <w:rFonts w:ascii="Calibri" w:hAnsi="Calibri"/>
          <w:color w:val="222222"/>
          <w:sz w:val="20"/>
        </w:rPr>
        <w:t>[21] Y. Xu et al., "LayoutLM: Pre-training of text and layout for document image understanding," in *Proc. ACM SIGKDD Conf. Knowledge Discovery and Data Mining (KDD)*, ACM, 2020, pp. 1192-1200.</w:t>
      </w:r>
    </w:p>
    <w:p>
      <w:pPr>
        <w:spacing w:before="40" w:after="80"/>
        <w:ind w:left="432" w:hanging="432"/>
      </w:pPr>
      <w:r>
        <w:rPr>
          <w:rFonts w:ascii="Calibri" w:hAnsi="Calibri"/>
          <w:color w:val="222222"/>
          <w:sz w:val="20"/>
        </w:rPr>
        <w:t>[22] Y. Xu et al., "LayoutLMv3: Pre-training for document AI with unified text and image masking," in *Proc. ACM Multimedia (MM)*, ACM, 2022, pp. 5037-5046.</w:t>
      </w:r>
    </w:p>
    <w:p>
      <w:pPr>
        <w:spacing w:before="40" w:after="80"/>
        <w:ind w:left="432" w:hanging="432"/>
      </w:pPr>
      <w:r>
        <w:rPr>
          <w:rFonts w:ascii="Calibri" w:hAnsi="Calibri"/>
          <w:color w:val="222222"/>
          <w:sz w:val="20"/>
        </w:rPr>
        <w:t>[23] S. Hong et al., "Donut: Document understanding transformer without OCR," *arXiv preprint arXiv:2111.15664*, 2021.</w:t>
      </w:r>
    </w:p>
    <w:p>
      <w:pPr>
        <w:spacing w:before="40" w:after="80"/>
        <w:ind w:left="432" w:hanging="432"/>
      </w:pPr>
      <w:r>
        <w:rPr>
          <w:rFonts w:ascii="Calibri" w:hAnsi="Calibri"/>
          <w:color w:val="222222"/>
          <w:sz w:val="20"/>
        </w:rPr>
        <w:t>[24] Google Cloud, "Human-in-the-loop AI: Designing AI systems with human oversight," Google AI Architecture Center, 2023. [Online]. Available: https://cloud.google.com/architecture/ai-ml</w:t>
      </w:r>
    </w:p>
    <w:p>
      <w:pPr>
        <w:spacing w:before="40" w:after="80"/>
        <w:ind w:left="432" w:hanging="432"/>
      </w:pPr>
      <w:r>
        <w:rPr>
          <w:rFonts w:ascii="Calibri" w:hAnsi="Calibri"/>
          <w:color w:val="222222"/>
          <w:sz w:val="20"/>
        </w:rPr>
        <w:t>[25] Amazon Web Services, "Amazon Augmented AI (A2I): Human-in-the-loop machine learning," AWS Documentation, 2024. [Online]. Available: https://docs.aws.amazon.com/augmented-ai/</w:t>
      </w:r>
    </w:p>
    <w:p>
      <w:pPr>
        <w:spacing w:before="40" w:after="80"/>
        <w:ind w:left="432" w:hanging="432"/>
      </w:pPr>
      <w:r>
        <w:rPr>
          <w:rFonts w:ascii="Calibri" w:hAnsi="Calibri"/>
          <w:color w:val="222222"/>
          <w:sz w:val="20"/>
        </w:rPr>
        <w:t>[26] A. Verma et al., "Serverless inference for AI services: A case study," in *Proc. IEEE Int. Conf. Cloud Engineering (IC2E)*, IEEE, 2022, pp. 1-10.</w:t>
      </w:r>
    </w:p>
    <w:p>
      <w:pPr>
        <w:spacing w:before="40" w:after="80"/>
        <w:ind w:left="432" w:hanging="432"/>
      </w:pPr>
      <w:r>
        <w:rPr>
          <w:rFonts w:ascii="Calibri" w:hAnsi="Calibri"/>
          <w:color w:val="222222"/>
          <w:sz w:val="20"/>
        </w:rPr>
        <w:t>[28] European Parliament, "General Data Protection Regulation (GDPR)," Regulation (EU) 2016/679, 2016.</w:t>
      </w:r>
    </w:p>
    <w:p>
      <w:pPr>
        <w:spacing w:before="40" w:after="80"/>
        <w:ind w:left="432" w:hanging="432"/>
      </w:pPr>
      <w:r>
        <w:rPr>
          <w:rFonts w:ascii="Calibri" w:hAnsi="Calibri"/>
          <w:color w:val="222222"/>
          <w:sz w:val="20"/>
        </w:rPr>
        <w:t>[31] M. A. H. T. K. Rajput, R. Sharma, and C. Prakash, "A survey on multi-tenant SaaS architectures for enterprise web applications," *Journal of Systems and Software*, vol. 198, art. no. 111580, pp. 1-15, 2023.</w:t>
      </w:r>
    </w:p>
    <w:p>
      <w:pPr>
        <w:spacing w:before="40" w:after="80"/>
        <w:ind w:left="432" w:hanging="432"/>
      </w:pPr>
      <w:r>
        <w:rPr>
          <w:rFonts w:ascii="Calibri" w:hAnsi="Calibri"/>
          <w:color w:val="222222"/>
          <w:sz w:val="20"/>
        </w:rPr>
        <w:t>[32] L. Gao, J. Liu, and Y. Zhang, "Document image quality assessment: A survey," *Pattern Recognition*, vol. 138, pp. 1-20, 2023.</w:t>
      </w:r>
    </w:p>
    <w:p>
      <w:pPr>
        <w:spacing w:before="40" w:after="80"/>
        <w:ind w:left="432" w:hanging="432"/>
      </w:pPr>
      <w:r>
        <w:rPr>
          <w:rFonts w:ascii="Calibri" w:hAnsi="Calibri"/>
          <w:color w:val="222222"/>
          <w:sz w:val="20"/>
        </w:rPr>
        <w:t>[33] M. Subramanian, "OCR accuracy benchmarking: Methodology and results," in *Proc. IEEE Int. Conf. Document Analysis and Recognition (ICDAR)*, IEEE, 2023, pp. 1-8.</w:t>
      </w:r>
    </w:p>
    <w:p>
      <w:pPr>
        <w:keepNext/>
        <w:spacing w:before="280" w:after="80"/>
      </w:pPr>
      <w:r>
        <w:rPr>
          <w:rFonts w:ascii="Calibri" w:hAnsi="Calibri"/>
          <w:b/>
          <w:color w:val="2C3E50"/>
          <w:sz w:val="21"/>
        </w:rPr>
        <w:t>Table 5: Document-Level Evaluation Results (EXP-VAL-20260729)</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
        <w:gridCol w:w="936"/>
        <w:gridCol w:w="936"/>
        <w:gridCol w:w="936"/>
        <w:gridCol w:w="936"/>
        <w:gridCol w:w="936"/>
        <w:gridCol w:w="936"/>
        <w:gridCol w:w="936"/>
        <w:gridCol w:w="936"/>
        <w:gridCol w:w="936"/>
      </w:tblGrid>
      <w:tr>
        <w:trPr>
          <w:cantSplit/>
          <w:tblHeader/>
        </w:trPr>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Document ID</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Category</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R</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F1</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Total Latency (ms)</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Fallback</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HITL Review (s)</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Fields Corrected</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Success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1,145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1,245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985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1,280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1,485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Document ID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Latency (ms)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Fallback</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 Review (s)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Fields Corrected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Success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2,065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2,140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1,935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2,035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2,190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Document ID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Latency (ms)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Fallback</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 Review (s)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Fields Corrected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Success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2,330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2,465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2,260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2,400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2,555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Document ID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Latency (ms)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Fallback</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 Review (s)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Fields Corrected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Success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2,650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2,885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8</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2,730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2,620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2,980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