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pPr>
        <w:spacing w:before="4600" w:after="0"/>
        <w:jc w:val="center"/>
      </w:pPr>
      <w:r>
        <w:drawing>
          <ns4:inline>
            <ns4:extent cx="4114800" cy="1957913"/>
            <ns4:docPr id="10" name="Picture 10"/>
            <ns4:cNvGraphicFramePr>
              <ns5:graphicFrameLocks noChangeAspect="1"/>
            </ns4:cNvGraphicFramePr>
            <ns5:graphic>
              <ns5:graphicData uri="http://schemas.openxmlformats.org/drawingml/2006/picture">
                <ns6:pic>
                  <ns6:nvPicPr>
                    <ns6:cNvPr id="0" name="new_logo_2.png"/>
                    <ns6:cNvPicPr/>
                  </ns6:nvPicPr>
                  <ns6:blipFill>
                    <ns5:blip r:embed="rId19"/>
                    <ns5:stretch>
                      <ns5:fillRect/>
                    </ns5:stretch>
                  </ns6:blipFill>
                  <ns6:spPr>
                    <ns5:xfrm>
                      <ns5:off x="0" y="0"/>
                      <ns5:ext cx="4114800" cy="1957913"/>
                    </ns5:xfrm>
                    <ns5:prstGeom prst="rect"/>
                  </ns6:spPr>
                </ns6:pic>
              </ns5:graphicData>
            </ns5:graphic>
          </ns4:inline>
        </w:drawing>
      </w:r>
    </w:p>
    <w:p>
      <w:pPr>
        <w:pageBreakBefore/>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8</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b/>
          <w:sz w:val="19"/>
        </w:rPr>
        <w:t>4.3 Mathematical Formulation of Evaluation Metrics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4.3.1 Category Classification Accuracy</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4.3.2 Field Extraction Precision, Recall, and F1-Score</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4.3.3 Character Error Rate (CER)</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4.3.4 Word Error Rate (WER)</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4.3.5 Joint Record Exact Match Rate (EM)</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4.3.6 Execution Latency &amp; Throughput</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5.9 Classical Machine Learning Classification Benchmark</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30</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30</w:t>
      </w:r>
    </w:p>
    <w:p w14:paraId="78AF360B">
      <w:pPr>
        <w:pageBreakBefore/>
        <w:spacing w:before="0" w:after="240"/>
        <w:jc w:val="center"/>
      </w:pPr>
      <w:r>
        <w:rPr>
          <w:rFonts w:ascii="Times New Roman" w:hAnsi="Times New Roman"/>
          <w:b/>
          <w:sz w:val="40"/>
        </w:rPr>
        <w:t>Smart Academic Document Intelligence System with the Academic Document Benchmark Generator for Automated Academic Document Extraction and Normalization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pageBreakBefore/>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outlineLvl w:val="1"/>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outlineLvl w:val="1"/>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outlineLvl w:val="1"/>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outlineLvl w:val="1"/>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outlineLvl w:val="1"/>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t>4.3 Mathematical Formulation of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pPr>
      <w:r/>
    </w:p>
    <w:p w14:paraId="0B6F120C">
      <w:pPr>
        <w:spacing w:before="40" w:after="80" w:line="276" w:lineRule="auto"/>
        <w:jc w:val="both"/>
      </w:pPr>
      <w:r/>
    </w:p>
    <w:p w14:paraId="3A5AC0ED">
      <w:pPr>
        <w:spacing w:before="20" w:after="40"/>
        <w:ind w:left="360"/>
        <w:jc w:val="both"/>
      </w:pPr>
      <w:r/>
    </w:p>
    <w:p w14:paraId="3096A6D7">
      <w:pPr>
        <w:spacing w:before="20" w:after="40"/>
        <w:ind w:left="360"/>
        <w:jc w:val="both"/>
      </w:pPr>
      <w:r/>
    </w:p>
    <w:p w14:paraId="28D3FA95">
      <w:pPr>
        <w:spacing w:before="20" w:after="40"/>
        <w:ind w:left="360"/>
        <w:jc w:val="both"/>
      </w:pPr>
      <w:r/>
    </w:p>
    <w:p w14:paraId="22B41161">
      <w:pPr>
        <w:spacing w:before="20" w:after="40"/>
        <w:ind w:left="360"/>
        <w:jc w:val="both"/>
      </w:pPr>
      <w:r/>
    </w:p>
    <w:p w14:paraId="4D33CC89">
      <w:pPr>
        <w:spacing w:before="20" w:after="40"/>
        <w:ind w:left="360"/>
        <w:jc w:val="both"/>
      </w:pPr>
      <w:r/>
    </w:p>
    <w:p>
      <w:pPr>
        <w:spacing w:after="80"/>
        <w:jc w:val="both"/>
      </w:pPr>
      <w:r>
        <w:t>The quantitative evaluation metrics formulated for evaluating neural document intelligence models, synthetic specimen benchmark suites, and canonical normalization layers are defined below.</w:t>
      </w:r>
    </w:p>
    <w:p>
      <w:pPr>
        <w:spacing w:before="160" w:after="40"/>
        <w:outlineLvl w:val="1"/>
      </w:pPr>
      <w:r>
        <w:rPr>
          <w:rFonts w:ascii="Times New Roman" w:hAnsi="Times New Roman"/>
          <w:b/>
          <w:sz w:val="21"/>
        </w:rPr>
        <w:t>4.3.1 Category Classification Accuracy</w:t>
      </w:r>
    </w:p>
    <w:p>
      <w:pPr>
        <w:spacing w:after="40"/>
        <w:jc w:val="both"/>
      </w:pPr>
      <w:r>
        <w:t>The proportion of document specimens where the predicted document category (y_hat) matches the ground truth category (y) across N total evaluated specimens:</w:t>
      </w:r>
    </w:p>
    <w:p>
      <w:pPr>
        <w:spacing w:after="120"/>
        <w:jc w:val="center"/>
      </w:pPr>
      <w:r>
        <w:rPr>
          <w:rFonts w:ascii="Times New Roman" w:hAnsi="Times New Roman"/>
          <w:i/>
          <w:sz w:val="19"/>
        </w:rPr>
        <w:t>Acc_cat = (1 / N) * sum_{i=1}^N I(y_hat_i = y_i)   (1)</w:t>
        <w:br/>
        <w:t>where N represents the total count of evaluated document specimens.</w:t>
      </w:r>
    </w:p>
    <w:p>
      <w:pPr>
        <w:spacing w:before="160" w:after="40"/>
        <w:outlineLvl w:val="1"/>
      </w:pPr>
      <w:r>
        <w:rPr>
          <w:rFonts w:ascii="Times New Roman" w:hAnsi="Times New Roman"/>
          <w:b/>
          <w:sz w:val="21"/>
        </w:rPr>
        <w:t>4.3.2 Field Extraction Precision, Recall, and F1-Score</w:t>
      </w:r>
    </w:p>
    <w:p>
      <w:pPr>
        <w:spacing w:after="40"/>
        <w:jc w:val="both"/>
      </w:pPr>
      <w:r>
        <w:t>Macro-averaged key-value field extraction metrics across all extracted target entities:</w:t>
      </w:r>
    </w:p>
    <w:p>
      <w:pPr>
        <w:spacing w:after="120"/>
        <w:jc w:val="center"/>
      </w:pPr>
      <w:r>
        <w:rPr>
          <w:rFonts w:ascii="Times New Roman" w:hAnsi="Times New Roman"/>
          <w:i/>
          <w:sz w:val="19"/>
        </w:rPr>
        <w:t>Precision = TP / (TP + FP), Recall = TP / (TP + FN), F1 = (2 * Precision * Recall) / (Precision + Recall)   (2)</w:t>
      </w:r>
    </w:p>
    <w:p>
      <w:pPr>
        <w:spacing w:before="160" w:after="40"/>
        <w:outlineLvl w:val="1"/>
      </w:pPr>
      <w:r>
        <w:rPr>
          <w:rFonts w:ascii="Times New Roman" w:hAnsi="Times New Roman"/>
          <w:b/>
          <w:sz w:val="21"/>
        </w:rPr>
        <w:t>4.3.3 Character Error Rate (CER)</w:t>
      </w:r>
    </w:p>
    <w:p>
      <w:pPr>
        <w:spacing w:after="40"/>
        <w:jc w:val="both"/>
      </w:pPr>
      <w:r>
        <w:t>Levenshtein character edit distance [21] between canonically normalized predicted field strings (ŝ) and expected ground truth field strings (s), normalized by total ground truth character length (|s|):</w:t>
      </w:r>
    </w:p>
    <w:p>
      <w:pPr>
        <w:spacing w:after="120"/>
        <w:jc w:val="center"/>
      </w:pPr>
      <w:r>
        <w:rPr>
          <w:rFonts w:ascii="Times New Roman" w:hAnsi="Times New Roman"/>
          <w:i/>
          <w:sz w:val="19"/>
        </w:rPr>
        <w:t>CER = D_char(ŝ, s) / |s|   (3)</w:t>
      </w:r>
    </w:p>
    <w:p>
      <w:pPr>
        <w:spacing w:before="160" w:after="40"/>
        <w:outlineLvl w:val="1"/>
      </w:pPr>
      <w:r>
        <w:rPr>
          <w:rFonts w:ascii="Times New Roman" w:hAnsi="Times New Roman"/>
          <w:b/>
          <w:sz w:val="21"/>
        </w:rPr>
        <w:t>4.3.4 Word Error Rate (WER)</w:t>
      </w:r>
    </w:p>
    <w:p>
      <w:pPr>
        <w:spacing w:after="40"/>
        <w:jc w:val="both"/>
      </w:pPr>
      <w:r>
        <w:t>Tokenized word-level edit distance [20] between predicted field strings (ŵ) and ground truth field strings (w), normalized by total ground truth word count (|w|):</w:t>
      </w:r>
    </w:p>
    <w:p>
      <w:pPr>
        <w:spacing w:after="120"/>
        <w:jc w:val="center"/>
      </w:pPr>
      <w:r>
        <w:rPr>
          <w:rFonts w:ascii="Times New Roman" w:hAnsi="Times New Roman"/>
          <w:i/>
          <w:sz w:val="19"/>
        </w:rPr>
        <w:t>WER = D_word(ŵ, w) / |w|   (4)</w:t>
      </w:r>
    </w:p>
    <w:p>
      <w:pPr>
        <w:spacing w:before="160" w:after="40"/>
        <w:outlineLvl w:val="1"/>
      </w:pPr>
      <w:r>
        <w:rPr>
          <w:rFonts w:ascii="Times New Roman" w:hAnsi="Times New Roman"/>
          <w:b/>
          <w:sz w:val="21"/>
        </w:rPr>
        <w:t>4.3.5 Joint Record Exact Match Rate (EM)</w:t>
      </w:r>
    </w:p>
    <w:p>
      <w:pPr>
        <w:spacing w:after="40"/>
        <w:jc w:val="both"/>
      </w:pPr>
      <w:r>
        <w:t>The percentage of specimens that achieve both 100% key-value field extraction (F1 = 1.0) AND correct top-level category classification simultaneously:</w:t>
      </w:r>
    </w:p>
    <w:p>
      <w:pPr>
        <w:spacing w:after="120"/>
        <w:jc w:val="center"/>
      </w:pPr>
      <w:r>
        <w:rPr>
          <w:rFonts w:ascii="Times New Roman" w:hAnsi="Times New Roman"/>
          <w:i/>
          <w:sz w:val="19"/>
        </w:rPr>
        <w:t>EM = (1 / N) * sum_{i=1}^N I(ŷ_i = y_i AND F1_i = 1.0)   (5)</w:t>
      </w:r>
    </w:p>
    <w:p>
      <w:pPr>
        <w:spacing w:before="160" w:after="40"/>
        <w:outlineLvl w:val="1"/>
      </w:pPr>
      <w:r>
        <w:rPr>
          <w:rFonts w:ascii="Times New Roman" w:hAnsi="Times New Roman"/>
          <w:b/>
          <w:sz w:val="21"/>
        </w:rPr>
        <w:t>4.3.6 Execution Latency &amp; Throughput</w:t>
      </w:r>
    </w:p>
    <w:p>
      <w:pPr>
        <w:spacing w:after="40"/>
        <w:jc w:val="both"/>
      </w:pPr>
      <w:r>
        <w:t>Execution latency per specimen (L_proc) measured in milliseconds per sample (ms/sample) and framework processing throughput (TH) measured in specimens per second (samples/sec):</w:t>
      </w:r>
    </w:p>
    <w:p>
      <w:pPr>
        <w:spacing w:after="120"/>
        <w:jc w:val="center"/>
      </w:pPr>
      <w:r>
        <w:rPr>
          <w:rFonts w:ascii="Times New Roman" w:hAnsi="Times New Roman"/>
          <w:i/>
          <w:sz w:val="19"/>
        </w:rPr>
        <w:t>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outlineLvl w:val="1"/>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outlineLvl w:val="1"/>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outlineLvl w:val="1"/>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outlineLvl w:val="1"/>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outlineLvl w:val="1"/>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pPr>
        <w:spacing w:before="240" w:after="80"/>
        <w:outlineLvl w:val="1"/>
      </w:pPr>
      <w:r>
        <w:rPr>
          <w:rFonts w:ascii="Times New Roman" w:hAnsi="Times New Roman"/>
          <w:b/>
          <w:sz w:val="22"/>
        </w:rPr>
        <w:t>5.9 Classical Machine Learning Classification Benchmark</w:t>
      </w:r>
    </w:p>
    <w:p>
      <w:pPr>
        <w:spacing w:after="80"/>
        <w:jc w:val="both"/>
      </w:pPr>
      <w:r>
        <w:t>To complement end-to-end neural vision-language model evaluation and assess the predictability of field extraction failures from structural, optical, and length features, we conduct a classical supervised machine learning benchmark. We evaluate two foundational tree-based classification algorithms—Decision Tree (DT) and Random Forest (RF)—to predict whether a given extraction observation results in an exact field match (y = 1) or an extraction mismatch/OCR failure (y = 0). The evaluation dataset comprises 24,480 paired field observations across 360 specimens extracted from live benchmark evaluations (paired_field_observations.csv), containing 18,263 exact match instances (74.60%) and 6,217 mismatch instances (25.40%).</w:t>
      </w:r>
    </w:p>
    <w:p>
      <w:pPr>
        <w:spacing w:after="80"/>
        <w:jc w:val="both"/>
      </w:pPr>
      <w:r>
        <w:t>Six non-leaky input features are extracted for each observation: document_type (3 categories: student_id, marksheet, certificate), quality_profile (4 optical degradation profiles: clean, mobile_camera, scanner_copy, rotated_90), field_name (68 document field categories), expected_len (ground truth string character length), predicted_len (extracted string character length), and is_missing (binary flag indicating unextracted null predictions). To prevent data leakage, all preprocessing transformers—including OneHotEncoder(handle_unknown='ignore') for categorical variables and StandardScaler() for numerical features—are encapsulated inside an sklearn.pipeline.Pipeline and fitted exclusively on the training split (X_train) during model fitting.</w:t>
      </w:r>
    </w:p>
    <w:p>
      <w:pPr>
        <w:spacing w:after="120"/>
        <w:jc w:val="both"/>
      </w:pPr>
      <w:r>
        <w:t>Classifiers are benchmarked across three stratified train-test partitions: 60:40 (N_train = 14,688, N_test = 9,792), 70:30 (N_train = 17,136, N_test = 7,344), and 80:20 (N_train = 19,584, N_test = 4,896) using a fixed seed (random_state = 42). Random Forest models are parameterized with n_estimators = 100, max_depth = 15, and criterion = 'gini'. Decision Tree models use max_depth = 15 and criterion = 'gini'. Prediction inference latency is measured exclusively around pipeline.predict(X_test) using high-resolution timers (time.perf_counter()). Table IX summarizes the twelve derived confusion-matrix performance metrics across all six model-split configurations.</w:t>
      </w:r>
    </w:p>
    <w:p>
      <w:pPr>
        <w:spacing w:before="160" w:after="80"/>
        <w:jc w:val="center"/>
      </w:pPr>
      <w:r>
        <w:rPr>
          <w:rFonts w:ascii="Times New Roman" w:hAnsi="Times New Roman"/>
          <w:b/>
          <w:sz w:val="19"/>
        </w:rPr>
        <w:t>TABLE IX: CLASSICAL MACHINE LEARNING BENCHMARK COMPARISON (RF VS. DT ACROSS TRAIN-TEST SPLITS)</w:t>
      </w:r>
    </w:p>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Times New Roman" w:hAnsi="Times New Roman"/>
                <w:b/>
                <w:sz w:val="17"/>
              </w:rPr>
              <w:t>Metric</w:t>
            </w:r>
          </w:p>
        </w:tc>
        <w:tc>
          <w:tcPr>
            <w:tcW w:type="dxa" w:w="1337"/>
          </w:tcPr>
          <w:p>
            <w:pPr>
              <w:jc w:val="center"/>
            </w:pPr>
            <w:r>
              <w:rPr>
                <w:rFonts w:ascii="Times New Roman" w:hAnsi="Times New Roman"/>
                <w:b/>
                <w:sz w:val="17"/>
              </w:rPr>
              <w:t>RF 60:40</w:t>
            </w:r>
          </w:p>
        </w:tc>
        <w:tc>
          <w:tcPr>
            <w:tcW w:type="dxa" w:w="1337"/>
          </w:tcPr>
          <w:p>
            <w:pPr>
              <w:jc w:val="center"/>
            </w:pPr>
            <w:r>
              <w:rPr>
                <w:rFonts w:ascii="Times New Roman" w:hAnsi="Times New Roman"/>
                <w:b/>
                <w:sz w:val="17"/>
              </w:rPr>
              <w:t>RF 70:30</w:t>
            </w:r>
          </w:p>
        </w:tc>
        <w:tc>
          <w:tcPr>
            <w:tcW w:type="dxa" w:w="1337"/>
          </w:tcPr>
          <w:p>
            <w:pPr>
              <w:jc w:val="center"/>
            </w:pPr>
            <w:r>
              <w:rPr>
                <w:rFonts w:ascii="Times New Roman" w:hAnsi="Times New Roman"/>
                <w:b/>
                <w:sz w:val="17"/>
              </w:rPr>
              <w:t>RF 80:20</w:t>
            </w:r>
          </w:p>
        </w:tc>
        <w:tc>
          <w:tcPr>
            <w:tcW w:type="dxa" w:w="1337"/>
          </w:tcPr>
          <w:p>
            <w:pPr>
              <w:jc w:val="center"/>
            </w:pPr>
            <w:r>
              <w:rPr>
                <w:rFonts w:ascii="Times New Roman" w:hAnsi="Times New Roman"/>
                <w:b/>
                <w:sz w:val="17"/>
              </w:rPr>
              <w:t>DT 60:40</w:t>
            </w:r>
          </w:p>
        </w:tc>
        <w:tc>
          <w:tcPr>
            <w:tcW w:type="dxa" w:w="1337"/>
          </w:tcPr>
          <w:p>
            <w:pPr>
              <w:jc w:val="center"/>
            </w:pPr>
            <w:r>
              <w:rPr>
                <w:rFonts w:ascii="Times New Roman" w:hAnsi="Times New Roman"/>
                <w:b/>
                <w:sz w:val="17"/>
              </w:rPr>
              <w:t>DT 70:30</w:t>
            </w:r>
          </w:p>
        </w:tc>
        <w:tc>
          <w:tcPr>
            <w:tcW w:type="dxa" w:w="1337"/>
          </w:tcPr>
          <w:p>
            <w:pPr>
              <w:jc w:val="center"/>
            </w:pPr>
            <w:r>
              <w:rPr>
                <w:rFonts w:ascii="Times New Roman" w:hAnsi="Times New Roman"/>
                <w:b/>
                <w:sz w:val="17"/>
              </w:rPr>
              <w:t>DT 80:20</w:t>
            </w:r>
          </w:p>
        </w:tc>
      </w:tr>
      <w:tr>
        <w:tc>
          <w:tcPr>
            <w:tcW w:type="dxa" w:w="1337"/>
          </w:tcPr>
          <w:p>
            <w:pPr>
              <w:jc w:val="left"/>
            </w:pPr>
            <w:r>
              <w:rPr>
                <w:rFonts w:ascii="Times New Roman" w:hAnsi="Times New Roman"/>
                <w:b/>
                <w:sz w:val="17"/>
              </w:rPr>
              <w:t>Accuracy</w:t>
            </w:r>
          </w:p>
        </w:tc>
        <w:tc>
          <w:tcPr>
            <w:tcW w:type="dxa" w:w="1337"/>
          </w:tcPr>
          <w:p>
            <w:pPr>
              <w:jc w:val="center"/>
            </w:pPr>
            <w:r>
              <w:rPr>
                <w:rFonts w:ascii="Times New Roman" w:hAnsi="Times New Roman"/>
                <w:sz w:val="17"/>
              </w:rPr>
              <w:t>0.874898</w:t>
            </w:r>
          </w:p>
        </w:tc>
        <w:tc>
          <w:tcPr>
            <w:tcW w:type="dxa" w:w="1337"/>
          </w:tcPr>
          <w:p>
            <w:pPr>
              <w:jc w:val="center"/>
            </w:pPr>
            <w:r>
              <w:rPr>
                <w:rFonts w:ascii="Times New Roman" w:hAnsi="Times New Roman"/>
                <w:sz w:val="17"/>
              </w:rPr>
              <w:t>0.875817</w:t>
            </w:r>
          </w:p>
        </w:tc>
        <w:tc>
          <w:tcPr>
            <w:tcW w:type="dxa" w:w="1337"/>
          </w:tcPr>
          <w:p>
            <w:pPr>
              <w:jc w:val="center"/>
            </w:pPr>
            <w:r>
              <w:rPr>
                <w:rFonts w:ascii="Times New Roman" w:hAnsi="Times New Roman"/>
                <w:sz w:val="17"/>
              </w:rPr>
              <w:t>0.878676</w:t>
            </w:r>
          </w:p>
        </w:tc>
        <w:tc>
          <w:tcPr>
            <w:tcW w:type="dxa" w:w="1337"/>
          </w:tcPr>
          <w:p>
            <w:pPr>
              <w:jc w:val="center"/>
            </w:pPr>
            <w:r>
              <w:rPr>
                <w:rFonts w:ascii="Times New Roman" w:hAnsi="Times New Roman"/>
                <w:sz w:val="17"/>
              </w:rPr>
              <w:t>0.934947</w:t>
            </w:r>
          </w:p>
        </w:tc>
        <w:tc>
          <w:tcPr>
            <w:tcW w:type="dxa" w:w="1337"/>
          </w:tcPr>
          <w:p>
            <w:pPr>
              <w:jc w:val="center"/>
            </w:pPr>
            <w:r>
              <w:rPr>
                <w:rFonts w:ascii="Times New Roman" w:hAnsi="Times New Roman"/>
                <w:sz w:val="17"/>
              </w:rPr>
              <w:t>0.935185</w:t>
            </w:r>
          </w:p>
        </w:tc>
        <w:tc>
          <w:tcPr>
            <w:tcW w:type="dxa" w:w="1337"/>
          </w:tcPr>
          <w:p>
            <w:pPr>
              <w:jc w:val="center"/>
            </w:pPr>
            <w:r>
              <w:rPr>
                <w:rFonts w:ascii="Times New Roman" w:hAnsi="Times New Roman"/>
                <w:sz w:val="17"/>
              </w:rPr>
              <w:t>0.936887</w:t>
            </w:r>
          </w:p>
        </w:tc>
      </w:tr>
      <w:tr>
        <w:tc>
          <w:tcPr>
            <w:tcW w:type="dxa" w:w="1337"/>
          </w:tcPr>
          <w:p>
            <w:pPr>
              <w:jc w:val="left"/>
            </w:pPr>
            <w:r>
              <w:rPr>
                <w:rFonts w:ascii="Times New Roman" w:hAnsi="Times New Roman"/>
                <w:b/>
                <w:sz w:val="17"/>
              </w:rPr>
              <w:t>Precision</w:t>
            </w:r>
          </w:p>
        </w:tc>
        <w:tc>
          <w:tcPr>
            <w:tcW w:type="dxa" w:w="1337"/>
          </w:tcPr>
          <w:p>
            <w:pPr>
              <w:jc w:val="center"/>
            </w:pPr>
            <w:r>
              <w:rPr>
                <w:rFonts w:ascii="Times New Roman" w:hAnsi="Times New Roman"/>
                <w:sz w:val="17"/>
              </w:rPr>
              <w:t>0.856389</w:t>
            </w:r>
          </w:p>
        </w:tc>
        <w:tc>
          <w:tcPr>
            <w:tcW w:type="dxa" w:w="1337"/>
          </w:tcPr>
          <w:p>
            <w:pPr>
              <w:jc w:val="center"/>
            </w:pPr>
            <w:r>
              <w:rPr>
                <w:rFonts w:ascii="Times New Roman" w:hAnsi="Times New Roman"/>
                <w:sz w:val="17"/>
              </w:rPr>
              <w:t>0.857299</w:t>
            </w:r>
          </w:p>
        </w:tc>
        <w:tc>
          <w:tcPr>
            <w:tcW w:type="dxa" w:w="1337"/>
          </w:tcPr>
          <w:p>
            <w:pPr>
              <w:jc w:val="center"/>
            </w:pPr>
            <w:r>
              <w:rPr>
                <w:rFonts w:ascii="Times New Roman" w:hAnsi="Times New Roman"/>
                <w:sz w:val="17"/>
              </w:rPr>
              <w:t>0.860137</w:t>
            </w:r>
          </w:p>
        </w:tc>
        <w:tc>
          <w:tcPr>
            <w:tcW w:type="dxa" w:w="1337"/>
          </w:tcPr>
          <w:p>
            <w:pPr>
              <w:jc w:val="center"/>
            </w:pPr>
            <w:r>
              <w:rPr>
                <w:rFonts w:ascii="Times New Roman" w:hAnsi="Times New Roman"/>
                <w:sz w:val="17"/>
              </w:rPr>
              <w:t>0.927326</w:t>
            </w:r>
          </w:p>
        </w:tc>
        <w:tc>
          <w:tcPr>
            <w:tcW w:type="dxa" w:w="1337"/>
          </w:tcPr>
          <w:p>
            <w:pPr>
              <w:jc w:val="center"/>
            </w:pPr>
            <w:r>
              <w:rPr>
                <w:rFonts w:ascii="Times New Roman" w:hAnsi="Times New Roman"/>
                <w:sz w:val="17"/>
              </w:rPr>
              <w:t>0.925498</w:t>
            </w:r>
          </w:p>
        </w:tc>
        <w:tc>
          <w:tcPr>
            <w:tcW w:type="dxa" w:w="1337"/>
          </w:tcPr>
          <w:p>
            <w:pPr>
              <w:jc w:val="center"/>
            </w:pPr>
            <w:r>
              <w:rPr>
                <w:rFonts w:ascii="Times New Roman" w:hAnsi="Times New Roman"/>
                <w:sz w:val="17"/>
              </w:rPr>
              <w:t>0.928059</w:t>
            </w:r>
          </w:p>
        </w:tc>
      </w:tr>
      <w:tr>
        <w:tc>
          <w:tcPr>
            <w:tcW w:type="dxa" w:w="1337"/>
          </w:tcPr>
          <w:p>
            <w:pPr>
              <w:jc w:val="left"/>
            </w:pPr>
            <w:r>
              <w:rPr>
                <w:rFonts w:ascii="Times New Roman" w:hAnsi="Times New Roman"/>
                <w:b/>
                <w:sz w:val="17"/>
              </w:rPr>
              <w:t>Recall</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0.990418</w:t>
            </w:r>
          </w:p>
        </w:tc>
        <w:tc>
          <w:tcPr>
            <w:tcW w:type="dxa" w:w="1337"/>
          </w:tcPr>
          <w:p>
            <w:pPr>
              <w:jc w:val="center"/>
            </w:pPr>
            <w:r>
              <w:rPr>
                <w:rFonts w:ascii="Times New Roman" w:hAnsi="Times New Roman"/>
                <w:sz w:val="17"/>
              </w:rPr>
              <w:t>0.993064</w:t>
            </w:r>
          </w:p>
        </w:tc>
        <w:tc>
          <w:tcPr>
            <w:tcW w:type="dxa" w:w="1337"/>
          </w:tcPr>
          <w:p>
            <w:pPr>
              <w:jc w:val="center"/>
            </w:pPr>
            <w:r>
              <w:rPr>
                <w:rFonts w:ascii="Times New Roman" w:hAnsi="Times New Roman"/>
                <w:sz w:val="17"/>
              </w:rPr>
              <w:t>0.992335</w:t>
            </w:r>
          </w:p>
        </w:tc>
      </w:tr>
      <w:tr>
        <w:tc>
          <w:tcPr>
            <w:tcW w:type="dxa" w:w="1337"/>
          </w:tcPr>
          <w:p>
            <w:pPr>
              <w:jc w:val="left"/>
            </w:pPr>
            <w:r>
              <w:rPr>
                <w:rFonts w:ascii="Times New Roman" w:hAnsi="Times New Roman"/>
                <w:b/>
                <w:sz w:val="17"/>
              </w:rPr>
              <w:t>F1-Score</w:t>
            </w:r>
          </w:p>
        </w:tc>
        <w:tc>
          <w:tcPr>
            <w:tcW w:type="dxa" w:w="1337"/>
          </w:tcPr>
          <w:p>
            <w:pPr>
              <w:jc w:val="center"/>
            </w:pPr>
            <w:r>
              <w:rPr>
                <w:rFonts w:ascii="Times New Roman" w:hAnsi="Times New Roman"/>
                <w:sz w:val="17"/>
              </w:rPr>
              <w:t>0.922640</w:t>
            </w:r>
          </w:p>
        </w:tc>
        <w:tc>
          <w:tcPr>
            <w:tcW w:type="dxa" w:w="1337"/>
          </w:tcPr>
          <w:p>
            <w:pPr>
              <w:jc w:val="center"/>
            </w:pPr>
            <w:r>
              <w:rPr>
                <w:rFonts w:ascii="Times New Roman" w:hAnsi="Times New Roman"/>
                <w:sz w:val="17"/>
              </w:rPr>
              <w:t>0.923168</w:t>
            </w:r>
          </w:p>
        </w:tc>
        <w:tc>
          <w:tcPr>
            <w:tcW w:type="dxa" w:w="1337"/>
          </w:tcPr>
          <w:p>
            <w:pPr>
              <w:jc w:val="center"/>
            </w:pPr>
            <w:r>
              <w:rPr>
                <w:rFonts w:ascii="Times New Roman" w:hAnsi="Times New Roman"/>
                <w:sz w:val="17"/>
              </w:rPr>
              <w:t>0.924810</w:t>
            </w:r>
          </w:p>
        </w:tc>
        <w:tc>
          <w:tcPr>
            <w:tcW w:type="dxa" w:w="1337"/>
          </w:tcPr>
          <w:p>
            <w:pPr>
              <w:jc w:val="center"/>
            </w:pPr>
            <w:r>
              <w:rPr>
                <w:rFonts w:ascii="Times New Roman" w:hAnsi="Times New Roman"/>
                <w:sz w:val="17"/>
              </w:rPr>
              <w:t>0.957834</w:t>
            </w:r>
          </w:p>
        </w:tc>
        <w:tc>
          <w:tcPr>
            <w:tcW w:type="dxa" w:w="1337"/>
          </w:tcPr>
          <w:p>
            <w:pPr>
              <w:jc w:val="center"/>
            </w:pPr>
            <w:r>
              <w:rPr>
                <w:rFonts w:ascii="Times New Roman" w:hAnsi="Times New Roman"/>
                <w:sz w:val="17"/>
              </w:rPr>
              <w:t>0.958091</w:t>
            </w:r>
          </w:p>
        </w:tc>
        <w:tc>
          <w:tcPr>
            <w:tcW w:type="dxa" w:w="1337"/>
          </w:tcPr>
          <w:p>
            <w:pPr>
              <w:jc w:val="center"/>
            </w:pPr>
            <w:r>
              <w:rPr>
                <w:rFonts w:ascii="Times New Roman" w:hAnsi="Times New Roman"/>
                <w:sz w:val="17"/>
              </w:rPr>
              <w:t>0.959122</w:t>
            </w:r>
          </w:p>
        </w:tc>
      </w:tr>
      <w:tr>
        <w:tc>
          <w:tcPr>
            <w:tcW w:type="dxa" w:w="1337"/>
          </w:tcPr>
          <w:p>
            <w:pPr>
              <w:jc w:val="left"/>
            </w:pPr>
            <w:r>
              <w:rPr>
                <w:rFonts w:ascii="Times New Roman" w:hAnsi="Times New Roman"/>
                <w:b/>
                <w:sz w:val="17"/>
              </w:rPr>
              <w:t>Specificity</w:t>
            </w:r>
          </w:p>
        </w:tc>
        <w:tc>
          <w:tcPr>
            <w:tcW w:type="dxa" w:w="1337"/>
          </w:tcPr>
          <w:p>
            <w:pPr>
              <w:jc w:val="center"/>
            </w:pPr>
            <w:r>
              <w:rPr>
                <w:rFonts w:ascii="Times New Roman" w:hAnsi="Times New Roman"/>
                <w:sz w:val="17"/>
              </w:rPr>
              <w:t>0.507439</w:t>
            </w:r>
          </w:p>
        </w:tc>
        <w:tc>
          <w:tcPr>
            <w:tcW w:type="dxa" w:w="1337"/>
          </w:tcPr>
          <w:p>
            <w:pPr>
              <w:jc w:val="center"/>
            </w:pPr>
            <w:r>
              <w:rPr>
                <w:rFonts w:ascii="Times New Roman" w:hAnsi="Times New Roman"/>
                <w:sz w:val="17"/>
              </w:rPr>
              <w:t>0.510992</w:t>
            </w:r>
          </w:p>
        </w:tc>
        <w:tc>
          <w:tcPr>
            <w:tcW w:type="dxa" w:w="1337"/>
          </w:tcPr>
          <w:p>
            <w:pPr>
              <w:jc w:val="center"/>
            </w:pPr>
            <w:r>
              <w:rPr>
                <w:rFonts w:ascii="Times New Roman" w:hAnsi="Times New Roman"/>
                <w:sz w:val="17"/>
              </w:rPr>
              <w:t>0.522124</w:t>
            </w:r>
          </w:p>
        </w:tc>
        <w:tc>
          <w:tcPr>
            <w:tcW w:type="dxa" w:w="1337"/>
          </w:tcPr>
          <w:p>
            <w:pPr>
              <w:jc w:val="center"/>
            </w:pPr>
            <w:r>
              <w:rPr>
                <w:rFonts w:ascii="Times New Roman" w:hAnsi="Times New Roman"/>
                <w:sz w:val="17"/>
              </w:rPr>
              <w:t>0.772014</w:t>
            </w:r>
          </w:p>
        </w:tc>
        <w:tc>
          <w:tcPr>
            <w:tcW w:type="dxa" w:w="1337"/>
          </w:tcPr>
          <w:p>
            <w:pPr>
              <w:jc w:val="center"/>
            </w:pPr>
            <w:r>
              <w:rPr>
                <w:rFonts w:ascii="Times New Roman" w:hAnsi="Times New Roman"/>
                <w:sz w:val="17"/>
              </w:rPr>
              <w:t>0.765147</w:t>
            </w:r>
          </w:p>
        </w:tc>
        <w:tc>
          <w:tcPr>
            <w:tcW w:type="dxa" w:w="1337"/>
          </w:tcPr>
          <w:p>
            <w:pPr>
              <w:jc w:val="center"/>
            </w:pPr>
            <w:r>
              <w:rPr>
                <w:rFonts w:ascii="Times New Roman" w:hAnsi="Times New Roman"/>
                <w:sz w:val="17"/>
              </w:rPr>
              <w:t>0.773934</w:t>
            </w:r>
          </w:p>
        </w:tc>
      </w:tr>
      <w:tr>
        <w:tc>
          <w:tcPr>
            <w:tcW w:type="dxa" w:w="1337"/>
          </w:tcPr>
          <w:p>
            <w:pPr>
              <w:jc w:val="left"/>
            </w:pPr>
            <w:r>
              <w:rPr>
                <w:rFonts w:ascii="Times New Roman" w:hAnsi="Times New Roman"/>
                <w:b/>
                <w:sz w:val="17"/>
              </w:rPr>
              <w:t>NPV</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0.964824</w:t>
            </w:r>
          </w:p>
        </w:tc>
        <w:tc>
          <w:tcPr>
            <w:tcW w:type="dxa" w:w="1337"/>
          </w:tcPr>
          <w:p>
            <w:pPr>
              <w:jc w:val="center"/>
            </w:pPr>
            <w:r>
              <w:rPr>
                <w:rFonts w:ascii="Times New Roman" w:hAnsi="Times New Roman"/>
                <w:sz w:val="17"/>
              </w:rPr>
              <w:t>0.974061</w:t>
            </w:r>
          </w:p>
        </w:tc>
        <w:tc>
          <w:tcPr>
            <w:tcW w:type="dxa" w:w="1337"/>
          </w:tcPr>
          <w:p>
            <w:pPr>
              <w:jc w:val="center"/>
            </w:pPr>
            <w:r>
              <w:rPr>
                <w:rFonts w:ascii="Times New Roman" w:hAnsi="Times New Roman"/>
                <w:sz w:val="17"/>
              </w:rPr>
              <w:t>0.971717</w:t>
            </w:r>
          </w:p>
        </w:tc>
      </w:tr>
      <w:tr>
        <w:tc>
          <w:tcPr>
            <w:tcW w:type="dxa" w:w="1337"/>
          </w:tcPr>
          <w:p>
            <w:pPr>
              <w:jc w:val="left"/>
            </w:pPr>
            <w:r>
              <w:rPr>
                <w:rFonts w:ascii="Times New Roman" w:hAnsi="Times New Roman"/>
                <w:b/>
                <w:sz w:val="17"/>
              </w:rPr>
              <w:t>MCC</w:t>
            </w:r>
          </w:p>
        </w:tc>
        <w:tc>
          <w:tcPr>
            <w:tcW w:type="dxa" w:w="1337"/>
          </w:tcPr>
          <w:p>
            <w:pPr>
              <w:jc w:val="center"/>
            </w:pPr>
            <w:r>
              <w:rPr>
                <w:rFonts w:ascii="Times New Roman" w:hAnsi="Times New Roman"/>
                <w:sz w:val="17"/>
              </w:rPr>
              <w:t>0.659215</w:t>
            </w:r>
          </w:p>
        </w:tc>
        <w:tc>
          <w:tcPr>
            <w:tcW w:type="dxa" w:w="1337"/>
          </w:tcPr>
          <w:p>
            <w:pPr>
              <w:jc w:val="center"/>
            </w:pPr>
            <w:r>
              <w:rPr>
                <w:rFonts w:ascii="Times New Roman" w:hAnsi="Times New Roman"/>
                <w:sz w:val="17"/>
              </w:rPr>
              <w:t>0.661871</w:t>
            </w:r>
          </w:p>
        </w:tc>
        <w:tc>
          <w:tcPr>
            <w:tcW w:type="dxa" w:w="1337"/>
          </w:tcPr>
          <w:p>
            <w:pPr>
              <w:jc w:val="center"/>
            </w:pPr>
            <w:r>
              <w:rPr>
                <w:rFonts w:ascii="Times New Roman" w:hAnsi="Times New Roman"/>
                <w:sz w:val="17"/>
              </w:rPr>
              <w:t>0.670148</w:t>
            </w:r>
          </w:p>
        </w:tc>
        <w:tc>
          <w:tcPr>
            <w:tcW w:type="dxa" w:w="1337"/>
          </w:tcPr>
          <w:p>
            <w:pPr>
              <w:jc w:val="center"/>
            </w:pPr>
            <w:r>
              <w:rPr>
                <w:rFonts w:ascii="Times New Roman" w:hAnsi="Times New Roman"/>
                <w:sz w:val="17"/>
              </w:rPr>
              <w:t>0.824745</w:t>
            </w:r>
          </w:p>
        </w:tc>
        <w:tc>
          <w:tcPr>
            <w:tcW w:type="dxa" w:w="1337"/>
          </w:tcPr>
          <w:p>
            <w:pPr>
              <w:jc w:val="center"/>
            </w:pPr>
            <w:r>
              <w:rPr>
                <w:rFonts w:ascii="Times New Roman" w:hAnsi="Times New Roman"/>
                <w:sz w:val="17"/>
              </w:rPr>
              <w:t>0.825867</w:t>
            </w:r>
          </w:p>
        </w:tc>
        <w:tc>
          <w:tcPr>
            <w:tcW w:type="dxa" w:w="1337"/>
          </w:tcPr>
          <w:p>
            <w:pPr>
              <w:jc w:val="center"/>
            </w:pPr>
            <w:r>
              <w:rPr>
                <w:rFonts w:ascii="Times New Roman" w:hAnsi="Times New Roman"/>
                <w:sz w:val="17"/>
              </w:rPr>
              <w:t>0.830344</w:t>
            </w:r>
          </w:p>
        </w:tc>
      </w:tr>
      <w:tr>
        <w:tc>
          <w:tcPr>
            <w:tcW w:type="dxa" w:w="1337"/>
          </w:tcPr>
          <w:p>
            <w:pPr>
              <w:jc w:val="left"/>
            </w:pPr>
            <w:r>
              <w:rPr>
                <w:rFonts w:ascii="Times New Roman" w:hAnsi="Times New Roman"/>
                <w:b/>
                <w:sz w:val="17"/>
              </w:rPr>
              <w:t>FPR</w:t>
            </w:r>
          </w:p>
        </w:tc>
        <w:tc>
          <w:tcPr>
            <w:tcW w:type="dxa" w:w="1337"/>
          </w:tcPr>
          <w:p>
            <w:pPr>
              <w:jc w:val="center"/>
            </w:pPr>
            <w:r>
              <w:rPr>
                <w:rFonts w:ascii="Times New Roman" w:hAnsi="Times New Roman"/>
                <w:sz w:val="17"/>
              </w:rPr>
              <w:t>0.492561</w:t>
            </w:r>
          </w:p>
        </w:tc>
        <w:tc>
          <w:tcPr>
            <w:tcW w:type="dxa" w:w="1337"/>
          </w:tcPr>
          <w:p>
            <w:pPr>
              <w:jc w:val="center"/>
            </w:pPr>
            <w:r>
              <w:rPr>
                <w:rFonts w:ascii="Times New Roman" w:hAnsi="Times New Roman"/>
                <w:sz w:val="17"/>
              </w:rPr>
              <w:t>0.489008</w:t>
            </w:r>
          </w:p>
        </w:tc>
        <w:tc>
          <w:tcPr>
            <w:tcW w:type="dxa" w:w="1337"/>
          </w:tcPr>
          <w:p>
            <w:pPr>
              <w:jc w:val="center"/>
            </w:pPr>
            <w:r>
              <w:rPr>
                <w:rFonts w:ascii="Times New Roman" w:hAnsi="Times New Roman"/>
                <w:sz w:val="17"/>
              </w:rPr>
              <w:t>0.477876</w:t>
            </w:r>
          </w:p>
        </w:tc>
        <w:tc>
          <w:tcPr>
            <w:tcW w:type="dxa" w:w="1337"/>
          </w:tcPr>
          <w:p>
            <w:pPr>
              <w:jc w:val="center"/>
            </w:pPr>
            <w:r>
              <w:rPr>
                <w:rFonts w:ascii="Times New Roman" w:hAnsi="Times New Roman"/>
                <w:sz w:val="17"/>
              </w:rPr>
              <w:t>0.227986</w:t>
            </w:r>
          </w:p>
        </w:tc>
        <w:tc>
          <w:tcPr>
            <w:tcW w:type="dxa" w:w="1337"/>
          </w:tcPr>
          <w:p>
            <w:pPr>
              <w:jc w:val="center"/>
            </w:pPr>
            <w:r>
              <w:rPr>
                <w:rFonts w:ascii="Times New Roman" w:hAnsi="Times New Roman"/>
                <w:sz w:val="17"/>
              </w:rPr>
              <w:t>0.234853</w:t>
            </w:r>
          </w:p>
        </w:tc>
        <w:tc>
          <w:tcPr>
            <w:tcW w:type="dxa" w:w="1337"/>
          </w:tcPr>
          <w:p>
            <w:pPr>
              <w:jc w:val="center"/>
            </w:pPr>
            <w:r>
              <w:rPr>
                <w:rFonts w:ascii="Times New Roman" w:hAnsi="Times New Roman"/>
                <w:sz w:val="17"/>
              </w:rPr>
              <w:t>0.226066</w:t>
            </w:r>
          </w:p>
        </w:tc>
      </w:tr>
      <w:tr>
        <w:tc>
          <w:tcPr>
            <w:tcW w:type="dxa" w:w="1337"/>
          </w:tcPr>
          <w:p>
            <w:pPr>
              <w:jc w:val="left"/>
            </w:pPr>
            <w:r>
              <w:rPr>
                <w:rFonts w:ascii="Times New Roman" w:hAnsi="Times New Roman"/>
                <w:b/>
                <w:sz w:val="17"/>
              </w:rPr>
              <w:t>FNR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0.009582</w:t>
            </w:r>
          </w:p>
        </w:tc>
        <w:tc>
          <w:tcPr>
            <w:tcW w:type="dxa" w:w="1337"/>
          </w:tcPr>
          <w:p>
            <w:pPr>
              <w:jc w:val="center"/>
            </w:pPr>
            <w:r>
              <w:rPr>
                <w:rFonts w:ascii="Times New Roman" w:hAnsi="Times New Roman"/>
                <w:sz w:val="17"/>
              </w:rPr>
              <w:t>0.006936</w:t>
            </w:r>
          </w:p>
        </w:tc>
        <w:tc>
          <w:tcPr>
            <w:tcW w:type="dxa" w:w="1337"/>
          </w:tcPr>
          <w:p>
            <w:pPr>
              <w:jc w:val="center"/>
            </w:pPr>
            <w:r>
              <w:rPr>
                <w:rFonts w:ascii="Times New Roman" w:hAnsi="Times New Roman"/>
                <w:sz w:val="17"/>
              </w:rPr>
              <w:t>0.007665</w:t>
            </w:r>
          </w:p>
        </w:tc>
      </w:tr>
      <w:tr>
        <w:tc>
          <w:tcPr>
            <w:tcW w:type="dxa" w:w="1337"/>
          </w:tcPr>
          <w:p>
            <w:pPr>
              <w:jc w:val="left"/>
            </w:pPr>
            <w:r>
              <w:rPr>
                <w:rFonts w:ascii="Times New Roman" w:hAnsi="Times New Roman"/>
                <w:b/>
                <w:sz w:val="17"/>
              </w:rPr>
              <w:t>FDR</w:t>
            </w:r>
          </w:p>
        </w:tc>
        <w:tc>
          <w:tcPr>
            <w:tcW w:type="dxa" w:w="1337"/>
          </w:tcPr>
          <w:p>
            <w:pPr>
              <w:jc w:val="center"/>
            </w:pPr>
            <w:r>
              <w:rPr>
                <w:rFonts w:ascii="Times New Roman" w:hAnsi="Times New Roman"/>
                <w:sz w:val="17"/>
              </w:rPr>
              <w:t>0.143611</w:t>
            </w:r>
          </w:p>
        </w:tc>
        <w:tc>
          <w:tcPr>
            <w:tcW w:type="dxa" w:w="1337"/>
          </w:tcPr>
          <w:p>
            <w:pPr>
              <w:jc w:val="center"/>
            </w:pPr>
            <w:r>
              <w:rPr>
                <w:rFonts w:ascii="Times New Roman" w:hAnsi="Times New Roman"/>
                <w:sz w:val="17"/>
              </w:rPr>
              <w:t>0.142701</w:t>
            </w:r>
          </w:p>
        </w:tc>
        <w:tc>
          <w:tcPr>
            <w:tcW w:type="dxa" w:w="1337"/>
          </w:tcPr>
          <w:p>
            <w:pPr>
              <w:jc w:val="center"/>
            </w:pPr>
            <w:r>
              <w:rPr>
                <w:rFonts w:ascii="Times New Roman" w:hAnsi="Times New Roman"/>
                <w:sz w:val="17"/>
              </w:rPr>
              <w:t>0.139863</w:t>
            </w:r>
          </w:p>
        </w:tc>
        <w:tc>
          <w:tcPr>
            <w:tcW w:type="dxa" w:w="1337"/>
          </w:tcPr>
          <w:p>
            <w:pPr>
              <w:jc w:val="center"/>
            </w:pPr>
            <w:r>
              <w:rPr>
                <w:rFonts w:ascii="Times New Roman" w:hAnsi="Times New Roman"/>
                <w:sz w:val="17"/>
              </w:rPr>
              <w:t>0.072674</w:t>
            </w:r>
          </w:p>
        </w:tc>
        <w:tc>
          <w:tcPr>
            <w:tcW w:type="dxa" w:w="1337"/>
          </w:tcPr>
          <w:p>
            <w:pPr>
              <w:jc w:val="center"/>
            </w:pPr>
            <w:r>
              <w:rPr>
                <w:rFonts w:ascii="Times New Roman" w:hAnsi="Times New Roman"/>
                <w:sz w:val="17"/>
              </w:rPr>
              <w:t>0.074502</w:t>
            </w:r>
          </w:p>
        </w:tc>
        <w:tc>
          <w:tcPr>
            <w:tcW w:type="dxa" w:w="1337"/>
          </w:tcPr>
          <w:p>
            <w:pPr>
              <w:jc w:val="center"/>
            </w:pPr>
            <w:r>
              <w:rPr>
                <w:rFonts w:ascii="Times New Roman" w:hAnsi="Times New Roman"/>
                <w:sz w:val="17"/>
              </w:rPr>
              <w:t>0.071941</w:t>
            </w:r>
          </w:p>
        </w:tc>
      </w:tr>
      <w:tr>
        <w:tc>
          <w:tcPr>
            <w:tcW w:type="dxa" w:w="1337"/>
          </w:tcPr>
          <w:p>
            <w:pPr>
              <w:jc w:val="left"/>
            </w:pPr>
            <w:r>
              <w:rPr>
                <w:rFonts w:ascii="Times New Roman" w:hAnsi="Times New Roman"/>
                <w:b/>
                <w:sz w:val="17"/>
              </w:rPr>
              <w:t>FOR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r>
      <w:tr>
        <w:tc>
          <w:tcPr>
            <w:tcW w:type="dxa" w:w="1337"/>
          </w:tcPr>
          <w:p>
            <w:pPr>
              <w:jc w:val="left"/>
            </w:pPr>
            <w:r>
              <w:rPr>
                <w:rFonts w:ascii="Times New Roman" w:hAnsi="Times New Roman"/>
                <w:b/>
                <w:sz w:val="17"/>
              </w:rPr>
              <w:t>Prediction Time (s)</w:t>
            </w:r>
          </w:p>
        </w:tc>
        <w:tc>
          <w:tcPr>
            <w:tcW w:type="dxa" w:w="1337"/>
          </w:tcPr>
          <w:p>
            <w:pPr>
              <w:jc w:val="center"/>
            </w:pPr>
            <w:r>
              <w:rPr>
                <w:rFonts w:ascii="Times New Roman" w:hAnsi="Times New Roman"/>
                <w:sz w:val="17"/>
              </w:rPr>
              <w:t>0.167798</w:t>
            </w:r>
          </w:p>
        </w:tc>
        <w:tc>
          <w:tcPr>
            <w:tcW w:type="dxa" w:w="1337"/>
          </w:tcPr>
          <w:p>
            <w:pPr>
              <w:jc w:val="center"/>
            </w:pPr>
            <w:r>
              <w:rPr>
                <w:rFonts w:ascii="Times New Roman" w:hAnsi="Times New Roman"/>
                <w:sz w:val="17"/>
              </w:rPr>
              <w:t>0.146718</w:t>
            </w:r>
          </w:p>
        </w:tc>
        <w:tc>
          <w:tcPr>
            <w:tcW w:type="dxa" w:w="1337"/>
          </w:tcPr>
          <w:p>
            <w:pPr>
              <w:jc w:val="center"/>
            </w:pPr>
            <w:r>
              <w:rPr>
                <w:rFonts w:ascii="Times New Roman" w:hAnsi="Times New Roman"/>
                <w:sz w:val="17"/>
              </w:rPr>
              <w:t>0.120588</w:t>
            </w:r>
          </w:p>
        </w:tc>
        <w:tc>
          <w:tcPr>
            <w:tcW w:type="dxa" w:w="1337"/>
          </w:tcPr>
          <w:p>
            <w:pPr>
              <w:jc w:val="center"/>
            </w:pPr>
            <w:r>
              <w:rPr>
                <w:rFonts w:ascii="Times New Roman" w:hAnsi="Times New Roman"/>
                <w:sz w:val="17"/>
              </w:rPr>
              <w:t>0.025032</w:t>
            </w:r>
          </w:p>
        </w:tc>
        <w:tc>
          <w:tcPr>
            <w:tcW w:type="dxa" w:w="1337"/>
          </w:tcPr>
          <w:p>
            <w:pPr>
              <w:jc w:val="center"/>
            </w:pPr>
            <w:r>
              <w:rPr>
                <w:rFonts w:ascii="Times New Roman" w:hAnsi="Times New Roman"/>
                <w:sz w:val="17"/>
              </w:rPr>
              <w:t>0.018994</w:t>
            </w:r>
          </w:p>
        </w:tc>
        <w:tc>
          <w:tcPr>
            <w:tcW w:type="dxa" w:w="1337"/>
          </w:tcPr>
          <w:p>
            <w:pPr>
              <w:jc w:val="center"/>
            </w:pPr>
            <w:r>
              <w:rPr>
                <w:rFonts w:ascii="Times New Roman" w:hAnsi="Times New Roman"/>
                <w:sz w:val="17"/>
              </w:rPr>
              <w:t>0.016724</w:t>
            </w:r>
          </w:p>
        </w:tc>
      </w:tr>
    </w:tbl>
    <w:p>
      <w:pPr>
        <w:spacing w:before="120" w:after="80"/>
        <w:jc w:val="both"/>
      </w:pPr>
      <w:r>
        <w:t>As demonstrated in Table IX, Decision Tree classifiers consistently outperform Random Forest across all evaluation partitions. The DT 80:20 model achieves top performance with 93.69% classification accuracy, 95.91% F1-score, 77.39% specificity, and an MCC of 0.8303, completing 4,896 test inferences in only 16.72 ms (3.41 µs/specimen). By contrast, RF 80:20 achieves 87.87% accuracy and 92.48% F1-score with 120.59 ms prediction latency.</w:t>
      </w:r>
    </w:p>
    <w:p>
      <w:pPr>
        <w:spacing w:after="120"/>
        <w:jc w:val="both"/>
      </w:pPr>
      <w:r>
        <w:t>The superior accuracy of single Decision Trees over Random Forests in this domain stems from the discrete, axis-aligned partition structure of the feature space. Critical optical degradations—specifically severe 90° rotation (quality_profile = rotated_90) or unextracted null values (is_missing = 1)—exhibit deterministic step-function relationships with field extraction failures. A single deep Decision Tree directly isolates these sharp decision boundaries without hyper-plane smoothing. Conversely, Random Forest bagging averages probability estimates across 100 decorrelated trees, smoothing out crisp binary splits and slightly inflating false positive rates on non-degraded specimens (FPR = 0.4779 for RF 80:20 vs FPR = 0.2261 for DT 80:20). Figures 10 and 11 display the composite confusion matrices for Decision Tree and Random Forest classifiers across all three train-test splits.</w:t>
      </w:r>
    </w:p>
    <w:p>
      <w:pPr>
        <w:spacing w:before="160" w:after="40"/>
        <w:jc w:val="center"/>
      </w:pPr>
      <w:r>
        <w:drawing>
          <ns4:inline>
            <ns4:extent cx="5669280" cy="1514005"/>
            <ns4:docPr id="8" name="Picture 8"/>
            <ns4:cNvGraphicFramePr>
              <ns5:graphicFrameLocks noChangeAspect="1"/>
            </ns4:cNvGraphicFramePr>
            <ns5:graphic>
              <ns5:graphicData uri="http://schemas.openxmlformats.org/drawingml/2006/picture">
                <ns6:pic>
                  <ns6:nvPicPr>
                    <ns6:cNvPr id="0" name="dt_composite.png"/>
                    <ns6:cNvPicPr/>
                  </ns6:nvPicPr>
                  <ns6:blipFill>
                    <ns5:blip r:embed="rId17"/>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10. Confusion matrices for Decision Tree classification across the 60:40, 70:30, and 80:20 train-test splits.</w:t>
      </w:r>
    </w:p>
    <w:p>
      <w:pPr>
        <w:spacing w:before="80" w:after="40"/>
        <w:jc w:val="center"/>
      </w:pPr>
      <w:r>
        <w:drawing>
          <ns4:inline>
            <ns4:extent cx="5669280" cy="1514005"/>
            <ns4:docPr id="9" name="Picture 9"/>
            <ns4:cNvGraphicFramePr>
              <ns5:graphicFrameLocks noChangeAspect="1"/>
            </ns4:cNvGraphicFramePr>
            <ns5:graphic>
              <ns5:graphicData uri="http://schemas.openxmlformats.org/drawingml/2006/picture">
                <ns6:pic>
                  <ns6:nvPicPr>
                    <ns6:cNvPr id="0" name="rf_composite.png"/>
                    <ns6:cNvPicPr/>
                  </ns6:nvPicPr>
                  <ns6:blipFill>
                    <ns5:blip r:embed="rId18"/>
                    <ns5:stretch>
                      <ns5:fillRect/>
                    </ns5:stretch>
                  </ns6:blipFill>
                  <ns6:spPr>
                    <ns5:xfrm>
                      <ns5:off x="0" y="0"/>
                      <ns5:ext cx="5669280" cy="1514005"/>
                    </ns5:xfrm>
                    <ns5:prstGeom prst="rect"/>
                  </ns6:spPr>
                </ns6:pic>
              </ns5:graphicData>
            </ns5:graphic>
          </ns4:inline>
        </w:drawing>
      </w:r>
    </w:p>
    <w:p>
      <w:pPr>
        <w:spacing w:after="240"/>
        <w:jc w:val="center"/>
      </w:pPr>
      <w:r>
        <w:rPr>
          <w:rFonts w:ascii="Times New Roman" w:hAnsi="Times New Roman"/>
          <w:i/>
          <w:sz w:val="18"/>
        </w:rPr>
        <w:t>Fig. 11. Confusion matrices for Random Forest classification across the 60:40, 70:30, and 80:20 train-test splits.</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outlineLvl w:val="1"/>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