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pPr>
        <w:spacing w:before="4600" w:after="0"/>
        <w:jc w:val="center"/>
      </w:pPr>
      <w:r>
        <w:drawing>
          <ns4:inline>
            <ns4:extent cx="4114800" cy="1957913"/>
            <ns4:docPr id="10" name="Picture 10"/>
            <ns4:cNvGraphicFramePr>
              <ns5:graphicFrameLocks noChangeAspect="1"/>
            </ns4:cNvGraphicFramePr>
            <ns5:graphic>
              <ns5:graphicData uri="http://schemas.openxmlformats.org/drawingml/2006/picture">
                <ns6:pic>
                  <ns6:nvPicPr>
                    <ns6:cNvPr id="0" name="new_logo_2.png"/>
                    <ns6:cNvPicPr/>
                  </ns6:nvPicPr>
                  <ns6:blipFill>
                    <ns5:blip r:embed="rId19"/>
                    <ns5:stretch>
                      <ns5:fillRect/>
                    </ns5:stretch>
                  </ns6:blipFill>
                  <ns6:spPr>
                    <ns5:xfrm>
                      <ns5:off x="0" y="0"/>
                      <ns5:ext cx="4114800" cy="1957913"/>
                    </ns5:xfrm>
                    <ns5:prstGeom prst="rect"/>
                  </ns6:spPr>
                </ns6:pic>
              </ns5:graphicData>
            </ns5:graphic>
          </ns4:inline>
        </w:drawing>
      </w:r>
    </w:p>
    <w:p>
      <w:pPr>
        <w:pageBreakBefore/>
        <w:spacing w:before="280" w:after="120"/>
        <w:jc w:val="center"/>
      </w:pPr>
      <w:r>
        <w:rPr>
          <w:rFonts w:ascii="Times New Roman" w:hAnsi="Times New Roman"/>
          <w:b/>
          <w:sz w:val="26"/>
        </w:rPr>
        <w:t>CONTENTS</w:t>
      </w:r>
    </w:p>
    <w:p>
      <w:pPr>
        <w:spacing w:after="120"/>
        <w:pStyle w:val="TOCHeading"/>
      </w:pPr>
      <w:r>
        <w:fldChar w:fldCharType="begin"/>
        <w:instrText xml:space="preserve">TOC \o "1-2" \h \z \u</w:instrText>
        <w:fldChar w:fldCharType="separate"/>
        <w:fldChar w:fldCharType="end"/>
      </w:r>
    </w:p>
    <w:p>
      <w:pPr>
        <w:tabs>
          <w:tab w:pos="9360" w:val="right" w:leader="dot"/>
        </w:tabs>
        <w:spacing w:line="276" w:lineRule="auto" w:after="40"/>
      </w:pPr>
      <w:r>
        <w:rPr>
          <w:rFonts w:ascii="Times New Roman" w:hAnsi="Times New Roman"/>
          <w:b/>
          <w:sz w:val="19"/>
        </w:rPr>
        <w:t>1. Introduction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1.1 Background &amp; Motivation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1.2 Research Objectives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1.3 Main Research Contributions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b/>
          <w:sz w:val="19"/>
        </w:rPr>
        <w:t>2. Related Work</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2.1 Vision-Language Models &amp; Document Intelligence</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2.2 Document Image Classification &amp; Parsing Benchmarks</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2.3 Information Extraction &amp; Optical Character Recognition</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2.4 Synthetic Data Generation &amp; Benchmark Suites</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2.5 Semantic Normalization &amp; Post-Processing</w:t>
      </w:r>
      <w:r>
        <w:rPr>
          <w:rFonts w:ascii="Times New Roman" w:hAnsi="Times New Roman"/>
          <w:color w:val="404040"/>
          <w:sz w:val="19"/>
        </w:rPr>
        <w:tab/>
        <w:t>8</w:t>
      </w:r>
    </w:p>
    <w:p>
      <w:pPr>
        <w:tabs>
          <w:tab w:pos="9360" w:val="right" w:leader="dot"/>
        </w:tabs>
        <w:spacing w:line="276" w:lineRule="auto" w:after="40"/>
      </w:pPr>
      <w:r>
        <w:rPr>
          <w:rFonts w:ascii="Times New Roman" w:hAnsi="Times New Roman"/>
          <w:sz w:val="19"/>
        </w:rPr>
        <w:t xml:space="preserve">   2.6 Error Taxonomies &amp; Diagnostic Evaluation</w:t>
      </w:r>
      <w:r>
        <w:rPr>
          <w:rFonts w:ascii="Times New Roman" w:hAnsi="Times New Roman"/>
          <w:color w:val="404040"/>
          <w:sz w:val="19"/>
        </w:rPr>
        <w:tab/>
        <w:t>8</w:t>
      </w:r>
    </w:p>
    <w:p>
      <w:pPr>
        <w:tabs>
          <w:tab w:pos="9360" w:val="right" w:leader="dot"/>
        </w:tabs>
        <w:spacing w:line="276" w:lineRule="auto" w:after="40"/>
      </w:pPr>
      <w:r>
        <w:rPr>
          <w:rFonts w:ascii="Times New Roman" w:hAnsi="Times New Roman"/>
          <w:b/>
          <w:sz w:val="19"/>
        </w:rPr>
        <w:t>3. ADBG v1.0 &amp; AU DIC Benchmark System Architecture</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3.1 ADBG v1.0 Synthetic Generator Subsystem</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3.2 Optical Degradation Profile Processor</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3.3 AU DIC Decoupled Benchmark Execution Subsystem</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b/>
          <w:sz w:val="19"/>
        </w:rPr>
        <w:t>4. Methodology</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4.1 Six-Stage Semantic Canonical Normalization Subsystem</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4.2 Nine-Class Structured OCR Error Taxonomy</w:t>
      </w:r>
      <w:r>
        <w:rPr>
          <w:rFonts w:ascii="Times New Roman" w:hAnsi="Times New Roman"/>
          <w:color w:val="404040"/>
          <w:sz w:val="19"/>
        </w:rPr>
        <w:tab/>
        <w:t>13</w:t>
      </w:r>
    </w:p>
    <w:p>
      <w:pPr>
        <w:tabs>
          <w:tab w:pos="9360" w:val="right" w:leader="dot"/>
        </w:tabs>
        <w:spacing w:line="276" w:lineRule="auto" w:after="40"/>
      </w:pPr>
      <w:r>
        <w:rPr>
          <w:rFonts w:ascii="Times New Roman" w:hAnsi="Times New Roman"/>
          <w:b/>
          <w:sz w:val="19"/>
        </w:rPr>
        <w:t>4.3 Mathematical Formulation of Evaluation Metrics</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4.3.1 Category Classification Accuracy</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4.3.2 Field Extraction Precision, Recall, and F1-Score</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4.3.3 Character Error Rate (CER)</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4.3.4 Word Error Rate (WER)</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sz w:val="19"/>
        </w:rPr>
        <w:t xml:space="preserve">   4.3.5 Joint Record Exact Match Rate (EM)</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sz w:val="19"/>
        </w:rPr>
        <w:t xml:space="preserve">   4.3.6 Execution Latency &amp; Throughput</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b/>
          <w:sz w:val="19"/>
        </w:rPr>
        <w:t>5. Results &amp; Empirical Validation</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5.1 Distinction Between Framework Validation, Benchmark Validation, and Model Performance</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5.2 Framework Execution &amp; System Verification Metrics</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5.3 System Throughput &amp; Execution Latency</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5.4 Empirical Live Neural Model Evaluation Results</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5.5 Empirical Ablation Study of Semantic Canonical Normalization</w:t>
      </w:r>
      <w:r>
        <w:rPr>
          <w:rFonts w:ascii="Times New Roman" w:hAnsi="Times New Roman"/>
          <w:color w:val="404040"/>
          <w:sz w:val="19"/>
        </w:rPr>
        <w:tab/>
        <w:t>19</w:t>
      </w:r>
    </w:p>
    <w:p>
      <w:pPr>
        <w:tabs>
          <w:tab w:pos="9360" w:val="right" w:leader="dot"/>
        </w:tabs>
        <w:spacing w:line="276" w:lineRule="auto" w:after="40"/>
      </w:pPr>
      <w:r>
        <w:rPr>
          <w:rFonts w:ascii="Times New Roman" w:hAnsi="Times New Roman"/>
          <w:sz w:val="19"/>
        </w:rPr>
        <w:t xml:space="preserve">   5.6 Statistical Significance Analysis (p &lt; 0.0001)</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sz w:val="19"/>
        </w:rPr>
        <w:t xml:space="preserve">   5.7 Empirical Evaluation Scope &amp; Methodological Limitations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5.8 Error Taxonomy Distribution Shift Analysis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5.9 Classical Machine Learning Classification Benchmark</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b/>
          <w:sz w:val="19"/>
        </w:rPr>
        <w:t>6. Discussion &amp; Threats to Validity</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6.1 Scientific Contributions and Methodological Novelty</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6.2 Discussion of Empirical Findings</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6.3 Threats to Validity</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7. Limitations Analysis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sz w:val="19"/>
        </w:rPr>
        <w:t xml:space="preserve">   7.1 Methodological Limitations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8. Future Work</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9. Conclusion</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Ethics &amp; Privacy Statement</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ACKNOWLEDGMENT</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b/>
          <w:sz w:val="19"/>
        </w:rPr>
        <w:t>APPENDIX A: REPRODUCIBILITY &amp; SYSTEM SPECIFICATIONS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A.1 Reproducibility &amp; System Environment Matrix</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A.2 Technical Clarifications &amp; Reviewer Inquiries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b/>
          <w:sz w:val="19"/>
        </w:rPr>
        <w:t>APPENDIX B: FIELD SPECIFICATION &amp; OBSERVATION COUNT DERIVATION</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B.1 Document Category Field Structure</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B.2 Mathematical Derivation of 24,480 Paired Observations</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b/>
          <w:sz w:val="19"/>
        </w:rPr>
        <w:t>APPENDIX C: EMPIRICAL STATISTICAL METHODOLOGY &amp; BENCHMARKS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C.1 Empirical Category Confusion Matrix (360 Specimens)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C.2 McNemar Contingency Test &amp; Normalization Rescues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C.3 Non-Parametric Bootstrap Confidence Intervals (B = 10,000)</w:t>
      </w:r>
      <w:r>
        <w:rPr>
          <w:rFonts w:ascii="Times New Roman" w:hAnsi="Times New Roman"/>
          <w:color w:val="404040"/>
          <w:sz w:val="19"/>
        </w:rPr>
        <w:tab/>
        <w:t>30</w:t>
      </w:r>
    </w:p>
    <w:p>
      <w:pPr>
        <w:tabs>
          <w:tab w:pos="9360" w:val="right" w:leader="dot"/>
        </w:tabs>
        <w:spacing w:line="276" w:lineRule="auto" w:after="40"/>
      </w:pPr>
      <w:r>
        <w:rPr>
          <w:rFonts w:ascii="Times New Roman" w:hAnsi="Times New Roman"/>
          <w:b/>
          <w:sz w:val="19"/>
        </w:rPr>
        <w:t>REFERENCES</w:t>
      </w:r>
      <w:r>
        <w:rPr>
          <w:rFonts w:ascii="Times New Roman" w:hAnsi="Times New Roman"/>
          <w:color w:val="404040"/>
          <w:sz w:val="19"/>
        </w:rPr>
        <w:tab/>
        <w:t>30</w:t>
      </w:r>
    </w:p>
    <w:p w14:paraId="78AF360B">
      <w:pPr>
        <w:pageBreakBefore/>
        <w:spacing w:before="0" w:after="240"/>
        <w:jc w:val="center"/>
      </w:pPr>
      <w:r>
        <w:rPr>
          <w:rFonts w:ascii="Times New Roman" w:hAnsi="Times New Roman"/>
          <w:b/>
          <w:sz w:val="40"/>
        </w:rPr>
        <w:t>Smart Academic Document Intelligence System: Automated Extraction, Normalization, and Benchmark Generation</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sz w:val="19"/>
        </w:rPr>
        <w:t xml:space="preserve"> 2023361009.kushagra@ug.sharda.ac.in, </w:t>
      </w:r>
      <w:r>
        <w:rPr>
          <w:rFonts w:ascii="Times New Roman" w:hAnsi="Times New Roman"/>
          <w:sz w:val="17"/>
          <w:vertAlign w:val="superscript"/>
        </w:rPr>
        <w:t>2</w:t>
      </w:r>
      <w:r>
        <w:rPr>
          <w:sz w:val="19"/>
        </w:rPr>
        <w:t xml:space="preserve"> 2023329421.aashish@ug.sharda.ac.in, </w:t>
      </w:r>
      <w:r>
        <w:rPr>
          <w:rFonts w:ascii="Times New Roman" w:hAnsi="Times New Roman"/>
          <w:sz w:val="17"/>
          <w:vertAlign w:val="superscript"/>
        </w:rPr>
        <w:t>3</w:t>
      </w:r>
      <w:r>
        <w:rPr>
          <w:sz w:val="19"/>
        </w:rPr>
        <w:t xml:space="preserve"> 2023265132.avdesh@ug.sharda.ac.in</w:t>
      </w:r>
    </w:p>
    <w:p w14:paraId="15AA14C8">
      <w:pPr>
        <w:keepNext/>
        <w:spacing w:before="280" w:after="120"/>
      </w:pPr>
      <w:r/>
    </w:p>
    <w:p w14:paraId="60F0607A">
      <w:pPr>
        <w:spacing w:before="160" w:after="120" w:line="276" w:lineRule="auto"/>
        <w:jc w:val="both"/>
      </w:pPr>
      <w:r/>
      <w:r>
        <w:rPr>
          <w:rFonts w:ascii="Times New Roman" w:hAnsi="Times New Roman"/>
          <w:b/>
          <w:i/>
          <w:sz w:val="20"/>
        </w:rPr>
        <w:t>Abstract—</w:t>
      </w:r>
      <w:r>
        <w:rPr>
          <w:rFonts w:ascii="Times New Roman" w:hAnsi="Times New Roman"/>
          <w:sz w:val="20"/>
        </w:rPr>
        <w:t>Academic document intelligence systems are increasingly used to extract information from certificates, marksheets, transcripts, and student identification documents, but evaluating such systems is challenging because real academic records contain sensitive student information and cannot be freely distributed for benchmarking. We develop a Smart Academic Document Intelligence System with a synthetic benchmark generation and normalization pipeline for automated academic document extraction and evaluation. The system generates 360 synthetic document specimens across certificate, marksheet, and student identification categories with controlled optical degradation and complete ground-truth annotations, while semantic normalization reduces the effect of superficial formatting and representation differences during evaluation. In the canonical live evaluation using MiniCPM-V (7.6B, Q4_0) through the local Ollama runtime, the system achieved 75.23% field-level F1, 74.60% raw exact match, 82.18% normalized exact match, and 11.35% character error rate across 24,480 field observations, while document-category classification achieved 100.00% accuracy. These results demonstrate that the proposed system can provide a privacy-preserving and structured approach for evaluating automated academic document extraction without requiring real student records. By combining deterministic synthetic document generation, ground-truth annotations, semantic normalization, and structured error analysis, the system provides a practical foundation for assessing and improving academic document intelligence systems.</w:t>
      </w:r>
    </w:p>
    <w:p w14:paraId="01FA128A">
      <w:pPr>
        <w:spacing w:before="40" w:after="80" w:line="276" w:lineRule="auto"/>
      </w:pPr>
      <w:r/>
    </w:p>
    <w:p w14:paraId="2A2B8802">
      <w:pPr>
        <w:spacing w:before="40" w:after="240" w:line="276" w:lineRule="auto"/>
        <w:jc w:val="both"/>
      </w:pPr>
      <w:r/>
      <w:r>
        <w:rPr>
          <w:rFonts w:ascii="Times New Roman" w:hAnsi="Times New Roman"/>
          <w:b/>
          <w:i/>
          <w:sz w:val="20"/>
        </w:rPr>
        <w:t>Index Terms—</w:t>
      </w:r>
      <w:r>
        <w:rPr>
          <w:rFonts w:ascii="Times New Roman" w:hAnsi="Times New Roman"/>
          <w:b/>
          <w:sz w:val="20"/>
        </w:rPr>
        <w:t>Academic Document Intelligence, Document Extraction, Synthetic Benchmark Generation, Information Extraction, Semantic Normalization, OCR Error Analysis, Optical Degradation, Document Evaluation</w:t>
      </w:r>
    </w:p>
    <w:p w14:paraId="3F76657E">
      <w:pPr>
        <w:keepNext/>
        <w:pageBreakBefore/>
        <w:spacing w:before="280" w:after="120"/>
        <w:jc w:val="both"/>
        <w:outlineLvl w:val="0"/>
      </w:pPr>
      <w:r>
        <w:rPr>
          <w:rFonts w:ascii="Times New Roman" w:hAnsi="Times New Roman"/>
          <w:b/>
          <w:color w:val="003366"/>
          <w:sz w:val="26"/>
        </w:rPr>
        <w:t>1. Introduction</w:t>
      </w:r>
    </w:p>
    <w:p w14:paraId="1472CF58">
      <w:pPr>
        <w:keepNext/>
        <w:spacing w:before="200" w:after="80"/>
        <w:jc w:val="both"/>
        <w:outlineLvl w:val="1"/>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outlineLvl w:val="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outlineLvl w:val="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outlineLvl w:val="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outlineLvl w:val="1"/>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outlineLvl w:val="1"/>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outlineLvl w:val="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outlineLvl w:val="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outlineLvl w:val="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outlineLvl w:val="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outlineLvl w:val="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outlineLvl w:val="1"/>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outlineLvl w:val="1"/>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outlineLvl w:val="0"/>
      </w:pPr>
      <w:r>
        <w:rPr>
          <w:rFonts w:ascii="Times New Roman" w:hAnsi="Times New Roman"/>
          <w:b/>
          <w:color w:val="003366"/>
          <w:sz w:val="26"/>
        </w:rPr>
        <w:t>2. Related Work</w:t>
      </w:r>
    </w:p>
    <w:p w14:paraId="65EAE46E">
      <w:pPr>
        <w:keepNext/>
        <w:spacing w:before="200" w:after="80"/>
        <w:jc w:val="both"/>
        <w:outlineLvl w:val="1"/>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outlineLvl w:val="1"/>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outlineLvl w:val="1"/>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outlineLvl w:val="1"/>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outlineLvl w:val="1"/>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outlineLvl w:val="1"/>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outlineLvl w:val="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outlineLvl w:val="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outlineLvl w:val="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outlineLvl w:val="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outlineLvl w:val="0"/>
      </w:pPr>
      <w:r>
        <w:rPr>
          <w:rFonts w:ascii="Times New Roman" w:hAnsi="Times New Roman"/>
          <w:b/>
          <w:color w:val="003366"/>
          <w:sz w:val="26"/>
        </w:rPr>
        <w:t>3. Proposed Methodology</w:t>
      </w:r>
    </w:p>
    <w:p w14:paraId="71989CA7">
      <w:pPr>
        <w:keepNext/>
        <w:spacing w:before="200" w:after="80"/>
        <w:jc w:val="both"/>
        <w:outlineLvl w:val="1"/>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outlineLvl w:val="1"/>
      </w:pPr>
      <w:r>
        <w:rPr>
          <w:rFonts w:ascii="Times New Roman" w:hAnsi="Times New Roman"/>
          <w:b/>
          <w:color w:val="333333"/>
          <w:sz w:val="23"/>
        </w:rPr>
        <w:t>3.2 ADBG Synthetic Benchmark Generation</w:t>
      </w:r>
    </w:p>
    <w:p w14:paraId="383AC2B0">
      <w:pPr>
        <w:keepNext/>
        <w:spacing w:before="160" w:after="40"/>
        <w:jc w:val="both"/>
        <w:outlineLvl w:val="1"/>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outlineLvl w:val="1"/>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outlineLvl w:val="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outlineLvl w:val="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outlineLvl w:val="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outlineLvl w:val="1"/>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outlineLvl w:val="1"/>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outlineLvl w:val="1"/>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outlineLvl w:val="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outlineLvl w:val="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outlineLvl w:val="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outlineLvl w:val="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outlineLvl w:val="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jc w:val="both"/>
        <w:outlineLvl w:val="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outlineLvl w:val="1"/>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outlineLvl w:val="1"/>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outlineLvl w:val="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outlineLvl w:val="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jc w:val="both"/>
        <w:outlineLvl w:val="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outlineLvl w:val="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jc w:val="both"/>
        <w:outlineLvl w:val="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outlineLvl w:val="1"/>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outlineLvl w:val="0"/>
      </w:pPr>
      <w:r>
        <w:rPr>
          <w:rFonts w:ascii="Times New Roman" w:hAnsi="Times New Roman"/>
          <w:b/>
          <w:color w:val="003366"/>
          <w:sz w:val="26"/>
        </w:rPr>
        <w:t>4. Experimental Setup</w:t>
      </w:r>
    </w:p>
    <w:p w14:paraId="558E0DC4">
      <w:pPr>
        <w:keepNext/>
        <w:spacing w:before="200" w:after="80"/>
        <w:jc w:val="both"/>
        <w:outlineLvl w:val="1"/>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outlineLvl w:val="1"/>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outlineLvl w:val="1"/>
      </w:pPr>
      <w:r>
        <w:t>4.3 Mathematical Formulation of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pPr>
      <w:r/>
    </w:p>
    <w:p w14:paraId="0B6F120C">
      <w:pPr>
        <w:spacing w:before="40" w:after="80" w:line="276" w:lineRule="auto"/>
        <w:jc w:val="both"/>
      </w:pPr>
      <w:r/>
    </w:p>
    <w:p w14:paraId="3A5AC0ED">
      <w:pPr>
        <w:spacing w:before="20" w:after="40"/>
        <w:ind w:left="360"/>
        <w:jc w:val="both"/>
      </w:pPr>
      <w:r/>
    </w:p>
    <w:p w14:paraId="3096A6D7">
      <w:pPr>
        <w:spacing w:before="20" w:after="40"/>
        <w:ind w:left="360"/>
        <w:jc w:val="both"/>
      </w:pPr>
      <w:r/>
    </w:p>
    <w:p w14:paraId="28D3FA95">
      <w:pPr>
        <w:spacing w:before="20" w:after="40"/>
        <w:ind w:left="360"/>
        <w:jc w:val="both"/>
      </w:pPr>
      <w:r/>
    </w:p>
    <w:p w14:paraId="22B41161">
      <w:pPr>
        <w:spacing w:before="20" w:after="40"/>
        <w:ind w:left="360"/>
        <w:jc w:val="both"/>
      </w:pPr>
      <w:r/>
    </w:p>
    <w:p w14:paraId="4D33CC89">
      <w:pPr>
        <w:spacing w:before="20" w:after="40"/>
        <w:ind w:left="360"/>
        <w:jc w:val="both"/>
      </w:pPr>
      <w:r/>
    </w:p>
    <w:p>
      <w:pPr>
        <w:spacing w:after="80"/>
        <w:jc w:val="both"/>
      </w:pPr>
      <w:r>
        <w:t>The quantitative evaluation metrics formulated for evaluating neural document intelligence models, synthetic specimen benchmark suites, and canonical normalization layers are defined below.</w:t>
      </w:r>
    </w:p>
    <w:p>
      <w:pPr>
        <w:spacing w:before="160" w:after="40"/>
        <w:outlineLvl w:val="1"/>
      </w:pPr>
      <w:r>
        <w:rPr>
          <w:rFonts w:ascii="Times New Roman" w:hAnsi="Times New Roman"/>
          <w:b/>
          <w:sz w:val="21"/>
        </w:rPr>
        <w:t>4.3.1 Category Classification Accuracy</w:t>
      </w:r>
    </w:p>
    <w:p>
      <w:pPr>
        <w:spacing w:after="40"/>
        <w:jc w:val="both"/>
      </w:pPr>
      <w:r>
        <w:t>The proportion of document specimens where the predicted document category (y_hat) matches the ground truth category (y) across N total evaluated specimens:</w:t>
      </w:r>
    </w:p>
    <w:p>
      <w:pPr>
        <w:spacing w:after="120"/>
        <w:jc w:val="center"/>
      </w:pPr>
      <w:r>
        <w:rPr>
          <w:rFonts w:ascii="Times New Roman" w:hAnsi="Times New Roman"/>
          <w:i/>
          <w:sz w:val="19"/>
        </w:rPr>
        <w:t>Acc_cat = (1 / N) * sum_{i=1}^N I(y_hat_i = y_i)   (1)</w:t>
        <w:br/>
        <w:t>where N represents the total count of evaluated document specimens.</w:t>
      </w:r>
    </w:p>
    <w:p>
      <w:pPr>
        <w:spacing w:before="160" w:after="40"/>
        <w:outlineLvl w:val="1"/>
      </w:pPr>
      <w:r>
        <w:rPr>
          <w:rFonts w:ascii="Times New Roman" w:hAnsi="Times New Roman"/>
          <w:b/>
          <w:sz w:val="21"/>
        </w:rPr>
        <w:t>4.3.2 Field Extraction Precision, Recall, and F1-Score</w:t>
      </w:r>
    </w:p>
    <w:p>
      <w:pPr>
        <w:spacing w:after="40"/>
        <w:jc w:val="both"/>
      </w:pPr>
      <w:r>
        <w:t>Macro-averaged key-value field extraction metrics across all extracted target entities:</w:t>
      </w:r>
    </w:p>
    <w:p>
      <w:pPr>
        <w:spacing w:after="120"/>
        <w:jc w:val="center"/>
      </w:pPr>
      <w:r>
        <w:rPr>
          <w:rFonts w:ascii="Times New Roman" w:hAnsi="Times New Roman"/>
          <w:i/>
          <w:sz w:val="19"/>
        </w:rPr>
        <w:t>Precision = TP / (TP + FP), Recall = TP / (TP + FN), F1 = (2 * Precision * Recall) / (Precision + Recall)   (2)</w:t>
      </w:r>
    </w:p>
    <w:p>
      <w:pPr>
        <w:spacing w:before="160" w:after="40"/>
        <w:outlineLvl w:val="1"/>
      </w:pPr>
      <w:r>
        <w:rPr>
          <w:rFonts w:ascii="Times New Roman" w:hAnsi="Times New Roman"/>
          <w:b/>
          <w:sz w:val="21"/>
        </w:rPr>
        <w:t>4.3.3 Character Error Rate (CER)</w:t>
      </w:r>
    </w:p>
    <w:p>
      <w:pPr>
        <w:spacing w:after="40"/>
        <w:jc w:val="both"/>
      </w:pPr>
      <w:r>
        <w:t>Levenshtein character edit distance [21] between canonically normalized predicted field strings (ŝ) and expected ground truth field strings (s), normalized by total ground truth character length (|s|):</w:t>
      </w:r>
    </w:p>
    <w:p>
      <w:pPr>
        <w:spacing w:after="120"/>
        <w:jc w:val="center"/>
      </w:pPr>
      <w:r>
        <w:rPr>
          <w:rFonts w:ascii="Times New Roman" w:hAnsi="Times New Roman"/>
          <w:i/>
          <w:sz w:val="19"/>
        </w:rPr>
        <w:t>CER = D_char(ŝ, s) / |s|   (3)</w:t>
      </w:r>
    </w:p>
    <w:p>
      <w:pPr>
        <w:spacing w:before="160" w:after="40"/>
        <w:outlineLvl w:val="1"/>
      </w:pPr>
      <w:r>
        <w:rPr>
          <w:rFonts w:ascii="Times New Roman" w:hAnsi="Times New Roman"/>
          <w:b/>
          <w:sz w:val="21"/>
        </w:rPr>
        <w:t>4.3.4 Word Error Rate (WER)</w:t>
      </w:r>
    </w:p>
    <w:p>
      <w:pPr>
        <w:spacing w:after="40"/>
        <w:jc w:val="both"/>
      </w:pPr>
      <w:r>
        <w:t>Tokenized word-level edit distance [20] between predicted field strings (ŵ) and ground truth field strings (w), normalized by total ground truth word count (|w|):</w:t>
      </w:r>
    </w:p>
    <w:p>
      <w:pPr>
        <w:spacing w:after="120"/>
        <w:jc w:val="center"/>
      </w:pPr>
      <w:r>
        <w:rPr>
          <w:rFonts w:ascii="Times New Roman" w:hAnsi="Times New Roman"/>
          <w:i/>
          <w:sz w:val="19"/>
        </w:rPr>
        <w:t>WER = D_word(ŵ, w) / |w|   (4)</w:t>
      </w:r>
    </w:p>
    <w:p>
      <w:pPr>
        <w:spacing w:before="160" w:after="40"/>
        <w:outlineLvl w:val="1"/>
      </w:pPr>
      <w:r>
        <w:rPr>
          <w:rFonts w:ascii="Times New Roman" w:hAnsi="Times New Roman"/>
          <w:b/>
          <w:sz w:val="21"/>
        </w:rPr>
        <w:t>4.3.5 Joint Record Exact Match Rate (EM)</w:t>
      </w:r>
    </w:p>
    <w:p>
      <w:pPr>
        <w:spacing w:after="40"/>
        <w:jc w:val="both"/>
      </w:pPr>
      <w:r>
        <w:t>The percentage of specimens that achieve both 100% key-value field extraction (F1 = 1.0) AND correct top-level category classification simultaneously:</w:t>
      </w:r>
    </w:p>
    <w:p>
      <w:pPr>
        <w:spacing w:after="120"/>
        <w:jc w:val="center"/>
      </w:pPr>
      <w:r>
        <w:rPr>
          <w:rFonts w:ascii="Times New Roman" w:hAnsi="Times New Roman"/>
          <w:i/>
          <w:sz w:val="19"/>
        </w:rPr>
        <w:t>EM = (1 / N) * sum_{i=1}^N I(ŷ_i = y_i AND F1_i = 1.0)   (5)</w:t>
      </w:r>
    </w:p>
    <w:p>
      <w:pPr>
        <w:spacing w:before="160" w:after="40"/>
        <w:outlineLvl w:val="1"/>
      </w:pPr>
      <w:r>
        <w:rPr>
          <w:rFonts w:ascii="Times New Roman" w:hAnsi="Times New Roman"/>
          <w:b/>
          <w:sz w:val="21"/>
        </w:rPr>
        <w:t>4.3.6 Execution Latency &amp; Throughput</w:t>
      </w:r>
    </w:p>
    <w:p>
      <w:pPr>
        <w:spacing w:after="40"/>
        <w:jc w:val="both"/>
      </w:pPr>
      <w:r>
        <w:t>Execution latency per specimen (L_proc) measured in milliseconds per sample (ms/sample) and framework processing throughput (TH) measured in specimens per second (samples/sec):</w:t>
      </w:r>
    </w:p>
    <w:p>
      <w:pPr>
        <w:spacing w:after="120"/>
        <w:jc w:val="center"/>
      </w:pPr>
      <w:r>
        <w:rPr>
          <w:rFonts w:ascii="Times New Roman" w:hAnsi="Times New Roman"/>
          <w:i/>
          <w:sz w:val="19"/>
        </w:rPr>
        <w:t>L_proc = T_total / N, TH = N / T_total   (6)</w:t>
      </w:r>
    </w:p>
    <w:p w14:paraId="08A8335A">
      <w:pPr>
        <w:keepNext/>
        <w:spacing w:before="280" w:after="120"/>
        <w:jc w:val="both"/>
        <w:outlineLvl w:val="0"/>
      </w:pPr>
      <w:r>
        <w:rPr>
          <w:rFonts w:ascii="Times New Roman" w:hAnsi="Times New Roman"/>
          <w:b/>
          <w:color w:val="003366"/>
          <w:sz w:val="26"/>
        </w:rPr>
        <w:t>5. Results &amp; Empirical Validation</w:t>
      </w:r>
    </w:p>
    <w:p w14:paraId="55088229">
      <w:pPr>
        <w:keepNext/>
        <w:spacing w:before="200" w:after="80"/>
        <w:jc w:val="both"/>
        <w:outlineLvl w:val="1"/>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outlineLvl w:val="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outlineLvl w:val="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outlineLvl w:val="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outlineLvl w:val="1"/>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outlineLvl w:val="1"/>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jc w:val="both"/>
        <w:outlineLvl w:val="1"/>
      </w:pPr>
      <w:r>
        <w:rPr>
          <w:rFonts w:ascii="Times New Roman" w:hAnsi="Times New Roman"/>
          <w:b/>
          <w:color w:val="333333"/>
          <w:sz w:val="23"/>
        </w:rPr>
        <w:t>5.4 Empirical Live Neural Model Evaluation Results</w:t>
      </w:r>
    </w:p>
    <w:p w14:paraId="383DFBB1">
      <w:pPr>
        <w:spacing w:before="40" w:after="80" w:line="276" w:lineRule="auto"/>
        <w:jc w:val="both"/>
      </w:pPr>
      <w:r>
        <w:t>To evaluate live neural document analysis performance without mock fallbacks (allowMockFallback: false), the benchmark runner executed full inference across all 360 specimens using Ollama Local Runtime MiniCPM-V (7.6B Q4_0) Instant (run_1785796639905). Every prediction recorded complete provenance metadata (isMock: false, modelName: minicpm-v:latest, requestId).</w:t>
      </w:r>
    </w:p>
    <w:p w14:paraId="109404D0">
      <w:pPr>
        <w:keepNext/>
        <w:spacing w:before="160" w:after="40"/>
        <w:jc w:val="both"/>
        <w:outlineLvl w:val="1"/>
      </w:pPr>
      <w:r>
        <w:t xml:space="preserve">5.4.1 End-to-End Evaluation Pipeline (Option A)</w:t>
      </w:r>
    </w:p>
    <w:p w14:paraId="7661D404">
      <w:pPr>
        <w:spacing w:before="40" w:after="80" w:line="276" w:lineRule="auto"/>
        <w:jc w:val="both"/>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jc w:val="both"/>
      </w:pPr>
      <w: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Table IV details live model extraction and document category classification performance evaluated on Ollama Local Runtime MiniCPM-V (7.6B Q4_0) Instant.</w:t>
      </w:r>
    </w:p>
    <w:p w14:paraId="29D205C5">
      <w:pPr>
        <w:keepNext/>
        <w:spacing w:before="80" w:after="160"/>
        <w:jc w:val="center"/>
      </w:pPr>
      <w:r>
        <w:t>Table IV: Live Model Extraction &amp; Classification Performance (Ollama MiniCPM-V (7.6B Q4_0)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outlineLvl w:val="0"/>
      </w:pPr>
      <w:r>
        <w:t>1. Key-Value Entity Extraction Task (75.23% Field F1, 8.21% CER): Under zero-shot key-value entity field extraction, MiniCPM-V (7.6B Q4_0) achieved 75.23% field extraction precision, recall, and F1 score across 360 specimens (8.21% document-level CER, 84.12% WER, 11.35% field-level CER).</w:t>
      </w:r>
    </w:p>
    <w:p w14:paraId="059DEFCF">
      <w:pPr>
        <w:spacing w:before="20" w:after="40"/>
        <w:ind w:left="360"/>
        <w:jc w:val="both"/>
        <w:outlineLvl w:val="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outlineLvl w:val="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outlineLvl w:val="1"/>
      </w:pPr>
      <w:r>
        <w:rPr>
          <w:rFonts w:ascii="Times New Roman" w:hAnsi="Times New Roman"/>
          <w:b/>
          <w:color w:val="333333"/>
          <w:sz w:val="23"/>
        </w:rPr>
        <w:t>5.5 Empirical Ablation Study of Semantic Canonical Normalization</w:t>
      </w:r>
    </w:p>
    <w:p w14:paraId="492AA939">
      <w:pPr>
        <w:spacing w:before="40" w:after="80" w:line="276" w:lineRule="auto"/>
        <w:jc w:val="both"/>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outlineLvl w:val="1"/>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outlineLvl w:val="1"/>
      </w:pPr>
      <w:r>
        <w:rPr>
          <w:rFonts w:ascii="Times New Roman" w:hAnsi="Times New Roman"/>
          <w:b/>
          <w:i/>
          <w:sz w:val="21"/>
        </w:rPr>
        <w:t>5.5.2 Rule-Wise Contribution &amp; Mismatch Correction Breakdown</w:t>
      </w:r>
    </w:p>
    <w:p w14:paraId="64E8500E">
      <w:pPr>
        <w:spacing w:before="40" w:after="80" w:line="276" w:lineRule="auto"/>
        <w:jc w:val="both"/>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outlineLvl w:val="1"/>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outlineLvl w:val="1"/>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outlineLvl w:val="1"/>
      </w:pPr>
      <w:r>
        <w:rPr>
          <w:rFonts w:ascii="Times New Roman" w:hAnsi="Times New Roman"/>
          <w:b/>
          <w:color w:val="333333"/>
          <w:sz w:val="23"/>
        </w:rPr>
        <w:t>5.6 Statistical Significance Analysis ($p &lt; 0.0001$)</w:t>
      </w:r>
    </w:p>
    <w:p w14:paraId="3D20DA6E">
      <w:pPr>
        <w:spacing w:before="40" w:after="80" w:line="276" w:lineRule="auto"/>
        <w:jc w:val="both"/>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jc w:val="both"/>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outlineLvl w:val="1"/>
      </w:pPr>
      <w:r>
        <w:t xml:space="preserve">5.7 Empirical Evaluation Scope &amp; Methodological Limitations</w:t>
      </w:r>
    </w:p>
    <w:p w14:paraId="578DDAEE">
      <w:pPr>
        <w:spacing w:before="40" w:after="80" w:line="276" w:lineRule="auto"/>
        <w:jc w:val="both"/>
      </w:pPr>
      <w: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outlineLvl w:val="1"/>
      </w:pPr>
      <w:r>
        <w:rPr>
          <w:rFonts w:ascii="Times New Roman" w:hAnsi="Times New Roman"/>
          <w:b/>
          <w:color w:val="333333"/>
          <w:sz w:val="23"/>
        </w:rPr>
        <w:t>5.8 Error Taxonomy Distribution Shift Analysis</w:t>
      </w:r>
    </w:p>
    <w:p w14:paraId="371B7E7E">
      <w:pPr>
        <w:spacing w:before="40" w:after="80" w:line="276" w:lineRule="auto"/>
        <w:jc w:val="both"/>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pPr>
        <w:spacing w:before="240" w:after="80"/>
        <w:outlineLvl w:val="1"/>
      </w:pPr>
      <w:r>
        <w:rPr>
          <w:rFonts w:ascii="Times New Roman" w:hAnsi="Times New Roman"/>
          <w:b/>
          <w:sz w:val="22"/>
        </w:rPr>
        <w:t>5.9 Classical Machine Learning Classification Benchmark</w:t>
      </w:r>
    </w:p>
    <w:p>
      <w:pPr>
        <w:spacing w:after="80"/>
        <w:jc w:val="both"/>
      </w:pPr>
      <w:r>
        <w:t>To complement end-to-end neural vision-language model evaluation and assess the predictability of field extraction failures from structural, optical, and length features, we conduct a classical supervised machine learning benchmark. We evaluate two foundational tree-based classification algorithms—Decision Tree (DT) and Random Forest (RF)—to predict whether a given extraction observation results in an exact field match (y = 1) or an extraction mismatch/OCR failure (y = 0). The evaluation dataset comprises 24,480 paired field observations across 360 specimens extracted from live benchmark evaluations (paired_field_observations.csv), containing 18,263 exact match instances (74.60%) and 6,217 mismatch instances (25.40%).</w:t>
      </w:r>
    </w:p>
    <w:p>
      <w:pPr>
        <w:spacing w:after="80"/>
        <w:jc w:val="both"/>
      </w:pPr>
      <w:r>
        <w:t>Six non-leaky input features are extracted for each observation: document_type (3 categories: student_id, marksheet, certificate), quality_profile (4 optical degradation profiles: clean, mobile_camera, scanner_copy, rotated_90), field_name (68 document field categories), expected_len (ground truth string character length), predicted_len (extracted string character length), and is_missing (binary flag indicating unextracted null predictions). To prevent data leakage, all preprocessing transformers—including OneHotEncoder(handle_unknown='ignore') for categorical variables and StandardScaler() for numerical features—are encapsulated inside an sklearn.pipeline.Pipeline and fitted exclusively on the training split (X_train) during model fitting.</w:t>
      </w:r>
    </w:p>
    <w:p>
      <w:pPr>
        <w:spacing w:after="120"/>
        <w:jc w:val="both"/>
      </w:pPr>
      <w:r>
        <w:t>Classifiers are benchmarked across three stratified train-test partitions: 60:40 (N_train = 14,688, N_test = 9,792), 70:30 (N_train = 17,136, N_test = 7,344), and 80:20 (N_train = 19,584, N_test = 4,896) using a fixed seed (random_state = 42). Random Forest models are parameterized with n_estimators = 100, max_depth = 15, and criterion = 'gini'. Decision Tree models use max_depth = 15 and criterion = 'gini'. Prediction inference latency is measured exclusively around pipeline.predict(X_test) using high-resolution timers (time.perf_counter()). Table IX summarizes the twelve derived confusion-matrix performance metrics across all six model-split configurations.</w:t>
      </w:r>
    </w:p>
    <w:p>
      <w:pPr>
        <w:spacing w:before="160" w:after="80"/>
        <w:jc w:val="center"/>
      </w:pPr>
      <w:r>
        <w:rPr>
          <w:rFonts w:ascii="Times New Roman" w:hAnsi="Times New Roman"/>
          <w:b/>
          <w:sz w:val="19"/>
        </w:rPr>
        <w:t>TABLE IX: CLASSICAL MACHINE LEARNING BENCHMARK COMPARISON (RF VS. DT ACROSS TRAIN-TEST SPLITS)</w:t>
      </w:r>
    </w:p>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left"/>
            </w:pPr>
            <w:r>
              <w:rPr>
                <w:rFonts w:ascii="Times New Roman" w:hAnsi="Times New Roman"/>
                <w:b/>
                <w:sz w:val="17"/>
              </w:rPr>
              <w:t>Metric</w:t>
            </w:r>
          </w:p>
        </w:tc>
        <w:tc>
          <w:tcPr>
            <w:tcW w:type="dxa" w:w="1337"/>
          </w:tcPr>
          <w:p>
            <w:pPr>
              <w:jc w:val="center"/>
            </w:pPr>
            <w:r>
              <w:rPr>
                <w:rFonts w:ascii="Times New Roman" w:hAnsi="Times New Roman"/>
                <w:b/>
                <w:sz w:val="17"/>
              </w:rPr>
              <w:t>RF 60:40</w:t>
            </w:r>
          </w:p>
        </w:tc>
        <w:tc>
          <w:tcPr>
            <w:tcW w:type="dxa" w:w="1337"/>
          </w:tcPr>
          <w:p>
            <w:pPr>
              <w:jc w:val="center"/>
            </w:pPr>
            <w:r>
              <w:rPr>
                <w:rFonts w:ascii="Times New Roman" w:hAnsi="Times New Roman"/>
                <w:b/>
                <w:sz w:val="17"/>
              </w:rPr>
              <w:t>RF 70:30</w:t>
            </w:r>
          </w:p>
        </w:tc>
        <w:tc>
          <w:tcPr>
            <w:tcW w:type="dxa" w:w="1337"/>
          </w:tcPr>
          <w:p>
            <w:pPr>
              <w:jc w:val="center"/>
            </w:pPr>
            <w:r>
              <w:rPr>
                <w:rFonts w:ascii="Times New Roman" w:hAnsi="Times New Roman"/>
                <w:b/>
                <w:sz w:val="17"/>
              </w:rPr>
              <w:t>RF 80:20</w:t>
            </w:r>
          </w:p>
        </w:tc>
        <w:tc>
          <w:tcPr>
            <w:tcW w:type="dxa" w:w="1337"/>
          </w:tcPr>
          <w:p>
            <w:pPr>
              <w:jc w:val="center"/>
            </w:pPr>
            <w:r>
              <w:rPr>
                <w:rFonts w:ascii="Times New Roman" w:hAnsi="Times New Roman"/>
                <w:b/>
                <w:sz w:val="17"/>
              </w:rPr>
              <w:t>DT 60:40</w:t>
            </w:r>
          </w:p>
        </w:tc>
        <w:tc>
          <w:tcPr>
            <w:tcW w:type="dxa" w:w="1337"/>
          </w:tcPr>
          <w:p>
            <w:pPr>
              <w:jc w:val="center"/>
            </w:pPr>
            <w:r>
              <w:rPr>
                <w:rFonts w:ascii="Times New Roman" w:hAnsi="Times New Roman"/>
                <w:b/>
                <w:sz w:val="17"/>
              </w:rPr>
              <w:t>DT 70:30</w:t>
            </w:r>
          </w:p>
        </w:tc>
        <w:tc>
          <w:tcPr>
            <w:tcW w:type="dxa" w:w="1337"/>
          </w:tcPr>
          <w:p>
            <w:pPr>
              <w:jc w:val="center"/>
            </w:pPr>
            <w:r>
              <w:rPr>
                <w:rFonts w:ascii="Times New Roman" w:hAnsi="Times New Roman"/>
                <w:b/>
                <w:sz w:val="17"/>
              </w:rPr>
              <w:t>DT 80:20</w:t>
            </w:r>
          </w:p>
        </w:tc>
      </w:tr>
      <w:tr>
        <w:tc>
          <w:tcPr>
            <w:tcW w:type="dxa" w:w="1337"/>
          </w:tcPr>
          <w:p>
            <w:pPr>
              <w:jc w:val="left"/>
            </w:pPr>
            <w:r>
              <w:rPr>
                <w:rFonts w:ascii="Times New Roman" w:hAnsi="Times New Roman"/>
                <w:b/>
                <w:sz w:val="17"/>
              </w:rPr>
              <w:t>Accuracy</w:t>
            </w:r>
          </w:p>
        </w:tc>
        <w:tc>
          <w:tcPr>
            <w:tcW w:type="dxa" w:w="1337"/>
          </w:tcPr>
          <w:p>
            <w:pPr>
              <w:jc w:val="center"/>
            </w:pPr>
            <w:r>
              <w:rPr>
                <w:rFonts w:ascii="Times New Roman" w:hAnsi="Times New Roman"/>
                <w:sz w:val="17"/>
              </w:rPr>
              <w:t>0.874898</w:t>
            </w:r>
          </w:p>
        </w:tc>
        <w:tc>
          <w:tcPr>
            <w:tcW w:type="dxa" w:w="1337"/>
          </w:tcPr>
          <w:p>
            <w:pPr>
              <w:jc w:val="center"/>
            </w:pPr>
            <w:r>
              <w:rPr>
                <w:rFonts w:ascii="Times New Roman" w:hAnsi="Times New Roman"/>
                <w:sz w:val="17"/>
              </w:rPr>
              <w:t>0.875817</w:t>
            </w:r>
          </w:p>
        </w:tc>
        <w:tc>
          <w:tcPr>
            <w:tcW w:type="dxa" w:w="1337"/>
          </w:tcPr>
          <w:p>
            <w:pPr>
              <w:jc w:val="center"/>
            </w:pPr>
            <w:r>
              <w:rPr>
                <w:rFonts w:ascii="Times New Roman" w:hAnsi="Times New Roman"/>
                <w:sz w:val="17"/>
              </w:rPr>
              <w:t>0.878676</w:t>
            </w:r>
          </w:p>
        </w:tc>
        <w:tc>
          <w:tcPr>
            <w:tcW w:type="dxa" w:w="1337"/>
          </w:tcPr>
          <w:p>
            <w:pPr>
              <w:jc w:val="center"/>
            </w:pPr>
            <w:r>
              <w:rPr>
                <w:rFonts w:ascii="Times New Roman" w:hAnsi="Times New Roman"/>
                <w:sz w:val="17"/>
              </w:rPr>
              <w:t>0.934947</w:t>
            </w:r>
          </w:p>
        </w:tc>
        <w:tc>
          <w:tcPr>
            <w:tcW w:type="dxa" w:w="1337"/>
          </w:tcPr>
          <w:p>
            <w:pPr>
              <w:jc w:val="center"/>
            </w:pPr>
            <w:r>
              <w:rPr>
                <w:rFonts w:ascii="Times New Roman" w:hAnsi="Times New Roman"/>
                <w:sz w:val="17"/>
              </w:rPr>
              <w:t>0.935185</w:t>
            </w:r>
          </w:p>
        </w:tc>
        <w:tc>
          <w:tcPr>
            <w:tcW w:type="dxa" w:w="1337"/>
          </w:tcPr>
          <w:p>
            <w:pPr>
              <w:jc w:val="center"/>
            </w:pPr>
            <w:r>
              <w:rPr>
                <w:rFonts w:ascii="Times New Roman" w:hAnsi="Times New Roman"/>
                <w:sz w:val="17"/>
              </w:rPr>
              <w:t>0.936887</w:t>
            </w:r>
          </w:p>
        </w:tc>
      </w:tr>
      <w:tr>
        <w:tc>
          <w:tcPr>
            <w:tcW w:type="dxa" w:w="1337"/>
          </w:tcPr>
          <w:p>
            <w:pPr>
              <w:jc w:val="left"/>
            </w:pPr>
            <w:r>
              <w:rPr>
                <w:rFonts w:ascii="Times New Roman" w:hAnsi="Times New Roman"/>
                <w:b/>
                <w:sz w:val="17"/>
              </w:rPr>
              <w:t>Precision</w:t>
            </w:r>
          </w:p>
        </w:tc>
        <w:tc>
          <w:tcPr>
            <w:tcW w:type="dxa" w:w="1337"/>
          </w:tcPr>
          <w:p>
            <w:pPr>
              <w:jc w:val="center"/>
            </w:pPr>
            <w:r>
              <w:rPr>
                <w:rFonts w:ascii="Times New Roman" w:hAnsi="Times New Roman"/>
                <w:sz w:val="17"/>
              </w:rPr>
              <w:t>0.856389</w:t>
            </w:r>
          </w:p>
        </w:tc>
        <w:tc>
          <w:tcPr>
            <w:tcW w:type="dxa" w:w="1337"/>
          </w:tcPr>
          <w:p>
            <w:pPr>
              <w:jc w:val="center"/>
            </w:pPr>
            <w:r>
              <w:rPr>
                <w:rFonts w:ascii="Times New Roman" w:hAnsi="Times New Roman"/>
                <w:sz w:val="17"/>
              </w:rPr>
              <w:t>0.857299</w:t>
            </w:r>
          </w:p>
        </w:tc>
        <w:tc>
          <w:tcPr>
            <w:tcW w:type="dxa" w:w="1337"/>
          </w:tcPr>
          <w:p>
            <w:pPr>
              <w:jc w:val="center"/>
            </w:pPr>
            <w:r>
              <w:rPr>
                <w:rFonts w:ascii="Times New Roman" w:hAnsi="Times New Roman"/>
                <w:sz w:val="17"/>
              </w:rPr>
              <w:t>0.860137</w:t>
            </w:r>
          </w:p>
        </w:tc>
        <w:tc>
          <w:tcPr>
            <w:tcW w:type="dxa" w:w="1337"/>
          </w:tcPr>
          <w:p>
            <w:pPr>
              <w:jc w:val="center"/>
            </w:pPr>
            <w:r>
              <w:rPr>
                <w:rFonts w:ascii="Times New Roman" w:hAnsi="Times New Roman"/>
                <w:sz w:val="17"/>
              </w:rPr>
              <w:t>0.927326</w:t>
            </w:r>
          </w:p>
        </w:tc>
        <w:tc>
          <w:tcPr>
            <w:tcW w:type="dxa" w:w="1337"/>
          </w:tcPr>
          <w:p>
            <w:pPr>
              <w:jc w:val="center"/>
            </w:pPr>
            <w:r>
              <w:rPr>
                <w:rFonts w:ascii="Times New Roman" w:hAnsi="Times New Roman"/>
                <w:sz w:val="17"/>
              </w:rPr>
              <w:t>0.925498</w:t>
            </w:r>
          </w:p>
        </w:tc>
        <w:tc>
          <w:tcPr>
            <w:tcW w:type="dxa" w:w="1337"/>
          </w:tcPr>
          <w:p>
            <w:pPr>
              <w:jc w:val="center"/>
            </w:pPr>
            <w:r>
              <w:rPr>
                <w:rFonts w:ascii="Times New Roman" w:hAnsi="Times New Roman"/>
                <w:sz w:val="17"/>
              </w:rPr>
              <w:t>0.928059</w:t>
            </w:r>
          </w:p>
        </w:tc>
      </w:tr>
      <w:tr>
        <w:tc>
          <w:tcPr>
            <w:tcW w:type="dxa" w:w="1337"/>
          </w:tcPr>
          <w:p>
            <w:pPr>
              <w:jc w:val="left"/>
            </w:pPr>
            <w:r>
              <w:rPr>
                <w:rFonts w:ascii="Times New Roman" w:hAnsi="Times New Roman"/>
                <w:b/>
                <w:sz w:val="17"/>
              </w:rPr>
              <w:t>Recall</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0.990418</w:t>
            </w:r>
          </w:p>
        </w:tc>
        <w:tc>
          <w:tcPr>
            <w:tcW w:type="dxa" w:w="1337"/>
          </w:tcPr>
          <w:p>
            <w:pPr>
              <w:jc w:val="center"/>
            </w:pPr>
            <w:r>
              <w:rPr>
                <w:rFonts w:ascii="Times New Roman" w:hAnsi="Times New Roman"/>
                <w:sz w:val="17"/>
              </w:rPr>
              <w:t>0.993064</w:t>
            </w:r>
          </w:p>
        </w:tc>
        <w:tc>
          <w:tcPr>
            <w:tcW w:type="dxa" w:w="1337"/>
          </w:tcPr>
          <w:p>
            <w:pPr>
              <w:jc w:val="center"/>
            </w:pPr>
            <w:r>
              <w:rPr>
                <w:rFonts w:ascii="Times New Roman" w:hAnsi="Times New Roman"/>
                <w:sz w:val="17"/>
              </w:rPr>
              <w:t>0.992335</w:t>
            </w:r>
          </w:p>
        </w:tc>
      </w:tr>
      <w:tr>
        <w:tc>
          <w:tcPr>
            <w:tcW w:type="dxa" w:w="1337"/>
          </w:tcPr>
          <w:p>
            <w:pPr>
              <w:jc w:val="left"/>
            </w:pPr>
            <w:r>
              <w:rPr>
                <w:rFonts w:ascii="Times New Roman" w:hAnsi="Times New Roman"/>
                <w:b/>
                <w:sz w:val="17"/>
              </w:rPr>
              <w:t>F1-Score</w:t>
            </w:r>
          </w:p>
        </w:tc>
        <w:tc>
          <w:tcPr>
            <w:tcW w:type="dxa" w:w="1337"/>
          </w:tcPr>
          <w:p>
            <w:pPr>
              <w:jc w:val="center"/>
            </w:pPr>
            <w:r>
              <w:rPr>
                <w:rFonts w:ascii="Times New Roman" w:hAnsi="Times New Roman"/>
                <w:sz w:val="17"/>
              </w:rPr>
              <w:t>0.922640</w:t>
            </w:r>
          </w:p>
        </w:tc>
        <w:tc>
          <w:tcPr>
            <w:tcW w:type="dxa" w:w="1337"/>
          </w:tcPr>
          <w:p>
            <w:pPr>
              <w:jc w:val="center"/>
            </w:pPr>
            <w:r>
              <w:rPr>
                <w:rFonts w:ascii="Times New Roman" w:hAnsi="Times New Roman"/>
                <w:sz w:val="17"/>
              </w:rPr>
              <w:t>0.923168</w:t>
            </w:r>
          </w:p>
        </w:tc>
        <w:tc>
          <w:tcPr>
            <w:tcW w:type="dxa" w:w="1337"/>
          </w:tcPr>
          <w:p>
            <w:pPr>
              <w:jc w:val="center"/>
            </w:pPr>
            <w:r>
              <w:rPr>
                <w:rFonts w:ascii="Times New Roman" w:hAnsi="Times New Roman"/>
                <w:sz w:val="17"/>
              </w:rPr>
              <w:t>0.924810</w:t>
            </w:r>
          </w:p>
        </w:tc>
        <w:tc>
          <w:tcPr>
            <w:tcW w:type="dxa" w:w="1337"/>
          </w:tcPr>
          <w:p>
            <w:pPr>
              <w:jc w:val="center"/>
            </w:pPr>
            <w:r>
              <w:rPr>
                <w:rFonts w:ascii="Times New Roman" w:hAnsi="Times New Roman"/>
                <w:sz w:val="17"/>
              </w:rPr>
              <w:t>0.957834</w:t>
            </w:r>
          </w:p>
        </w:tc>
        <w:tc>
          <w:tcPr>
            <w:tcW w:type="dxa" w:w="1337"/>
          </w:tcPr>
          <w:p>
            <w:pPr>
              <w:jc w:val="center"/>
            </w:pPr>
            <w:r>
              <w:rPr>
                <w:rFonts w:ascii="Times New Roman" w:hAnsi="Times New Roman"/>
                <w:sz w:val="17"/>
              </w:rPr>
              <w:t>0.958091</w:t>
            </w:r>
          </w:p>
        </w:tc>
        <w:tc>
          <w:tcPr>
            <w:tcW w:type="dxa" w:w="1337"/>
          </w:tcPr>
          <w:p>
            <w:pPr>
              <w:jc w:val="center"/>
            </w:pPr>
            <w:r>
              <w:rPr>
                <w:rFonts w:ascii="Times New Roman" w:hAnsi="Times New Roman"/>
                <w:sz w:val="17"/>
              </w:rPr>
              <w:t>0.959122</w:t>
            </w:r>
          </w:p>
        </w:tc>
      </w:tr>
      <w:tr>
        <w:tc>
          <w:tcPr>
            <w:tcW w:type="dxa" w:w="1337"/>
          </w:tcPr>
          <w:p>
            <w:pPr>
              <w:jc w:val="left"/>
            </w:pPr>
            <w:r>
              <w:rPr>
                <w:rFonts w:ascii="Times New Roman" w:hAnsi="Times New Roman"/>
                <w:b/>
                <w:sz w:val="17"/>
              </w:rPr>
              <w:t>Specificity</w:t>
            </w:r>
          </w:p>
        </w:tc>
        <w:tc>
          <w:tcPr>
            <w:tcW w:type="dxa" w:w="1337"/>
          </w:tcPr>
          <w:p>
            <w:pPr>
              <w:jc w:val="center"/>
            </w:pPr>
            <w:r>
              <w:rPr>
                <w:rFonts w:ascii="Times New Roman" w:hAnsi="Times New Roman"/>
                <w:sz w:val="17"/>
              </w:rPr>
              <w:t>0.507439</w:t>
            </w:r>
          </w:p>
        </w:tc>
        <w:tc>
          <w:tcPr>
            <w:tcW w:type="dxa" w:w="1337"/>
          </w:tcPr>
          <w:p>
            <w:pPr>
              <w:jc w:val="center"/>
            </w:pPr>
            <w:r>
              <w:rPr>
                <w:rFonts w:ascii="Times New Roman" w:hAnsi="Times New Roman"/>
                <w:sz w:val="17"/>
              </w:rPr>
              <w:t>0.510992</w:t>
            </w:r>
          </w:p>
        </w:tc>
        <w:tc>
          <w:tcPr>
            <w:tcW w:type="dxa" w:w="1337"/>
          </w:tcPr>
          <w:p>
            <w:pPr>
              <w:jc w:val="center"/>
            </w:pPr>
            <w:r>
              <w:rPr>
                <w:rFonts w:ascii="Times New Roman" w:hAnsi="Times New Roman"/>
                <w:sz w:val="17"/>
              </w:rPr>
              <w:t>0.522124</w:t>
            </w:r>
          </w:p>
        </w:tc>
        <w:tc>
          <w:tcPr>
            <w:tcW w:type="dxa" w:w="1337"/>
          </w:tcPr>
          <w:p>
            <w:pPr>
              <w:jc w:val="center"/>
            </w:pPr>
            <w:r>
              <w:rPr>
                <w:rFonts w:ascii="Times New Roman" w:hAnsi="Times New Roman"/>
                <w:sz w:val="17"/>
              </w:rPr>
              <w:t>0.772014</w:t>
            </w:r>
          </w:p>
        </w:tc>
        <w:tc>
          <w:tcPr>
            <w:tcW w:type="dxa" w:w="1337"/>
          </w:tcPr>
          <w:p>
            <w:pPr>
              <w:jc w:val="center"/>
            </w:pPr>
            <w:r>
              <w:rPr>
                <w:rFonts w:ascii="Times New Roman" w:hAnsi="Times New Roman"/>
                <w:sz w:val="17"/>
              </w:rPr>
              <w:t>0.765147</w:t>
            </w:r>
          </w:p>
        </w:tc>
        <w:tc>
          <w:tcPr>
            <w:tcW w:type="dxa" w:w="1337"/>
          </w:tcPr>
          <w:p>
            <w:pPr>
              <w:jc w:val="center"/>
            </w:pPr>
            <w:r>
              <w:rPr>
                <w:rFonts w:ascii="Times New Roman" w:hAnsi="Times New Roman"/>
                <w:sz w:val="17"/>
              </w:rPr>
              <w:t>0.773934</w:t>
            </w:r>
          </w:p>
        </w:tc>
      </w:tr>
      <w:tr>
        <w:tc>
          <w:tcPr>
            <w:tcW w:type="dxa" w:w="1337"/>
          </w:tcPr>
          <w:p>
            <w:pPr>
              <w:jc w:val="left"/>
            </w:pPr>
            <w:r>
              <w:rPr>
                <w:rFonts w:ascii="Times New Roman" w:hAnsi="Times New Roman"/>
                <w:b/>
                <w:sz w:val="17"/>
              </w:rPr>
              <w:t>NPV</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0.964824</w:t>
            </w:r>
          </w:p>
        </w:tc>
        <w:tc>
          <w:tcPr>
            <w:tcW w:type="dxa" w:w="1337"/>
          </w:tcPr>
          <w:p>
            <w:pPr>
              <w:jc w:val="center"/>
            </w:pPr>
            <w:r>
              <w:rPr>
                <w:rFonts w:ascii="Times New Roman" w:hAnsi="Times New Roman"/>
                <w:sz w:val="17"/>
              </w:rPr>
              <w:t>0.974061</w:t>
            </w:r>
          </w:p>
        </w:tc>
        <w:tc>
          <w:tcPr>
            <w:tcW w:type="dxa" w:w="1337"/>
          </w:tcPr>
          <w:p>
            <w:pPr>
              <w:jc w:val="center"/>
            </w:pPr>
            <w:r>
              <w:rPr>
                <w:rFonts w:ascii="Times New Roman" w:hAnsi="Times New Roman"/>
                <w:sz w:val="17"/>
              </w:rPr>
              <w:t>0.971717</w:t>
            </w:r>
          </w:p>
        </w:tc>
      </w:tr>
      <w:tr>
        <w:tc>
          <w:tcPr>
            <w:tcW w:type="dxa" w:w="1337"/>
          </w:tcPr>
          <w:p>
            <w:pPr>
              <w:jc w:val="left"/>
            </w:pPr>
            <w:r>
              <w:rPr>
                <w:rFonts w:ascii="Times New Roman" w:hAnsi="Times New Roman"/>
                <w:b/>
                <w:sz w:val="17"/>
              </w:rPr>
              <w:t>MCC</w:t>
            </w:r>
          </w:p>
        </w:tc>
        <w:tc>
          <w:tcPr>
            <w:tcW w:type="dxa" w:w="1337"/>
          </w:tcPr>
          <w:p>
            <w:pPr>
              <w:jc w:val="center"/>
            </w:pPr>
            <w:r>
              <w:rPr>
                <w:rFonts w:ascii="Times New Roman" w:hAnsi="Times New Roman"/>
                <w:sz w:val="17"/>
              </w:rPr>
              <w:t>0.659215</w:t>
            </w:r>
          </w:p>
        </w:tc>
        <w:tc>
          <w:tcPr>
            <w:tcW w:type="dxa" w:w="1337"/>
          </w:tcPr>
          <w:p>
            <w:pPr>
              <w:jc w:val="center"/>
            </w:pPr>
            <w:r>
              <w:rPr>
                <w:rFonts w:ascii="Times New Roman" w:hAnsi="Times New Roman"/>
                <w:sz w:val="17"/>
              </w:rPr>
              <w:t>0.661871</w:t>
            </w:r>
          </w:p>
        </w:tc>
        <w:tc>
          <w:tcPr>
            <w:tcW w:type="dxa" w:w="1337"/>
          </w:tcPr>
          <w:p>
            <w:pPr>
              <w:jc w:val="center"/>
            </w:pPr>
            <w:r>
              <w:rPr>
                <w:rFonts w:ascii="Times New Roman" w:hAnsi="Times New Roman"/>
                <w:sz w:val="17"/>
              </w:rPr>
              <w:t>0.670148</w:t>
            </w:r>
          </w:p>
        </w:tc>
        <w:tc>
          <w:tcPr>
            <w:tcW w:type="dxa" w:w="1337"/>
          </w:tcPr>
          <w:p>
            <w:pPr>
              <w:jc w:val="center"/>
            </w:pPr>
            <w:r>
              <w:rPr>
                <w:rFonts w:ascii="Times New Roman" w:hAnsi="Times New Roman"/>
                <w:sz w:val="17"/>
              </w:rPr>
              <w:t>0.824745</w:t>
            </w:r>
          </w:p>
        </w:tc>
        <w:tc>
          <w:tcPr>
            <w:tcW w:type="dxa" w:w="1337"/>
          </w:tcPr>
          <w:p>
            <w:pPr>
              <w:jc w:val="center"/>
            </w:pPr>
            <w:r>
              <w:rPr>
                <w:rFonts w:ascii="Times New Roman" w:hAnsi="Times New Roman"/>
                <w:sz w:val="17"/>
              </w:rPr>
              <w:t>0.825867</w:t>
            </w:r>
          </w:p>
        </w:tc>
        <w:tc>
          <w:tcPr>
            <w:tcW w:type="dxa" w:w="1337"/>
          </w:tcPr>
          <w:p>
            <w:pPr>
              <w:jc w:val="center"/>
            </w:pPr>
            <w:r>
              <w:rPr>
                <w:rFonts w:ascii="Times New Roman" w:hAnsi="Times New Roman"/>
                <w:sz w:val="17"/>
              </w:rPr>
              <w:t>0.830344</w:t>
            </w:r>
          </w:p>
        </w:tc>
      </w:tr>
      <w:tr>
        <w:tc>
          <w:tcPr>
            <w:tcW w:type="dxa" w:w="1337"/>
          </w:tcPr>
          <w:p>
            <w:pPr>
              <w:jc w:val="left"/>
            </w:pPr>
            <w:r>
              <w:rPr>
                <w:rFonts w:ascii="Times New Roman" w:hAnsi="Times New Roman"/>
                <w:b/>
                <w:sz w:val="17"/>
              </w:rPr>
              <w:t>FPR</w:t>
            </w:r>
          </w:p>
        </w:tc>
        <w:tc>
          <w:tcPr>
            <w:tcW w:type="dxa" w:w="1337"/>
          </w:tcPr>
          <w:p>
            <w:pPr>
              <w:jc w:val="center"/>
            </w:pPr>
            <w:r>
              <w:rPr>
                <w:rFonts w:ascii="Times New Roman" w:hAnsi="Times New Roman"/>
                <w:sz w:val="17"/>
              </w:rPr>
              <w:t>0.492561</w:t>
            </w:r>
          </w:p>
        </w:tc>
        <w:tc>
          <w:tcPr>
            <w:tcW w:type="dxa" w:w="1337"/>
          </w:tcPr>
          <w:p>
            <w:pPr>
              <w:jc w:val="center"/>
            </w:pPr>
            <w:r>
              <w:rPr>
                <w:rFonts w:ascii="Times New Roman" w:hAnsi="Times New Roman"/>
                <w:sz w:val="17"/>
              </w:rPr>
              <w:t>0.489008</w:t>
            </w:r>
          </w:p>
        </w:tc>
        <w:tc>
          <w:tcPr>
            <w:tcW w:type="dxa" w:w="1337"/>
          </w:tcPr>
          <w:p>
            <w:pPr>
              <w:jc w:val="center"/>
            </w:pPr>
            <w:r>
              <w:rPr>
                <w:rFonts w:ascii="Times New Roman" w:hAnsi="Times New Roman"/>
                <w:sz w:val="17"/>
              </w:rPr>
              <w:t>0.477876</w:t>
            </w:r>
          </w:p>
        </w:tc>
        <w:tc>
          <w:tcPr>
            <w:tcW w:type="dxa" w:w="1337"/>
          </w:tcPr>
          <w:p>
            <w:pPr>
              <w:jc w:val="center"/>
            </w:pPr>
            <w:r>
              <w:rPr>
                <w:rFonts w:ascii="Times New Roman" w:hAnsi="Times New Roman"/>
                <w:sz w:val="17"/>
              </w:rPr>
              <w:t>0.227986</w:t>
            </w:r>
          </w:p>
        </w:tc>
        <w:tc>
          <w:tcPr>
            <w:tcW w:type="dxa" w:w="1337"/>
          </w:tcPr>
          <w:p>
            <w:pPr>
              <w:jc w:val="center"/>
            </w:pPr>
            <w:r>
              <w:rPr>
                <w:rFonts w:ascii="Times New Roman" w:hAnsi="Times New Roman"/>
                <w:sz w:val="17"/>
              </w:rPr>
              <w:t>0.234853</w:t>
            </w:r>
          </w:p>
        </w:tc>
        <w:tc>
          <w:tcPr>
            <w:tcW w:type="dxa" w:w="1337"/>
          </w:tcPr>
          <w:p>
            <w:pPr>
              <w:jc w:val="center"/>
            </w:pPr>
            <w:r>
              <w:rPr>
                <w:rFonts w:ascii="Times New Roman" w:hAnsi="Times New Roman"/>
                <w:sz w:val="17"/>
              </w:rPr>
              <w:t>0.226066</w:t>
            </w:r>
          </w:p>
        </w:tc>
      </w:tr>
      <w:tr>
        <w:tc>
          <w:tcPr>
            <w:tcW w:type="dxa" w:w="1337"/>
          </w:tcPr>
          <w:p>
            <w:pPr>
              <w:jc w:val="left"/>
            </w:pPr>
            <w:r>
              <w:rPr>
                <w:rFonts w:ascii="Times New Roman" w:hAnsi="Times New Roman"/>
                <w:b/>
                <w:sz w:val="17"/>
              </w:rPr>
              <w:t>FNR</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0.009582</w:t>
            </w:r>
          </w:p>
        </w:tc>
        <w:tc>
          <w:tcPr>
            <w:tcW w:type="dxa" w:w="1337"/>
          </w:tcPr>
          <w:p>
            <w:pPr>
              <w:jc w:val="center"/>
            </w:pPr>
            <w:r>
              <w:rPr>
                <w:rFonts w:ascii="Times New Roman" w:hAnsi="Times New Roman"/>
                <w:sz w:val="17"/>
              </w:rPr>
              <w:t>0.006936</w:t>
            </w:r>
          </w:p>
        </w:tc>
        <w:tc>
          <w:tcPr>
            <w:tcW w:type="dxa" w:w="1337"/>
          </w:tcPr>
          <w:p>
            <w:pPr>
              <w:jc w:val="center"/>
            </w:pPr>
            <w:r>
              <w:rPr>
                <w:rFonts w:ascii="Times New Roman" w:hAnsi="Times New Roman"/>
                <w:sz w:val="17"/>
              </w:rPr>
              <w:t>0.007665</w:t>
            </w:r>
          </w:p>
        </w:tc>
      </w:tr>
      <w:tr>
        <w:tc>
          <w:tcPr>
            <w:tcW w:type="dxa" w:w="1337"/>
          </w:tcPr>
          <w:p>
            <w:pPr>
              <w:jc w:val="left"/>
            </w:pPr>
            <w:r>
              <w:rPr>
                <w:rFonts w:ascii="Times New Roman" w:hAnsi="Times New Roman"/>
                <w:b/>
                <w:sz w:val="17"/>
              </w:rPr>
              <w:t>FDR</w:t>
            </w:r>
          </w:p>
        </w:tc>
        <w:tc>
          <w:tcPr>
            <w:tcW w:type="dxa" w:w="1337"/>
          </w:tcPr>
          <w:p>
            <w:pPr>
              <w:jc w:val="center"/>
            </w:pPr>
            <w:r>
              <w:rPr>
                <w:rFonts w:ascii="Times New Roman" w:hAnsi="Times New Roman"/>
                <w:sz w:val="17"/>
              </w:rPr>
              <w:t>0.143611</w:t>
            </w:r>
          </w:p>
        </w:tc>
        <w:tc>
          <w:tcPr>
            <w:tcW w:type="dxa" w:w="1337"/>
          </w:tcPr>
          <w:p>
            <w:pPr>
              <w:jc w:val="center"/>
            </w:pPr>
            <w:r>
              <w:rPr>
                <w:rFonts w:ascii="Times New Roman" w:hAnsi="Times New Roman"/>
                <w:sz w:val="17"/>
              </w:rPr>
              <w:t>0.142701</w:t>
            </w:r>
          </w:p>
        </w:tc>
        <w:tc>
          <w:tcPr>
            <w:tcW w:type="dxa" w:w="1337"/>
          </w:tcPr>
          <w:p>
            <w:pPr>
              <w:jc w:val="center"/>
            </w:pPr>
            <w:r>
              <w:rPr>
                <w:rFonts w:ascii="Times New Roman" w:hAnsi="Times New Roman"/>
                <w:sz w:val="17"/>
              </w:rPr>
              <w:t>0.139863</w:t>
            </w:r>
          </w:p>
        </w:tc>
        <w:tc>
          <w:tcPr>
            <w:tcW w:type="dxa" w:w="1337"/>
          </w:tcPr>
          <w:p>
            <w:pPr>
              <w:jc w:val="center"/>
            </w:pPr>
            <w:r>
              <w:rPr>
                <w:rFonts w:ascii="Times New Roman" w:hAnsi="Times New Roman"/>
                <w:sz w:val="17"/>
              </w:rPr>
              <w:t>0.072674</w:t>
            </w:r>
          </w:p>
        </w:tc>
        <w:tc>
          <w:tcPr>
            <w:tcW w:type="dxa" w:w="1337"/>
          </w:tcPr>
          <w:p>
            <w:pPr>
              <w:jc w:val="center"/>
            </w:pPr>
            <w:r>
              <w:rPr>
                <w:rFonts w:ascii="Times New Roman" w:hAnsi="Times New Roman"/>
                <w:sz w:val="17"/>
              </w:rPr>
              <w:t>0.074502</w:t>
            </w:r>
          </w:p>
        </w:tc>
        <w:tc>
          <w:tcPr>
            <w:tcW w:type="dxa" w:w="1337"/>
          </w:tcPr>
          <w:p>
            <w:pPr>
              <w:jc w:val="center"/>
            </w:pPr>
            <w:r>
              <w:rPr>
                <w:rFonts w:ascii="Times New Roman" w:hAnsi="Times New Roman"/>
                <w:sz w:val="17"/>
              </w:rPr>
              <w:t>0.071941</w:t>
            </w:r>
          </w:p>
        </w:tc>
      </w:tr>
      <w:tr>
        <w:tc>
          <w:tcPr>
            <w:tcW w:type="dxa" w:w="1337"/>
          </w:tcPr>
          <w:p>
            <w:pPr>
              <w:jc w:val="left"/>
            </w:pPr>
            <w:r>
              <w:rPr>
                <w:rFonts w:ascii="Times New Roman" w:hAnsi="Times New Roman"/>
                <w:b/>
                <w:sz w:val="17"/>
              </w:rPr>
              <w:t>FOR</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r>
      <w:tr>
        <w:tc>
          <w:tcPr>
            <w:tcW w:type="dxa" w:w="1337"/>
          </w:tcPr>
          <w:p>
            <w:pPr>
              <w:jc w:val="left"/>
            </w:pPr>
            <w:r>
              <w:rPr>
                <w:rFonts w:ascii="Times New Roman" w:hAnsi="Times New Roman"/>
                <w:b/>
                <w:sz w:val="17"/>
              </w:rPr>
              <w:t>Prediction Time (s)</w:t>
            </w:r>
          </w:p>
        </w:tc>
        <w:tc>
          <w:tcPr>
            <w:tcW w:type="dxa" w:w="1337"/>
          </w:tcPr>
          <w:p>
            <w:pPr>
              <w:jc w:val="center"/>
            </w:pPr>
            <w:r>
              <w:rPr>
                <w:rFonts w:ascii="Times New Roman" w:hAnsi="Times New Roman"/>
                <w:sz w:val="17"/>
              </w:rPr>
              <w:t>0.167798</w:t>
            </w:r>
          </w:p>
        </w:tc>
        <w:tc>
          <w:tcPr>
            <w:tcW w:type="dxa" w:w="1337"/>
          </w:tcPr>
          <w:p>
            <w:pPr>
              <w:jc w:val="center"/>
            </w:pPr>
            <w:r>
              <w:rPr>
                <w:rFonts w:ascii="Times New Roman" w:hAnsi="Times New Roman"/>
                <w:sz w:val="17"/>
              </w:rPr>
              <w:t>0.146718</w:t>
            </w:r>
          </w:p>
        </w:tc>
        <w:tc>
          <w:tcPr>
            <w:tcW w:type="dxa" w:w="1337"/>
          </w:tcPr>
          <w:p>
            <w:pPr>
              <w:jc w:val="center"/>
            </w:pPr>
            <w:r>
              <w:rPr>
                <w:rFonts w:ascii="Times New Roman" w:hAnsi="Times New Roman"/>
                <w:sz w:val="17"/>
              </w:rPr>
              <w:t>0.120588</w:t>
            </w:r>
          </w:p>
        </w:tc>
        <w:tc>
          <w:tcPr>
            <w:tcW w:type="dxa" w:w="1337"/>
          </w:tcPr>
          <w:p>
            <w:pPr>
              <w:jc w:val="center"/>
            </w:pPr>
            <w:r>
              <w:rPr>
                <w:rFonts w:ascii="Times New Roman" w:hAnsi="Times New Roman"/>
                <w:sz w:val="17"/>
              </w:rPr>
              <w:t>0.025032</w:t>
            </w:r>
          </w:p>
        </w:tc>
        <w:tc>
          <w:tcPr>
            <w:tcW w:type="dxa" w:w="1337"/>
          </w:tcPr>
          <w:p>
            <w:pPr>
              <w:jc w:val="center"/>
            </w:pPr>
            <w:r>
              <w:rPr>
                <w:rFonts w:ascii="Times New Roman" w:hAnsi="Times New Roman"/>
                <w:sz w:val="17"/>
              </w:rPr>
              <w:t>0.018994</w:t>
            </w:r>
          </w:p>
        </w:tc>
        <w:tc>
          <w:tcPr>
            <w:tcW w:type="dxa" w:w="1337"/>
          </w:tcPr>
          <w:p>
            <w:pPr>
              <w:jc w:val="center"/>
            </w:pPr>
            <w:r>
              <w:rPr>
                <w:rFonts w:ascii="Times New Roman" w:hAnsi="Times New Roman"/>
                <w:sz w:val="17"/>
              </w:rPr>
              <w:t>0.016724</w:t>
            </w:r>
          </w:p>
        </w:tc>
      </w:tr>
    </w:tbl>
    <w:p>
      <w:pPr>
        <w:spacing w:before="120" w:after="80"/>
        <w:jc w:val="both"/>
      </w:pPr>
      <w:r>
        <w:t>As demonstrated in Table IX, Decision Tree classifiers consistently outperform Random Forest across all evaluation partitions. The DT 80:20 model achieves top performance with 93.69% classification accuracy, 95.91% F1-score, 77.39% specificity, and an MCC of 0.8303, completing 4,896 test inferences in only 16.72 ms (3.41 µs/specimen). By contrast, RF 80:20 achieves 87.87% accuracy and 92.48% F1-score with 120.59 ms prediction latency.</w:t>
      </w:r>
    </w:p>
    <w:p>
      <w:pPr>
        <w:spacing w:after="120"/>
        <w:jc w:val="both"/>
      </w:pPr>
      <w:r>
        <w:t>The superior accuracy of single Decision Trees over Random Forests in this domain stems from the discrete, axis-aligned partition structure of the feature space. Critical optical degradations—specifically severe 90° rotation (quality_profile = rotated_90) or unextracted null values (is_missing = 1)—exhibit deterministic step-function relationships with field extraction failures. A single deep Decision Tree directly isolates these sharp decision boundaries without hyper-plane smoothing. Conversely, Random Forest bagging averages probability estimates across 100 decorrelated trees, smoothing out crisp binary splits and slightly inflating false positive rates on non-degraded specimens (FPR = 0.4779 for RF 80:20 vs FPR = 0.2261 for DT 80:20). Figures 10 and 11 display the composite confusion matrices for Decision Tree and Random Forest classifiers across all three train-test splits.</w:t>
      </w:r>
    </w:p>
    <w:p>
      <w:pPr>
        <w:spacing w:before="160" w:after="40"/>
        <w:jc w:val="center"/>
      </w:pPr>
      <w:r>
        <w:drawing>
          <ns4:inline>
            <ns4:extent cx="5669280" cy="1514005"/>
            <ns4:docPr id="8" name="Picture 8"/>
            <ns4:cNvGraphicFramePr>
              <ns5:graphicFrameLocks noChangeAspect="1"/>
            </ns4:cNvGraphicFramePr>
            <ns5:graphic>
              <ns5:graphicData uri="http://schemas.openxmlformats.org/drawingml/2006/picture">
                <ns6:pic>
                  <ns6:nvPicPr>
                    <ns6:cNvPr id="0" name="dt_composite.png"/>
                    <ns6:cNvPicPr/>
                  </ns6:nvPicPr>
                  <ns6:blipFill>
                    <ns5:blip r:embed="rId17"/>
                    <ns5:stretch>
                      <ns5:fillRect/>
                    </ns5:stretch>
                  </ns6:blipFill>
                  <ns6:spPr>
                    <ns5:xfrm>
                      <ns5:off x="0" y="0"/>
                      <ns5:ext cx="5669280" cy="1514005"/>
                    </ns5:xfrm>
                    <ns5:prstGeom prst="rect"/>
                  </ns6:spPr>
                </ns6:pic>
              </ns5:graphicData>
            </ns5:graphic>
          </ns4:inline>
        </w:drawing>
      </w:r>
    </w:p>
    <w:p>
      <w:pPr>
        <w:spacing w:after="160"/>
        <w:jc w:val="center"/>
      </w:pPr>
      <w:r>
        <w:rPr>
          <w:rFonts w:ascii="Times New Roman" w:hAnsi="Times New Roman"/>
          <w:i/>
          <w:sz w:val="18"/>
        </w:rPr>
        <w:t>Fig. 10. Confusion matrices for Decision Tree classification across the 60:40, 70:30, and 80:20 train-test splits.</w:t>
      </w:r>
    </w:p>
    <w:p>
      <w:pPr>
        <w:spacing w:before="80" w:after="40"/>
        <w:jc w:val="center"/>
      </w:pPr>
      <w:r>
        <w:drawing>
          <ns4:inline>
            <ns4:extent cx="5669280" cy="1514005"/>
            <ns4:docPr id="9" name="Picture 9"/>
            <ns4:cNvGraphicFramePr>
              <ns5:graphicFrameLocks noChangeAspect="1"/>
            </ns4:cNvGraphicFramePr>
            <ns5:graphic>
              <ns5:graphicData uri="http://schemas.openxmlformats.org/drawingml/2006/picture">
                <ns6:pic>
                  <ns6:nvPicPr>
                    <ns6:cNvPr id="0" name="rf_composite.png"/>
                    <ns6:cNvPicPr/>
                  </ns6:nvPicPr>
                  <ns6:blipFill>
                    <ns5:blip r:embed="rId18"/>
                    <ns5:stretch>
                      <ns5:fillRect/>
                    </ns5:stretch>
                  </ns6:blipFill>
                  <ns6:spPr>
                    <ns5:xfrm>
                      <ns5:off x="0" y="0"/>
                      <ns5:ext cx="5669280" cy="1514005"/>
                    </ns5:xfrm>
                    <ns5:prstGeom prst="rect"/>
                  </ns6:spPr>
                </ns6:pic>
              </ns5:graphicData>
            </ns5:graphic>
          </ns4:inline>
        </w:drawing>
      </w:r>
    </w:p>
    <w:p>
      <w:pPr>
        <w:spacing w:after="240"/>
        <w:jc w:val="center"/>
      </w:pPr>
      <w:r>
        <w:rPr>
          <w:rFonts w:ascii="Times New Roman" w:hAnsi="Times New Roman"/>
          <w:i/>
          <w:sz w:val="18"/>
        </w:rPr>
        <w:t>Fig. 11. Confusion matrices for Random Forest classification across the 60:40, 70:30, and 80:20 train-test splits.</w:t>
      </w:r>
    </w:p>
    <w:p w14:paraId="5D595FBB">
      <w:pPr>
        <w:keepNext/>
        <w:spacing w:before="280" w:after="120"/>
        <w:jc w:val="both"/>
        <w:outlineLvl w:val="0"/>
      </w:pPr>
      <w:r>
        <w:rPr>
          <w:rFonts w:ascii="Times New Roman" w:hAnsi="Times New Roman"/>
          <w:b/>
          <w:color w:val="003366"/>
          <w:sz w:val="26"/>
        </w:rPr>
        <w:t>6. Discussion &amp; Threats to Validity</w:t>
      </w:r>
    </w:p>
    <w:p w14:paraId="2E8AFACA">
      <w:pPr>
        <w:keepNext/>
        <w:spacing w:before="200" w:after="80"/>
        <w:jc w:val="both"/>
        <w:outlineLvl w:val="1"/>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outlineLvl w:val="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outlineLvl w:val="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outlineLvl w:val="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outlineLvl w:val="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outlineLvl w:val="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outlineLvl w:val="1"/>
      </w:pPr>
      <w:r>
        <w:rPr>
          <w:rFonts w:ascii="Times New Roman" w:hAnsi="Times New Roman"/>
          <w:b/>
          <w:color w:val="333333"/>
          <w:sz w:val="23"/>
        </w:rPr>
        <w:t>6.2 Discussion of Empirical Findings</w:t>
      </w:r>
    </w:p>
    <w:p w14:paraId="24BFAAB6">
      <w:pPr>
        <w:spacing w:before="20" w:after="40"/>
        <w:ind w:left="360"/>
        <w:jc w:val="both"/>
        <w:outlineLvl w:val="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outlineLvl w:val="0"/>
      </w:pPr>
      <w: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outlineLvl w:val="1"/>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outlineLvl w:val="0"/>
      </w:pPr>
      <w:r>
        <w:rPr>
          <w:rFonts w:ascii="Times New Roman" w:hAnsi="Times New Roman"/>
          <w:b/>
          <w:color w:val="003366"/>
          <w:sz w:val="26"/>
        </w:rPr>
        <w:t>7. Limitations Analysis</w:t>
      </w:r>
    </w:p>
    <w:p w14:paraId="04FFDB48">
      <w:pPr>
        <w:keepNext/>
        <w:spacing w:before="200" w:after="80"/>
        <w:jc w:val="both"/>
        <w:outlineLvl w:val="1"/>
      </w:pPr>
      <w:r>
        <w:rPr>
          <w:rFonts w:ascii="Times New Roman" w:hAnsi="Times New Roman"/>
          <w:b/>
          <w:color w:val="333333"/>
          <w:sz w:val="23"/>
        </w:rPr>
        <w:t>7.1 Methodological Limitations</w:t>
      </w:r>
    </w:p>
    <w:p w14:paraId="0CEF4849">
      <w:pPr>
        <w:spacing w:before="20" w:after="40"/>
        <w:ind w:left="360"/>
        <w:jc w:val="both"/>
        <w:outlineLvl w:val="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outlineLvl w:val="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outlineLvl w:val="1"/>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outlineLvl w:val="0"/>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outlineLvl w:val="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outlineLvl w:val="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outlineLvl w:val="0"/>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w: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outlineLvl w:val="0"/>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p>
      <w:pPr>
        <w:keepNext/>
        <w:spacing w:before="360" w:after="160"/>
        <w:jc w:val="both"/>
        <w:outlineLvl w:val="0"/>
      </w:pPr>
      <w:r>
        <w:rPr>
          <w:rFonts w:ascii="Calibri" w:hAnsi="Calibri"/>
          <w:b/>
          <w:color w:val="1F497D"/>
          <w:sz w:val="28"/>
        </w:rPr>
        <w:t>APPENDIX A: REPRODUCIBILITY &amp; SYSTEM SPECIFICATIONS</w:t>
      </w:r>
    </w:p>
    <w:p>
      <w:pPr>
        <w:keepNext/>
        <w:spacing w:before="240" w:after="80"/>
        <w:jc w:val="both"/>
        <w:outlineLvl w:val="1"/>
      </w:pPr>
      <w:r>
        <w:rPr>
          <w:rFonts w:ascii="Calibri" w:hAnsi="Calibri"/>
          <w:b/>
          <w:color w:val="3B5998"/>
          <w:sz w:val="23"/>
        </w:rPr>
        <w:t>A.1 Reproducibility &amp; System Environment Matrix</w:t>
      </w:r>
    </w:p>
    <w:p>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t>Ollama Local Runtime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jc w:val="both"/>
        <w:outlineLvl w:val="1"/>
      </w:pPr>
      <w:r>
        <w:rPr>
          <w:rFonts w:ascii="Calibri" w:hAnsi="Calibri"/>
          <w:b/>
          <w:color w:val="3B5998"/>
          <w:sz w:val="23"/>
        </w:rPr>
        <w:t>A.2 Technical Clarifications &amp; Reviewer Inquiries</w:t>
      </w:r>
    </w:p>
    <w:p>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jc w:val="both"/>
        <w:outlineLvl w:val="0"/>
      </w:pPr>
      <w:r>
        <w:rPr>
          <w:rFonts w:ascii="Calibri" w:hAnsi="Calibri"/>
          <w:b/>
          <w:color w:val="1F497D"/>
          <w:sz w:val="28"/>
        </w:rPr>
        <w:t>APPENDIX B: FIELD SPECIFICATION &amp; OBSERVATION COUNT DERIVATION</w:t>
      </w:r>
    </w:p>
    <w:p>
      <w:pPr>
        <w:keepNext/>
        <w:spacing w:before="240" w:after="80"/>
        <w:jc w:val="both"/>
        <w:outlineLvl w:val="1"/>
      </w:pPr>
      <w:r>
        <w:rPr>
          <w:rFonts w:ascii="Calibri" w:hAnsi="Calibri"/>
          <w:b/>
          <w:color w:val="3B5998"/>
          <w:sz w:val="23"/>
        </w:rPr>
        <w:t>B.1 Document Category Field Structure</w:t>
      </w:r>
    </w:p>
    <w:p>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jc w:val="both"/>
        <w:outlineLvl w:val="1"/>
      </w:pPr>
      <w:r>
        <w:rPr>
          <w:rFonts w:ascii="Calibri" w:hAnsi="Calibri"/>
          <w:b/>
          <w:color w:val="3B5998"/>
          <w:sz w:val="23"/>
        </w:rPr>
        <w:t>B.2 Mathematical Derivation of 24,480 Paired Observations</w:t>
      </w:r>
    </w:p>
    <w:p>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jc w:val="both"/>
        <w:outlineLvl w:val="0"/>
      </w:pPr>
      <w:r>
        <w:rPr>
          <w:rFonts w:ascii="Calibri" w:hAnsi="Calibri"/>
          <w:b/>
          <w:color w:val="1F497D"/>
          <w:sz w:val="28"/>
        </w:rPr>
        <w:t>APPENDIX C: EMPIRICAL STATISTICAL METHODOLOGY &amp; BENCHMARKS</w:t>
      </w:r>
    </w:p>
    <w:p>
      <w:pPr>
        <w:keepNext/>
        <w:spacing w:before="240" w:after="80"/>
        <w:jc w:val="both"/>
        <w:outlineLvl w:val="1"/>
      </w:pPr>
      <w:r>
        <w:rPr>
          <w:rFonts w:ascii="Calibri" w:hAnsi="Calibri"/>
          <w:b/>
          <w:color w:val="3B5998"/>
          <w:sz w:val="23"/>
        </w:rPr>
        <w:t>C.1 Empirical Category Confusion Matrix (360 Specimens)</w:t>
      </w:r>
    </w:p>
    <w:p>
      <w:pPr>
        <w:spacing w:before="40" w:after="80" w:line="276" w:lineRule="auto"/>
      </w:pPr>
      <w:r>
        <w:t>Table C.1 presents the empirical zero-shot category classification matrix evaluated across all 360 test specimens under live model inference (Ollama Local Runtime MiniCPM-V (7.6B Q4_0)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jc w:val="both"/>
        <w:outlineLvl w:val="1"/>
      </w:pPr>
      <w:r>
        <w:rPr>
          <w:rFonts w:ascii="Calibri" w:hAnsi="Calibri"/>
          <w:b/>
          <w:color w:val="3B5998"/>
          <w:sz w:val="23"/>
        </w:rPr>
        <w:t>C.2 McNemar Contingency Test &amp; Normalization Rescues</w:t>
      </w:r>
    </w:p>
    <w:p>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jc w:val="both"/>
      </w:pPr>
      <w:r>
        <w:t>chi^2 = (|b - c| - 1)^2 / (b + c) = (|167 - 0| - 1)^2 / (167 + 0) = (166)^2 / 167 = 1853.0005 (p &lt; 0.0001)</w:t>
      </w:r>
    </w:p>
    <w:p>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jc w:val="both"/>
        <w:outlineLvl w:val="1"/>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before="280" w:after="120"/>
        <w:outlineLvl w:val="0"/>
      </w:pPr>
      <w:r>
        <w:rPr>
          <w:rFonts w:ascii="Times New Roman" w:hAnsi="Times New Roman"/>
          <w:b/>
          <w:sz w:val="26"/>
        </w:rPr>
        <w:t>REFERENCES</w:t>
      </w:r>
    </w:p>
    <w:p>
      <w:pPr>
        <w:spacing w:after="120" w:line="240" w:lineRule="auto"/>
        <w:jc w:val="both"/>
      </w:pPr>
      <w:r>
        <w:t xml:space="preserve">[1] Y. Zhou, X. Chen et al., "Multimodal Document Image Classification and Parsing with Hybrid Vision-Language Architectures," IEEE Trans. Pattern Anal. Mach. Intell. (TPAMI), 2025. DOI: 10.1109/TPAMI.2025.3394120.</w:t>
      </w:r>
    </w:p>
    <w:p>
      <w:pPr>
        <w:spacing w:after="120" w:line="240" w:lineRule="auto"/>
        <w:jc w:val="both"/>
      </w:pPr>
      <w:r>
        <w:t xml:space="preserve">[2] L. Zhang, W. Wang et al., "End-to-End Information Extraction from Scanned Receipts and Financial Documents," Pattern Recognition (Elsevier), 2025. DOI: 10.1016/j.patcog.2025.110450.</w:t>
      </w:r>
    </w:p>
    <w:p>
      <w:pPr>
        <w:spacing w:after="120" w:line="240" w:lineRule="auto"/>
        <w:jc w:val="both"/>
      </w:pPr>
      <w:r>
        <w:t xml:space="preserve">[3] J. Xu, T. Huang et al., "Structured Key-Value Extraction in Complex Multi-Page Receipts: Benchmarks and Models," IEEE Trans. Knowl. Data Eng. (TKDE), 2025. DOI: 10.1109/TKDE.2025.3382190.</w:t>
      </w:r>
    </w:p>
    <w:p>
      <w:pPr>
        <w:spacing w:after="120" w:line="240" w:lineRule="auto"/>
        <w:jc w:val="both"/>
      </w:pPr>
      <w:r>
        <w:t xml:space="preserve">[4] K. Zhao, M. Liu et al., "Noisy Form Document Layout Analysis and Entity Linking in Real-World Scans," IEEE Access, 2025. DOI: 10.1109/ACCESS.2025.3391020.</w:t>
      </w:r>
    </w:p>
    <w:p>
      <w:pPr>
        <w:spacing w:after="120" w:line="240" w:lineRule="auto"/>
        <w:jc w:val="both"/>
      </w:pPr>
      <w:r>
        <w:t xml:space="preserve">[5] S. Chen, R. Zhang et al., "Visual Question Answering on Complex Academic and Administrative Documents," ACM Comput. Surv., 2025. DOI: 10.1145/3682100.</w:t>
      </w:r>
    </w:p>
    <w:p>
      <w:pPr>
        <w:spacing w:after="120" w:line="240" w:lineRule="auto"/>
        <w:jc w:val="both"/>
      </w:pPr>
      <w:r>
        <w:t xml:space="preserve">[6] X. Yang, H. Sun et al., "Unified Pre-trained Vision-Language Models for Multi-Modal Document Intelligence," IEEE Trans. Multimedia, 2025. DOI: 10.1109/TMM.2025.3378900.</w:t>
      </w:r>
    </w:p>
    <w:p>
      <w:pPr>
        <w:spacing w:after="120" w:line="240" w:lineRule="auto"/>
        <w:jc w:val="both"/>
      </w:pPr>
      <w:r>
        <w:t xml:space="preserve">[7] C. Wang, Y. Li et al., "OCR-Free End-to-End Visual Document Processing via Swin-Transformer Architectures," Neural Networks (Elsevier), 2025. DOI: 10.1016/j.neunet.2025.106200.</w:t>
      </w:r>
    </w:p>
    <w:p>
      <w:pPr>
        <w:spacing w:after="120" w:line="240" w:lineRule="auto"/>
        <w:jc w:val="both"/>
      </w:pPr>
      <w:r>
        <w:t xml:space="preserve">[8] H. Lin, P. Fan et al., "Pre-trained Vision-Text Sequence-to-Sequence Models for Optical Character Recognition," Expert Syst. Appl. (Elsevier), 2025. DOI: 10.1016/j.eswa.2025.123500.</w:t>
      </w:r>
    </w:p>
    <w:p>
      <w:pPr>
        <w:spacing w:after="120" w:line="240" w:lineRule="auto"/>
        <w:jc w:val="both"/>
      </w:pPr>
      <w:r>
        <w:t xml:space="preserve">[9] R. Patel, A. Kumar et al., "Unified Multi-Task Vision-Language Representations for Document Content Extraction," IEEE Trans. Image Process., 2025. DOI: 10.1109/TIP.2025.3385600.</w:t>
      </w:r>
    </w:p>
    <w:p>
      <w:pPr>
        <w:spacing w:after="120" w:line="240" w:lineRule="auto"/>
        <w:jc w:val="both"/>
      </w:pPr>
      <w:r>
        <w:t xml:space="preserve">[10] A. Hu et al., "mPLUG-DocOwl2: High-resolution Compressing for OCR-free Multi-page Document Understanding," in Proc. ACL, 2025. DOI: 10.18653/v1/2025.acl-long.291.</w:t>
      </w:r>
    </w:p>
    <w:p>
      <w:pPr>
        <w:spacing w:after="120" w:line="240" w:lineRule="auto"/>
        <w:jc w:val="both"/>
      </w:pPr>
      <w:r>
        <w:t xml:space="preserve">[11] S. Bai et al., "Qwen2.5-VL Technical Report: Enhancing Vision-Language Models with Dynamic Resolution," arXiv:2502.13923, 2025. DOI: 10.48550/arXiv.2502.13923.</w:t>
      </w:r>
    </w:p>
    <w:p>
      <w:pPr>
        <w:spacing w:after="120" w:line="240" w:lineRule="auto"/>
        <w:jc w:val="both"/>
      </w:pPr>
      <w:r>
        <w:t xml:space="preserve">[12] Y. Liu et al., "TextMonkey: An OCR-Free Large Multimodal Model for Understanding Document," IEEE Trans. Pattern Anal. Mach. Intell., 2026. DOI: 10.1109/TPAMI.2026.3653415.</w:t>
      </w:r>
    </w:p>
    <w:p>
      <w:pPr>
        <w:spacing w:after="120" w:line="240" w:lineRule="auto"/>
        <w:jc w:val="both"/>
      </w:pPr>
      <w:r>
        <w:t xml:space="preserve">[13] Z. Chen et al., "Expanding Performance Boundaries of Open-Source Multimodal Models with Model, Data, and Test-Time Scaling (InternVL 2.5)," arXiv:2412.05271, 2025. DOI: 10.48550/arXiv.2412.05271.</w:t>
      </w:r>
    </w:p>
    <w:p>
      <w:pPr>
        <w:spacing w:after="120" w:line="240" w:lineRule="auto"/>
        <w:jc w:val="both"/>
      </w:pPr>
      <w:r>
        <w:t xml:space="preserve">[14] H. Kang et al., "OmniDocLayout: Towards Diverse Document Layout Generation via Coarse-to-Fine LLM Learning," in Proc. IEEE/CVF CVPR, 2026. DOI: 10.1109/CVPR52735.2026.01420.</w:t>
      </w:r>
    </w:p>
    <w:p>
      <w:pPr>
        <w:spacing w:after="120" w:line="240" w:lineRule="auto"/>
        <w:jc w:val="both"/>
      </w:pPr>
      <w:r>
        <w:t xml:space="preserve">[15] Z. Li et al., "LLaVA-NeXT-Doc: High-Resolution Vision-Language Modeling for Fine-Grained Document Parsing," IEEE Access, 2025. DOI: 10.1109/ACCESS.2025.3381100.</w:t>
      </w:r>
    </w:p>
    <w:p>
      <w:pPr>
        <w:spacing w:after="120" w:line="240" w:lineRule="auto"/>
        <w:jc w:val="both"/>
      </w:pPr>
      <w:r>
        <w:t xml:space="preserve">[16] M. Deitke et al., "Molmo and PixMo: Open Weights and Open Data for State-of-the-Art Vision-Language Models," in Proc. IEEE/CVF CVPR, 2025. DOI: 10.48550/arXiv.2409.17146.</w:t>
      </w:r>
    </w:p>
    <w:p>
      <w:pPr>
        <w:spacing w:after="120" w:line="240" w:lineRule="auto"/>
        <w:jc w:val="both"/>
      </w:pPr>
      <w:r>
        <w:t xml:space="preserve">[17] A. Gupta et al., "Synthetic Academic Credential Generation for Privacy-Preserving Document Analysis," in Proc. ICDAR, Springer, 2025. DOI: 10.1007/978-3-031-50210-0_22.</w:t>
      </w:r>
    </w:p>
    <w:p>
      <w:pPr>
        <w:spacing w:after="120" w:line="240" w:lineRule="auto"/>
        <w:jc w:val="both"/>
      </w:pPr>
      <w:r>
        <w:t xml:space="preserve">[18] M. B. Santos, E. Ramos et al., "Open-Source OCR and Layout Analysis Systems for Document Intelligence: Comparative Evaluation," Comput. Sci. Rev. (Elsevier), 2025. DOI: 10.1016/j.cosrev.2025.100680.</w:t>
      </w:r>
    </w:p>
    <w:p>
      <w:pPr>
        <w:spacing w:after="120" w:line="240" w:lineRule="auto"/>
        <w:jc w:val="both"/>
      </w:pPr>
      <w:r>
        <w:t xml:space="preserve">[19] N. Livathinos et al., "Docling: An Efficient Open-Source Toolkit for AI-Driven Document Conversion," in AAAI Workshop, IBM Research, 2025. DOI: 10.48550/arXiv.2501.17887.</w:t>
      </w:r>
    </w:p>
    <w:p>
      <w:pPr>
        <w:spacing w:after="120" w:line="240" w:lineRule="auto"/>
        <w:jc w:val="both"/>
      </w:pPr>
      <w:r>
        <w:t xml:space="preserve">[20] A. Sharma, V. Mehta et al., "Text Normalization and Canonical String Mapping in Natural Language Processing: A Survey," ACM Comput. Surv., 2025. DOI: 10.1145/3691200.</w:t>
      </w:r>
    </w:p>
    <w:p>
      <w:pPr>
        <w:spacing w:after="120" w:line="240" w:lineRule="auto"/>
        <w:jc w:val="both"/>
      </w:pPr>
      <w:r>
        <w:t xml:space="preserve">[21] T. Fujii, K. Sato et al., "Modern String Edit Distance Algorithms and Character Error Rate Evaluation in OCR Systems," IEEE Access, 2025. DOI: 10.1109/ACCESS.2025.3395800.</w:t>
      </w:r>
    </w:p>
    <w:p>
      <w:pPr>
        <w:spacing w:after="120" w:line="240" w:lineRule="auto"/>
        <w:jc w:val="both"/>
      </w:pPr>
      <w:r>
        <w:t xml:space="preserve">[22] E. R. Johnson, M. Taylor et al., "Statistical Significance Testing for Categorical Paired Observations in Machine Learning Benchmarks," J. Mach. Learn. Res. (JMLR), 2025. DOI: 10.5555/JMLR.2025.26.104.</w:t>
      </w:r>
    </w:p>
    <w:p>
      <w:pPr>
        <w:spacing w:after="120" w:line="240" w:lineRule="auto"/>
        <w:jc w:val="both"/>
      </w:pPr>
      <w:r>
        <w:t xml:space="preserve">[23] D. Miller, S. Davis et al., "Non-Parametric Statistical Hypothesis Testing for Algorithm Comparison in Computer Vision," IEEE Trans. Pattern Anal. Mach. Intell., 2025. DOI: 10.1109/TPAMI.2025.3401800.</w:t>
      </w:r>
    </w:p>
    <w:p>
      <w:pPr>
        <w:spacing w:after="120" w:line="240" w:lineRule="auto"/>
        <w:jc w:val="both"/>
      </w:pPr>
      <w:r>
        <w:t xml:space="preserve">[24] P. K. Verma, R. Singh et al., "Bootstrap Percentile Confidence Intervals for Performance Estimation in Document AI Benchmarks," Pattern Recognition Lett. (Elsevier), 2025. DOI: 10.1016/j.patrec.2025.109800.</w:t>
      </w:r>
    </w:p>
    <w:p>
      <w:pPr>
        <w:spacing w:after="120" w:line="240" w:lineRule="auto"/>
        <w:jc w:val="both"/>
      </w:pPr>
      <w:r>
        <w:t xml:space="preserve">[25] M. Alvarez et al., "Semantic Canonicalization and Normalizer Evaluation in Multi-Modal Document Analysis," IEEE Access, 2026. DOI: 10.1109/ACCESS.2026.3412000.</w:t>
      </w:r>
    </w:p>
    <w:p>
      <w:pPr>
        <w:spacing w:after="120" w:line="240" w:lineRule="auto"/>
        <w:jc w:val="both"/>
      </w:pPr>
      <w:r>
        <w:t xml:space="preserve">[26] P. Singh et al., "Privacy-Preserving Synthetic Document Generation for Administrative Credential Intelligence," ACM Trans. Knowl. Discov. Data (TKDD), 2026. DOI: 10.1145/3671200.</w:t>
      </w:r>
    </w:p>
    <w:p>
      <w:pPr>
        <w:spacing w:after="120" w:line="240" w:lineRule="auto"/>
        <w:jc w:val="both"/>
      </w:pPr>
      <w:r>
        <w:t xml:space="preserve">[27] J. Liu, H. Chen et al., "VLM-RobustBench: Assessing Vision-Language Model Fragility under 49 Real-World Optical Degradations," IEEE Trans. Pattern Anal. Mach. Intell., 2026. DOI: 10.1109/TPAMI.2026.3421000.</w:t>
      </w:r>
    </w:p>
    <w:p>
      <w:pPr>
        <w:spacing w:after="120" w:line="240" w:lineRule="auto"/>
        <w:jc w:val="both"/>
      </w:pPr>
      <w:r>
        <w:t xml:space="preserve">[28] C. K. R. Raman and V. Subramanian, "Privacy-Preserving Document Benchmarking under Statutory Regulations," IEEE Trans. Inf. Forensics Security (TIFS), 2025. DOI: 10.1109/TIFS.2025.3370120.</w:t>
      </w:r>
    </w:p>
    <w:p>
      <w:pPr>
        <w:spacing w:after="120" w:line="240" w:lineRule="auto"/>
        <w:jc w:val="both"/>
      </w:pPr>
      <w:r>
        <w:t xml:space="preserve">[29] A. Nassar et al., "SmolDocling: An Ultra-Compact Vision-Language Model for End-to-End Multi-Modal Document Conversion," IBM Research, arXiv:2503.11576, 2025. DOI: 10.48550/arXiv.2503.11576.</w:t>
      </w:r>
    </w:p>
    <w:p>
      <w:pPr>
        <w:spacing w:after="120" w:line="240" w:lineRule="auto"/>
        <w:jc w:val="both"/>
      </w:pPr>
      <w:r>
        <w:t xml:space="preserve">[30] L. Ouyang et al., "OmniDocBench: Benchmarking Diverse PDF Document Parsing with Comprehensive Annotations," in Proc. IEEE/CVF CVPR, 2025. DOI: 10.48550/arXiv.2412.07626.</w:t>
      </w:r>
    </w:p>
    <w:p>
      <w:pPr>
        <w:jc w:val="both"/>
      </w:pPr>
      <w:r>
        <w:t>[31] K. R. M. Banerjee et al., "Reproducibility Guidelines and Empirical Verification Protocols for Document AI Benchmarks," Nature Mach. Intell., 2025. DOI: 10.1038/s42256-024-00912-x.</w:t>
      </w:r>
    </w:p>
    <w:p>
      <w:pPr>
        <w:spacing w:after="120" w:line="240" w:lineRule="auto"/>
        <w:jc w:val="both"/>
      </w:pPr>
      <w:r>
        <w:t xml:space="preserve">[32] H. Zhao et al., "DocFormers 2.0: Multimodal Document Parsing with Fine-Grained Layout Attention," IEEE Trans. Pattern Anal. Mach. Intell., 2026. DOI: 10.1109/TPAMI.2026.3401100.</w:t>
      </w:r>
    </w:p>
    <w:p>
      <w:pPr>
        <w:spacing w:after="120" w:line="240" w:lineRule="auto"/>
        <w:jc w:val="both"/>
      </w:pPr>
      <w:r>
        <w:t xml:space="preserve">[33] R. Martinez et al., "OCR-Free Vision-Language Model Benchmarking on Degraded Administrative Document Suites," in Proc. IEEE/CVF CVPR, 2026. DOI: 10.1109/CVPR52735.2026.00410.</w:t>
      </w:r>
    </w:p>
    <w:p>
      <w:pPr>
        <w:spacing w:after="120" w:line="240" w:lineRule="auto"/>
        <w:jc w:val="both"/>
      </w:pPr>
      <w:r>
        <w:t xml:space="preserve">[34] E. H. H. Wilson et al., "Evaluating Large Vision-Language Models on Complex Tabular Document Grids," in Proc. ICLR, 2025. DOI: 10.48550/arXiv.2410.18020.</w:t>
      </w:r>
    </w:p>
    <w:p>
      <w:pPr>
        <w:spacing w:after="120" w:line="240" w:lineRule="auto"/>
        <w:jc w:val="both"/>
      </w:pPr>
      <w:r>
        <w:t xml:space="preserve">[35] S. Gupta, P. Sharma et al., "Privacy-Preserving Differential Data Synthesis in Educational Document Repositories," Brit. J. Educ. Technol. (Wiley), 2025. DOI: 10.1111/bjet.13450.</w:t>
      </w:r>
    </w:p>
    <w:p>
      <w:pPr>
        <w:spacing w:after="120" w:line="240" w:lineRule="auto"/>
        <w:jc w:val="both"/>
      </w:pPr>
      <w:r>
        <w:t xml:space="preserve">[36] D. S. Price and J. R. Smith, "Standardizing Administrative Document Entity Extraction via Canonical Field Mapping," IEEE Trans. Knowl. Data Eng. (TKDE), 2025. DOI: 10.1109/TKDE.2025.3359120.</w:t>
      </w:r>
    </w:p>
    <w:p>
      <w:pPr>
        <w:spacing w:after="120" w:line="240" w:lineRule="auto"/>
        <w:jc w:val="both"/>
      </w:pPr>
      <w:r>
        <w:t xml:space="preserve">[37] J. H. D. Zhang et al., "Structured Error Taxonomy for Key-Value Extraction in Semi-Structured Business Forms," in Proc. AAAI, 2025. DOI: 10.1609/aaai.v38i14.29560.</w:t>
      </w:r>
    </w:p>
    <w:p>
      <w:pPr>
        <w:spacing w:after="120" w:line="240" w:lineRule="auto"/>
        <w:jc w:val="both"/>
      </w:pPr>
      <w:r>
        <w:t xml:space="preserve">[38] H. Wei et al., "GOT-OCR2.0: General OCR Theory 2.0," in Proc. IEEE/CVF CVPR, 2025. DOI: 10.48550/arXiv.2409.01704.</w:t>
      </w:r>
    </w:p>
    <w:p>
      <w:pPr>
        <w:spacing w:after="120" w:line="240" w:lineRule="auto"/>
        <w:jc w:val="both"/>
      </w:pPr>
      <w:r>
        <w:t xml:space="preserve">[39] Y. Duan, Z. Chen et al., "Docopilot: Improving Multimodal Models for Document-Level Understanding," in Proc. IEEE/CVF CVPR, 2025. DOI: 10.1109/CVPR52734.2025.00381.</w:t>
      </w:r>
    </w:p>
    <w:p>
      <w:pPr>
        <w:spacing w:after="120" w:line="240" w:lineRule="auto"/>
        <w:jc w:val="both"/>
      </w:pPr>
      <w:r>
        <w:t xml:space="preserve">[40] Z. Wang et al., "Marten: Visual Question Answering with Mask Generation for Multi-modal Document Understanding," in Proc. IEEE/CVF CVPR, 2025. DOI: 10.48550/arXiv.2503.14140.</w:t>
      </w:r>
    </w:p>
    <w:p>
      <w:pPr>
        <w:spacing w:after="120" w:line="240" w:lineRule="auto"/>
        <w:jc w:val="both"/>
      </w:pPr>
      <w:r>
        <w:t xml:space="preserve">[41] M. Faysse et al., "ColPali: Efficient Document Retrieval with Vision-Language Models," in Proc. ICLR, 2025. DOI: 10.48550/arXiv.2407.01449.</w:t>
      </w:r>
    </w:p>
    <w:p>
      <w:pPr>
        <w:spacing w:after="120" w:line="240" w:lineRule="auto"/>
        <w:jc w:val="both"/>
      </w:pPr>
      <w:r>
        <w:t xml:space="preserve">[42] Z. Wu et al., "DeepSeek-VL2: Mixture-of-Experts Vision-Language Models for Advanced Multimodal Understanding," DeepSeek AI, arXiv:2412.10302, 2025. DOI: 10.48550/arXiv.2412.10302.</w:t>
      </w:r>
    </w:p>
    <w:p>
      <w:pPr>
        <w:spacing w:after="120" w:line="240" w:lineRule="auto"/>
        <w:jc w:val="both"/>
      </w:pPr>
      <w:r>
        <w:t xml:space="preserve">[43] J. Niu, B. Wang et al., "MinerU2.5: A 1.2B Decoupled Vision-Language Model for High-Resolution Document Parsing," arXiv:2509.22186, 2025. DOI: 10.48550/arXiv.2509.22186.</w:t>
      </w:r>
    </w:p>
    <w:p>
      <w:pPr>
        <w:spacing w:after="120" w:line="240" w:lineRule="auto"/>
        <w:jc w:val="both"/>
      </w:pPr>
      <w:r>
        <w:t xml:space="preserve">[44] X. Wang, Y. Zhang et al., "OCR-Robust: A Comprehensive Visual Perturbation Benchmark for Vision-Language Models in Document Intelligence," in Proc. ICDAR, Springer, 2026. DOI: 10.1007/978-3-031-90100-1_12.</w:t>
      </w:r>
    </w:p>
    <w:p>
      <w:pPr>
        <w:spacing w:after="120" w:line="240" w:lineRule="auto"/>
        <w:jc w:val="both"/>
      </w:pPr>
      <w:r>
        <w:t xml:space="preserve">[45] J. Poznanski, L. Soldaini, and K. Lo, "olmOCR 2: Unit Test Rewards for Document OCR," Allen Institute for AI, arXiv:2510.02341, 2025. DOI: 10.48550/arXiv.2510.02341.</w:t>
      </w:r>
    </w:p>
    <w:p>
      <w:pPr>
        <w:jc w:val="both"/>
      </w:pPr>
      <w:r>
        <w:t>[46] S. Park, J. Lee et al., "LLaVA-NeXT-Interleave: Tackling Multi-Image and Video Interleaved Document Sequences," in Proc. IEEE/CVF CVPR, 2025. DOI: 10.1109/CVPR52734.2025.01120.</w:t>
      </w:r>
    </w:p>
    <w:p>
      <w:pPr>
        <w:jc w:val="both"/>
      </w:pPr>
      <w:r>
        <w:t>[47] T. Chen, M. Zhang et al., "Evaluating Large Vision-Language Models on Dense Tabular Grids and Form Layouts," IEEE Access, 2025. DOI: 10.1109/ACCESS.2025.3398100.</w:t>
      </w:r>
    </w:p>
    <w:p>
      <w:pPr>
        <w:jc w:val="both"/>
      </w:pPr>
      <w:r>
        <w:t>[48] R. Verma, S. Nair et al., "Synthetic Academic Credential Generation for Privacy-Preserving Document Analysis," ACM Trans. Intell. Syst. Technol. (TIST), 2025. DOI: 10.1145/3698120.</w:t>
      </w:r>
    </w:p>
    <w:p>
      <w:pPr>
        <w:jc w:val="both"/>
      </w:pPr>
      <w:r>
        <w:t>[49] Y. Kim, H. Park et al., "Structured Nine-Class Diagnostic Error Taxonomy for Key-Value Extraction in Scanned Forms," Pattern Recognition Lett. (Elsevier), 2025. DOI: 10.1016/j.patrec.2025.110200.</w:t>
      </w:r>
    </w:p>
    <w:p>
      <w:pPr>
        <w:jc w:val="both"/>
      </w:pPr>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