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Discussion &amp; Threats to Validity</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sz w:val="19"/>
        </w:rPr>
        <w:t xml:space="preserve">   6.1 Scientific Contributions and Methodological Novelty</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sz w:val="19"/>
        </w:rPr>
        <w:t xml:space="preserve">   6.2 Discussion of Empirical Findings</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sz w:val="19"/>
        </w:rPr>
        <w:t xml:space="preserve">   6.3 Threats to Validity</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7. Limitations Analysis</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7.1 Methodological Limitations</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8. Future Work</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9. Conclusion</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Ethics &amp; Privacy Statement</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APPENDIX A: REPRODUCIBILITY &amp; SYSTEM SPECIFICATIONS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A.1 Reproducibility &amp; System Environment Matrix</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A.2 Technical Clarifications &amp; Reviewer Inquiries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APPENDIX B: FIELD SPECIFICATION &amp; OBSERVATION COUNT DERIVATION</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sz w:val="19"/>
        </w:rPr>
        <w:t xml:space="preserve">   B.1 Document Category Field Structure</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sz w:val="19"/>
        </w:rPr>
        <w:t xml:space="preserve">   B.2 Mathematical Derivation of 24,480 Paired Observations</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APPENDIX C: EMPIRICAL STATISTICAL METHODOLOGY &amp; BENCHMARKS</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sz w:val="19"/>
        </w:rPr>
        <w:t xml:space="preserve">   C.1 Empirical Category Confusion Matrix (360 Specimens)</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sz w:val="19"/>
        </w:rPr>
        <w:t xml:space="preserve">   C.2 McNemar Contingency Test &amp; Normalization Rescues</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sz w:val="19"/>
        </w:rPr>
        <w:t xml:space="preserve">   C.3 Non-Parametric Bootstrap Confidence Intervals (B = 10,000)</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27</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11.35%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rPr>
          <w:rFonts w:ascii="Times New Roman" w:hAnsi="Times New Roman"/>
          <w:sz w:val="20"/>
        </w:rPr>
        <w:t>The remainder of this paper is organized as follows. Section 2 surveys related work and presents a literature comparison. Section 3 details the proposed methodology, including the decoupled system architecture and complete end-to-end data flow. Section 4 specifies the experimental setup, computing environment, dataset composition, parameter matrix, evaluation protocol, and mathematical formulations of metrics. Section 5 presents empirical validation results, statistical hypothesis testing, ablation studies, and the classical machine learning classification benchmark.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through C provide reproducibility specifications, field derivations, and empirical statistical benchmarks.</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outlineLvl w:val="0"/>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outlineLvl w:val="0"/>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impact of the Six-Stage Semantic Canonical Normalizer, a two-pass ablation study was conducted across all 24,480 field observations. As summarized in Table IX and visualized in Fig. 4 and Fig. 5, canonical normalization increased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confirms that all 2,620 `FORMAT_ERROR` instances in Pass A were systematically converted into character-perfect `EXACT_MATCH` records in Pass B (raising exact match from 50.00% to 95.49%), while all 260 genuine `NORMALIZATION_ERROR` cases (4.51%) were preserved, demonstrating that canonicalization isolates formatting variations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14:paraId="5D595FBB">
      <w:pPr>
        <w:keepNext/>
        <w:spacing w:before="280" w:after="120"/>
        <w:jc w:val="both"/>
        <w:outlineLvl w:val="0"/>
      </w:pPr>
      <w:r>
        <w:rPr>
          <w:rFonts w:ascii="Times New Roman" w:hAnsi="Times New Roman"/>
          <w:b/>
          <w:color w:val="003366"/>
          <w:sz w:val="26"/>
        </w:rPr>
        <w:t>6. Discussion &amp; Threats to Validity</w:t>
      </w:r>
    </w:p>
    <w:p w14:paraId="2E8AFACA">
      <w:pPr>
        <w:keepNext/>
        <w:spacing w:before="200" w:after="80"/>
        <w:jc w:val="both"/>
        <w:outlineLvl w:val="1"/>
      </w:pPr>
      <w:r>
        <w:rPr>
          <w:rFonts w:ascii="Times New Roman" w:hAnsi="Times New Roman"/>
          <w:b/>
          <w:color w:val="333333"/>
          <w:sz w:val="23"/>
        </w:rPr>
        <w:t>6.1 Scientific Contributions and Methodological Novelty</w:t>
      </w:r>
    </w:p>
    <w:p w14:paraId="29F5E65F">
      <w:pPr>
        <w:spacing w:before="40" w:after="80" w:line="276" w:lineRule="auto"/>
        <w:jc w:val="both"/>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jc w:val="both"/>
        <w:outlineLvl w:val="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jc w:val="both"/>
        <w:outlineLvl w:val="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jc w:val="both"/>
        <w:outlineLvl w:val="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jc w:val="both"/>
        <w:outlineLvl w:val="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jc w:val="both"/>
        <w:outlineLvl w:val="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jc w:val="both"/>
        <w:outlineLvl w:val="1"/>
      </w:pPr>
      <w:r>
        <w:rPr>
          <w:rFonts w:ascii="Times New Roman" w:hAnsi="Times New Roman"/>
          <w:b/>
          <w:color w:val="333333"/>
          <w:sz w:val="23"/>
        </w:rPr>
        <w:t>6.2 Discussion of Empirical Findings</w:t>
      </w:r>
    </w:p>
    <w:p w14:paraId="24BFAAB6">
      <w:pPr>
        <w:spacing w:before="20" w:after="40"/>
        <w:ind w:left="360"/>
        <w:jc w:val="both"/>
        <w:outlineLvl w:val="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jc w:val="both"/>
        <w:outlineLvl w:val="0"/>
      </w:pPr>
      <w:r>
        <w:t>2. Safe Read-Only Execution: Performing evaluations headlessly without database mutations allows benchmarks to be run safely in production environments [31].</w:t>
        <w:br/>
        <w:t>3. Field Extraction Limitations: The zero-shot LLM baseline achieved only 75.23%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jc w:val="both"/>
        <w:outlineLvl w:val="1"/>
      </w:pPr>
      <w:r>
        <w:rPr>
          <w:rFonts w:ascii="Times New Roman" w:hAnsi="Times New Roman"/>
          <w:b/>
          <w:color w:val="333333"/>
          <w:sz w:val="23"/>
        </w:rPr>
        <w:t>6.3 Threats to Validity</w:t>
      </w:r>
    </w:p>
    <w:p w14:paraId="1108C749">
      <w:pPr>
        <w:pStyle w:val="23"/>
        <w:spacing w:before="20" w:after="40"/>
        <w:jc w:val="both"/>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jc w:val="both"/>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jc w:val="both"/>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jc w:val="both"/>
        <w:outlineLvl w:val="0"/>
      </w:pPr>
      <w:r>
        <w:rPr>
          <w:rFonts w:ascii="Times New Roman" w:hAnsi="Times New Roman"/>
          <w:b/>
          <w:color w:val="003366"/>
          <w:sz w:val="26"/>
        </w:rPr>
        <w:t>7. Limitations Analysis</w:t>
      </w:r>
    </w:p>
    <w:p w14:paraId="04FFDB48">
      <w:pPr>
        <w:keepNext/>
        <w:spacing w:before="200" w:after="80"/>
        <w:jc w:val="both"/>
        <w:outlineLvl w:val="1"/>
      </w:pPr>
      <w:r>
        <w:rPr>
          <w:rFonts w:ascii="Times New Roman" w:hAnsi="Times New Roman"/>
          <w:b/>
          <w:color w:val="333333"/>
          <w:sz w:val="23"/>
        </w:rPr>
        <w:t>7.1 Methodological Limitations</w:t>
      </w:r>
    </w:p>
    <w:p w14:paraId="0CEF4849">
      <w:pPr>
        <w:spacing w:before="20" w:after="40"/>
        <w:ind w:left="360"/>
        <w:jc w:val="both"/>
        <w:outlineLvl w:val="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jc w:val="both"/>
        <w:outlineLvl w:val="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jc w:val="both"/>
        <w:outlineLvl w:val="1"/>
      </w:pPr>
      <w:r>
        <w:rPr>
          <w:rFonts w:ascii="Times New Roman" w:hAnsi="Times New Roman"/>
          <w:b/>
          <w:i/>
          <w:sz w:val="21"/>
        </w:rPr>
        <w:t>7.1.1 Methodological Clarification on Synthetic Data vs. Privacy-Preserving Computation</w:t>
      </w:r>
    </w:p>
    <w:p w14:paraId="61EB99C3">
      <w:pPr>
        <w:spacing w:before="40" w:after="80" w:line="276" w:lineRule="auto"/>
        <w:jc w:val="both"/>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jc w:val="both"/>
        <w:outlineLvl w:val="0"/>
      </w:pPr>
      <w:r>
        <w:rPr>
          <w:rFonts w:ascii="Times New Roman" w:hAnsi="Times New Roman"/>
          <w:b/>
          <w:color w:val="003366"/>
          <w:sz w:val="26"/>
        </w:rPr>
        <w:t>8.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outlineLvl w:val="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outlineLvl w:val="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outlineLvl w:val="0"/>
      </w:pPr>
      <w:r>
        <w:rPr>
          <w:rFonts w:ascii="Times New Roman" w:hAnsi="Times New Roman"/>
          <w:b/>
          <w:color w:val="003366"/>
          <w:sz w:val="26"/>
        </w:rPr>
        <w:t>9.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w: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jc w:val="both"/>
        <w:outlineLvl w:val="0"/>
      </w:pPr>
      <w:r>
        <w:rPr>
          <w:rFonts w:ascii="Times New Roman" w:hAnsi="Times New Roman"/>
          <w:b/>
          <w:color w:val="003366"/>
          <w:sz w:val="26"/>
        </w:rPr>
        <w:t>Ethics &amp; Privacy Statement</w:t>
      </w:r>
    </w:p>
    <w:p w14:paraId="1048E77E">
      <w:pPr>
        <w:spacing w:before="40" w:after="80" w:line="276" w:lineRule="auto"/>
        <w:jc w:val="both"/>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p>
      <w:pPr>
        <w:keepNext/>
        <w:spacing w:before="360" w:after="160"/>
        <w:jc w:val="both"/>
        <w:outlineLvl w:val="0"/>
      </w:pPr>
      <w:r>
        <w:rPr>
          <w:rFonts w:ascii="Calibri" w:hAnsi="Calibri"/>
          <w:b/>
          <w:color w:val="1F497D"/>
          <w:sz w:val="28"/>
        </w:rPr>
        <w:t>APPENDIX A: REPRODUCIBILITY &amp; SYSTEM SPECIFICATIONS</w:t>
      </w:r>
    </w:p>
    <w:p>
      <w:pPr>
        <w:keepNext/>
        <w:spacing w:before="240" w:after="80"/>
        <w:jc w:val="both"/>
        <w:outlineLvl w:val="1"/>
      </w:pPr>
      <w:r>
        <w:rPr>
          <w:rFonts w:ascii="Calibri" w:hAnsi="Calibri"/>
          <w:b/>
          <w:color w:val="3B5998"/>
          <w:sz w:val="23"/>
        </w:rPr>
        <w:t>A.1 Reproducibility &amp; System Environment Matrix</w:t>
      </w:r>
    </w:p>
    <w:p>
      <w:pPr>
        <w:spacing w:before="40" w:after="80" w:line="276" w:lineRule="auto"/>
        <w:jc w:val="both"/>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t>Ollama Local Runtime AI (minicpm-v:latest,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jc w:val="both"/>
        <w:outlineLvl w:val="1"/>
      </w:pPr>
      <w:r>
        <w:rPr>
          <w:rFonts w:ascii="Calibri" w:hAnsi="Calibri"/>
          <w:b/>
          <w:color w:val="3B5998"/>
          <w:sz w:val="23"/>
        </w:rPr>
        <w:t>A.2 Technical Clarifications &amp; Reviewer Inquiries</w:t>
      </w:r>
    </w:p>
    <w:p>
      <w:pPr>
        <w:spacing w:before="40" w:after="80" w:line="276" w:lineRule="auto"/>
        <w:jc w:val="both"/>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jc w:val="both"/>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jc w:val="both"/>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jc w:val="both"/>
        <w:outlineLvl w:val="0"/>
      </w:pPr>
      <w:r>
        <w:rPr>
          <w:rFonts w:ascii="Calibri" w:hAnsi="Calibri"/>
          <w:b/>
          <w:color w:val="1F497D"/>
          <w:sz w:val="28"/>
        </w:rPr>
        <w:t>APPENDIX B: FIELD SPECIFICATION &amp; OBSERVATION COUNT DERIVATION</w:t>
      </w:r>
    </w:p>
    <w:p>
      <w:pPr>
        <w:keepNext/>
        <w:spacing w:before="240" w:after="80"/>
        <w:jc w:val="both"/>
        <w:outlineLvl w:val="1"/>
      </w:pPr>
      <w:r>
        <w:rPr>
          <w:rFonts w:ascii="Calibri" w:hAnsi="Calibri"/>
          <w:b/>
          <w:color w:val="3B5998"/>
          <w:sz w:val="23"/>
        </w:rPr>
        <w:t>B.1 Document Category Field Structure</w:t>
      </w:r>
    </w:p>
    <w:p>
      <w:pPr>
        <w:spacing w:before="40" w:after="80" w:line="276" w:lineRule="auto"/>
        <w:jc w:val="both"/>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jc w:val="both"/>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jc w:val="both"/>
        <w:outlineLvl w:val="1"/>
      </w:pPr>
      <w:r>
        <w:rPr>
          <w:rFonts w:ascii="Calibri" w:hAnsi="Calibri"/>
          <w:b/>
          <w:color w:val="3B5998"/>
          <w:sz w:val="23"/>
        </w:rPr>
        <w:t>B.2 Mathematical Derivation of 24,480 Paired Observations</w:t>
      </w:r>
    </w:p>
    <w:p>
      <w:pPr>
        <w:spacing w:before="40" w:after="80" w:line="276" w:lineRule="auto"/>
        <w:jc w:val="both"/>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jc w:val="both"/>
        <w:outlineLvl w:val="0"/>
      </w:pPr>
      <w:r>
        <w:rPr>
          <w:rFonts w:ascii="Calibri" w:hAnsi="Calibri"/>
          <w:b/>
          <w:color w:val="1F497D"/>
          <w:sz w:val="28"/>
        </w:rPr>
        <w:t>APPENDIX C: EMPIRICAL STATISTICAL METHODOLOGY &amp; BENCHMARKS</w:t>
      </w:r>
    </w:p>
    <w:p>
      <w:pPr>
        <w:keepNext/>
        <w:spacing w:before="240" w:after="80"/>
        <w:jc w:val="both"/>
        <w:outlineLvl w:val="1"/>
      </w:pPr>
      <w:r>
        <w:rPr>
          <w:rFonts w:ascii="Calibri" w:hAnsi="Calibri"/>
          <w:b/>
          <w:color w:val="3B5998"/>
          <w:sz w:val="23"/>
        </w:rPr>
        <w:t>C.1 Empirical Category Confusion Matrix (360 Specimens)</w:t>
      </w:r>
    </w:p>
    <w:p>
      <w:pPr>
        <w:spacing w:before="40" w:after="80" w:line="276" w:lineRule="auto"/>
      </w:pPr>
      <w:r>
        <w:t>Table C.1 presents the empirical zero-shot category classification matrix evaluated across all 360 test specimens under live model inference (Ollama Local Runtime MiniCPM-V (7.6B Q4_0)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jc w:val="both"/>
        <w:outlineLvl w:val="1"/>
      </w:pPr>
      <w:r>
        <w:rPr>
          <w:rFonts w:ascii="Calibri" w:hAnsi="Calibri"/>
          <w:b/>
          <w:color w:val="3B5998"/>
          <w:sz w:val="23"/>
        </w:rPr>
        <w:t>C.2 McNemar Contingency Test &amp; Normalization Rescues</w:t>
      </w:r>
    </w:p>
    <w:p>
      <w:pPr>
        <w:spacing w:before="40" w:after="80" w:line="276" w:lineRule="auto"/>
        <w:jc w:val="both"/>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jc w:val="both"/>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jc w:val="both"/>
      </w:pPr>
      <w:r>
        <w:t>chi^2 = (|b - c| - 1)^2 / (b + c) = (|167 - 0| - 1)^2 / (167 + 0) = (166)^2 / 167 = 1853.0005 (p &lt; 0.0001)</w:t>
      </w:r>
    </w:p>
    <w:p>
      <w:pPr>
        <w:spacing w:before="40" w:after="80" w:line="276" w:lineRule="auto"/>
        <w:jc w:val="both"/>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jc w:val="both"/>
        <w:outlineLvl w:val="1"/>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t>74.60%</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t>82.18%</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