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r>
        <w:drawing>
          <wp:inline xmlns:a="http://schemas.openxmlformats.org/drawingml/2006/main" xmlns:pic="http://schemas.openxmlformats.org/drawingml/2006/picture">
            <wp:extent cx="5943600" cy="10938222"/>
            <wp:docPr id="2" name="Picture 2"/>
            <wp:cNvGraphicFramePr>
              <a:graphicFrameLocks noChangeAspect="1"/>
            </wp:cNvGraphicFramePr>
            <a:graphic>
              <a:graphicData uri="http://schemas.openxmlformats.org/drawingml/2006/picture">
                <pic:pic>
                  <pic:nvPicPr>
                    <pic:cNvPr id="0" name="methodology_workflow_600dpi.png"/>
                    <pic:cNvPicPr/>
                  </pic:nvPicPr>
                  <pic:blipFill>
                    <a:blip r:embed="rId11"/>
                    <a:stretch>
                      <a:fillRect/>
                    </a:stretch>
                  </pic:blipFill>
                  <pic:spPr>
                    <a:xfrm>
                      <a:off x="0" y="0"/>
                      <a:ext cx="5943600" cy="10938222"/>
                    </a:xfrm>
                    <a:prstGeom prst="rect"/>
                  </pic:spPr>
                </pic:pic>
              </a:graphicData>
            </a:graphic>
          </wp:inline>
        </w:drawing>
      </w:r>
    </w:p>
    <w:p>
      <w:pPr>
        <w:spacing w:after="160"/>
        <w:jc w:val="center"/>
      </w:pPr>
      <w:r>
        <w:rPr>
          <w:rFonts w:ascii="Times New Roman" w:hAnsi="Times New Roman"/>
          <w:b/>
          <w:color w:val="003366"/>
          <w:sz w:val="19"/>
        </w:rPr>
        <w:t>Fig. 2. End-to-End Methodological Workflow of the Proposed AU DIC Benchmark Evaluation Framework.</w:t>
      </w:r>
    </w:p>
    <w:p>
      <w:pPr>
        <w:keepNext/>
        <w:spacing w:before="80" w:after="160"/>
        <w:jc w:val="center"/>
      </w:pPr>
      <w:r>
        <w:rPr>
          <w:rFonts w:ascii="Times New Roman" w:hAnsi="Times New Roman"/>
          <w:b/>
          <w:color w:val="003366"/>
          <w:sz w:val="19"/>
        </w:rPr>
        <w:t>Figure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80" w:after="16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ure2_option_b_pipeline.png"/>
                    <pic:cNvPicPr/>
                  </pic:nvPicPr>
                  <pic:blipFill>
                    <a:blip r:embed="rId12"/>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3.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80" w:after="16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80" w:after="16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4, 5, 6, and 7.</w:t>
      </w:r>
    </w:p>
    <w:p>
      <w:pPr>
        <w:spacing w:before="160" w:after="80"/>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ure_normalization_ablation.png"/>
                    <pic:cNvPicPr/>
                  </pic:nvPicPr>
                  <pic:blipFill>
                    <a:blip r:embed="rId13"/>
                    <a:stretch>
                      <a:fillRect/>
                    </a:stretch>
                  </pic:blipFill>
                  <pic:spPr>
                    <a:xfrm>
                      <a:off x="0" y="0"/>
                      <a:ext cx="5486400" cy="3657600"/>
                    </a:xfrm>
                    <a:prstGeom prst="rect"/>
                  </pic:spPr>
                </pic:pic>
              </a:graphicData>
            </a:graphic>
          </wp:inline>
        </w:drawing>
      </w:r>
    </w:p>
    <w:p>
      <w:pPr>
        <w:keepNext/>
        <w:spacing w:before="80" w:after="160"/>
        <w:jc w:val="center"/>
      </w:pPr>
      <w:r>
        <w:rPr>
          <w:rFonts w:ascii="Times New Roman" w:hAnsi="Times New Roman"/>
          <w:b/>
          <w:color w:val="003366"/>
          <w:sz w:val="19"/>
        </w:rPr>
        <w:t>Fig. 4. Accuracy Improvement after Semantic Canonical Normalization.</w:t>
      </w:r>
    </w:p>
    <w:p>
      <w:pPr>
        <w:spacing w:before="160" w:after="80"/>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ure_metric_improvement.png"/>
                    <pic:cNvPicPr/>
                  </pic:nvPicPr>
                  <pic:blipFill>
                    <a:blip r:embed="rId14"/>
                    <a:stretch>
                      <a:fillRect/>
                    </a:stretch>
                  </pic:blipFill>
                  <pic:spPr>
                    <a:xfrm>
                      <a:off x="0" y="0"/>
                      <a:ext cx="5486400" cy="4389120"/>
                    </a:xfrm>
                    <a:prstGeom prst="rect"/>
                  </pic:spPr>
                </pic:pic>
              </a:graphicData>
            </a:graphic>
          </wp:inline>
        </w:drawing>
      </w:r>
    </w:p>
    <w:p>
      <w:pPr>
        <w:keepNext/>
        <w:spacing w:before="80" w:after="160"/>
        <w:jc w:val="center"/>
      </w:pPr>
      <w:r>
        <w:rPr>
          <w:rFonts w:ascii="Times New Roman" w:hAnsi="Times New Roman"/>
          <w:b/>
          <w:color w:val="003366"/>
          <w:sz w:val="19"/>
        </w:rPr>
        <w:t>Fig. 5. Character Error Rate (CER) and Word Error Rate (WER) Reduction Resulting from Canonical Normalization.</w:t>
      </w:r>
    </w:p>
    <w:p>
      <w:pPr>
        <w:spacing w:before="160" w:after="80"/>
        <w:jc w:val="center"/>
      </w:pPr>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figure_rule_contribution.png"/>
                    <pic:cNvPicPr/>
                  </pic:nvPicPr>
                  <pic:blipFill>
                    <a:blip r:embed="rId15"/>
                    <a:stretch>
                      <a:fillRect/>
                    </a:stretch>
                  </pic:blipFill>
                  <pic:spPr>
                    <a:xfrm>
                      <a:off x="0" y="0"/>
                      <a:ext cx="5486400" cy="3376246"/>
                    </a:xfrm>
                    <a:prstGeom prst="rect"/>
                  </pic:spPr>
                </pic:pic>
              </a:graphicData>
            </a:graphic>
          </wp:inline>
        </w:drawing>
      </w:r>
    </w:p>
    <w:p>
      <w:pPr>
        <w:keepNext/>
        <w:spacing w:before="80" w:after="160"/>
        <w:jc w:val="center"/>
      </w:pPr>
      <w:r>
        <w:rPr>
          <w:rFonts w:ascii="Times New Roman" w:hAnsi="Times New Roman"/>
          <w:b/>
          <w:color w:val="003366"/>
          <w:sz w:val="19"/>
        </w:rPr>
        <w:t>Fig. 6. Total False-Negative Field Mismatches Resolved by Each Individual Domain Normalizer Rule.</w:t>
      </w:r>
    </w:p>
    <w:p>
      <w:pPr>
        <w:spacing w:before="160" w:after="8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ure_field_improvement.png"/>
                    <pic:cNvPicPr/>
                  </pic:nvPicPr>
                  <pic:blipFill>
                    <a:blip r:embed="rId16"/>
                    <a:stretch>
                      <a:fillRect/>
                    </a:stretch>
                  </pic:blipFill>
                  <pic:spPr>
                    <a:xfrm>
                      <a:off x="0" y="0"/>
                      <a:ext cx="5486400" cy="3086100"/>
                    </a:xfrm>
                    <a:prstGeom prst="rect"/>
                  </pic:spPr>
                </pic:pic>
              </a:graphicData>
            </a:graphic>
          </wp:inline>
        </w:drawing>
      </w:r>
    </w:p>
    <w:p>
      <w:pPr>
        <w:keepNext/>
        <w:spacing w:before="80" w:after="160"/>
        <w:jc w:val="center"/>
      </w:pPr>
      <w:r>
        <w:rPr>
          <w:rFonts w:ascii="Times New Roman" w:hAnsi="Times New Roman"/>
          <w:b/>
          <w:color w:val="003366"/>
          <w:sz w:val="19"/>
        </w:rPr>
        <w:t>Fig. 7.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80" w:after="16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80" w:after="16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80" w:after="16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