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spacing w:before="40" w:after="80" w:line="276" w:lineRule="auto"/>
      </w:pPr>
      <w:r>
        <w:rPr>
          <w:rFonts w:ascii="Times New Roman" w:hAnsi="Times New Roman"/>
          <w:sz w:val="20"/>
        </w:rPr>
        <w:t>Real-world academic credentials frequently contain personally identifiable information (PII), including student names, enrollment identifiers, grades, transcripts, and institutional records. Public distribution of such documents is often restricted by privacy regulations such as the Family Educational Rights and Privacy Act (FERPA) in the United States and the General Data Protection Regulation (GDPR) in the European Union. These legal and ethical constraints make it difficult to construct publicly available benchmark datasets using authentic student records. To address this challenge, this work adopts a fully synthetic, privacy-preserving benchmark generation strategy that produces realistic academic credentials together with complete ground-truth annotations while avoiding the disclosure of real student information.</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Privacy-Preserving Benchmark Generation Methodology</w:t>
      </w:r>
      <w:r>
        <w:rPr>
          <w:rFonts w:ascii="Times New Roman" w:hAnsi="Times New Roman"/>
          <w:sz w:val="20"/>
        </w:rPr>
        <w:t>: A seed-deterministic synthetic benchmark generation methodology for academic document intelligence that enables reproducible evaluation without exposing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5.3.1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5.3.2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Discussion of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8.2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8.3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privacy-preserving and fully reproducible foundation to support academic document intelligence research without exposing real student information.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