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pPr>
        <w:spacing w:before="4600" w:after="0"/>
        <w:jc w:val="center"/>
      </w:pPr>
      <w:r>
        <w:drawing>
          <ns4:inline>
            <ns4:extent cx="4114800" cy="1957913"/>
            <ns4:docPr id="10" name="Picture 10"/>
            <ns4:cNvGraphicFramePr>
              <ns5:graphicFrameLocks noChangeAspect="1"/>
            </ns4:cNvGraphicFramePr>
            <ns5:graphic>
              <ns5:graphicData uri="http://schemas.openxmlformats.org/drawingml/2006/picture">
                <ns6:pic>
                  <ns6:nvPicPr>
                    <ns6:cNvPr id="0" name="new_logo_2.png"/>
                    <ns6:cNvPicPr/>
                  </ns6:nvPicPr>
                  <ns6:blipFill>
                    <ns5:blip r:embed="rId19"/>
                    <ns5:stretch>
                      <ns5:fillRect/>
                    </ns5:stretch>
                  </ns6:blipFill>
                  <ns6:spPr>
                    <ns5:xfrm>
                      <ns5:off x="0" y="0"/>
                      <ns5:ext cx="4114800" cy="1957913"/>
                    </ns5:xfrm>
                    <ns5:prstGeom prst="rect"/>
                  </ns6:spPr>
                </ns6:pic>
              </ns5:graphicData>
            </ns5:graphic>
          </ns4:inline>
        </w:drawing>
      </w:r>
    </w:p>
    <w:p>
      <w:pPr>
        <w:pageBreakBefore/>
        <w:spacing w:before="280" w:after="120"/>
        <w:jc w:val="center"/>
      </w:pPr>
      <w:r>
        <w:rPr>
          <w:rFonts w:ascii="Times New Roman" w:hAnsi="Times New Roman"/>
          <w:b/>
          <w:sz w:val="26"/>
        </w:rPr>
        <w:t>CONTENTS</w:t>
      </w:r>
    </w:p>
    <w:p>
      <w:pPr>
        <w:spacing w:after="120"/>
        <w:pStyle w:val="TOCHeading"/>
      </w:pPr>
      <w:r>
        <w:fldChar w:fldCharType="begin"/>
        <w:instrText xml:space="preserve">TOC \o "1-2" \h \z \u</w:instrText>
        <w:fldChar w:fldCharType="separate"/>
        <w:fldChar w:fldCharType="end"/>
      </w:r>
    </w:p>
    <w:p>
      <w:pPr>
        <w:tabs>
          <w:tab w:pos="9360" w:val="right" w:leader="dot"/>
        </w:tabs>
        <w:spacing w:line="276" w:lineRule="auto" w:after="40"/>
      </w:pPr>
      <w:r>
        <w:rPr>
          <w:rFonts w:ascii="Times New Roman" w:hAnsi="Times New Roman"/>
          <w:b/>
          <w:sz w:val="19"/>
        </w:rPr>
        <w:t>1. Introduction</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1.1 Background &amp; Motivation</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1.2 Research Objectives</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1.3 Main Research Contributions</w:t>
      </w:r>
      <w:r>
        <w:rPr>
          <w:rFonts w:ascii="Times New Roman" w:hAnsi="Times New Roman"/>
          <w:color w:val="404040"/>
          <w:sz w:val="19"/>
        </w:rPr>
        <w:tab/>
        <w:t>4</w:t>
      </w:r>
    </w:p>
    <w:p>
      <w:pPr>
        <w:tabs>
          <w:tab w:pos="9360" w:val="right" w:leader="dot"/>
        </w:tabs>
        <w:spacing w:line="276" w:lineRule="auto" w:after="40"/>
      </w:pPr>
      <w:r>
        <w:rPr>
          <w:rFonts w:ascii="Times New Roman" w:hAnsi="Times New Roman"/>
          <w:b/>
          <w:sz w:val="19"/>
        </w:rPr>
        <w:t>2. Related Work</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2.1 Vision-Language Models &amp; Document Intelligence</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2.2 Document Image Classification &amp; Parsing Benchmarks</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2.3 Information Extraction &amp; Optical Character Recognition</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2.4 Synthetic Data Generation &amp; Benchmark Suites</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2.5 Semantic Normalization &amp; Post-Processing</w:t>
      </w:r>
      <w:r>
        <w:rPr>
          <w:rFonts w:ascii="Times New Roman" w:hAnsi="Times New Roman"/>
          <w:color w:val="404040"/>
          <w:sz w:val="19"/>
        </w:rPr>
        <w:tab/>
        <w:t>8</w:t>
      </w:r>
    </w:p>
    <w:p>
      <w:pPr>
        <w:tabs>
          <w:tab w:pos="9360" w:val="right" w:leader="dot"/>
        </w:tabs>
        <w:spacing w:line="276" w:lineRule="auto" w:after="40"/>
      </w:pPr>
      <w:r>
        <w:rPr>
          <w:rFonts w:ascii="Times New Roman" w:hAnsi="Times New Roman"/>
          <w:sz w:val="19"/>
        </w:rPr>
        <w:t xml:space="preserve">   2.6 Error Taxonomies &amp; Diagnostic Evaluation</w:t>
      </w:r>
      <w:r>
        <w:rPr>
          <w:rFonts w:ascii="Times New Roman" w:hAnsi="Times New Roman"/>
          <w:color w:val="404040"/>
          <w:sz w:val="19"/>
        </w:rPr>
        <w:tab/>
        <w:t>8</w:t>
      </w:r>
    </w:p>
    <w:p>
      <w:pPr>
        <w:tabs>
          <w:tab w:pos="9360" w:val="right" w:leader="dot"/>
        </w:tabs>
        <w:spacing w:line="276" w:lineRule="auto" w:after="40"/>
      </w:pPr>
      <w:r>
        <w:rPr>
          <w:rFonts w:ascii="Times New Roman" w:hAnsi="Times New Roman"/>
          <w:b/>
          <w:sz w:val="19"/>
        </w:rPr>
        <w:t>3. ADBG v1.0 &amp; AU DIC Benchmark System Architecture</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3.1 ADBG v1.0 Synthetic Generator Subsystem</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3.2 Optical Degradation Profile Processor</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3.3 AU DIC Decoupled Benchmark Execution Subsystem</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b/>
          <w:sz w:val="19"/>
        </w:rPr>
        <w:t>4. Methodology</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sz w:val="19"/>
        </w:rPr>
        <w:t xml:space="preserve">   4.1 Six-Stage Semantic Canonical Normalization Subsystem</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sz w:val="19"/>
        </w:rPr>
        <w:t xml:space="preserve">   4.2 Nine-Class Structured OCR Error Taxonomy</w:t>
      </w:r>
      <w:r>
        <w:rPr>
          <w:rFonts w:ascii="Times New Roman" w:hAnsi="Times New Roman"/>
          <w:color w:val="404040"/>
          <w:sz w:val="19"/>
        </w:rPr>
        <w:tab/>
        <w:t>13</w:t>
      </w:r>
    </w:p>
    <w:p>
      <w:pPr>
        <w:tabs>
          <w:tab w:pos="9360" w:val="right" w:leader="dot"/>
        </w:tabs>
        <w:spacing w:line="276" w:lineRule="auto" w:after="40"/>
      </w:pPr>
      <w:r>
        <w:rPr>
          <w:rFonts w:ascii="Times New Roman" w:hAnsi="Times New Roman"/>
          <w:b/>
          <w:sz w:val="19"/>
        </w:rPr>
        <w:t>4.3 Mathematical Formulation of Evaluation Metrics</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sz w:val="19"/>
        </w:rPr>
        <w:t xml:space="preserve">   4.3.1 Category Classification Accuracy</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sz w:val="19"/>
        </w:rPr>
        <w:t xml:space="preserve">   4.3.2 Field Extraction Precision, Recall, and F1-Score</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sz w:val="19"/>
        </w:rPr>
        <w:t xml:space="preserve">   4.3.3 Character Error Rate (CER)</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sz w:val="19"/>
        </w:rPr>
        <w:t xml:space="preserve">   4.3.4 Word Error Rate (WER)</w:t>
      </w:r>
      <w:r>
        <w:rPr>
          <w:rFonts w:ascii="Times New Roman" w:hAnsi="Times New Roman"/>
          <w:color w:val="404040"/>
          <w:sz w:val="19"/>
        </w:rPr>
        <w:tab/>
        <w:t>15</w:t>
      </w:r>
    </w:p>
    <w:p>
      <w:pPr>
        <w:tabs>
          <w:tab w:pos="9360" w:val="right" w:leader="dot"/>
        </w:tabs>
        <w:spacing w:line="276" w:lineRule="auto" w:after="40"/>
      </w:pPr>
      <w:r>
        <w:rPr>
          <w:rFonts w:ascii="Times New Roman" w:hAnsi="Times New Roman"/>
          <w:sz w:val="19"/>
        </w:rPr>
        <w:t xml:space="preserve">   4.3.5 Joint Record Exact Match Rate (EM)</w:t>
      </w:r>
      <w:r>
        <w:rPr>
          <w:rFonts w:ascii="Times New Roman" w:hAnsi="Times New Roman"/>
          <w:color w:val="404040"/>
          <w:sz w:val="19"/>
        </w:rPr>
        <w:tab/>
        <w:t>15</w:t>
      </w:r>
    </w:p>
    <w:p>
      <w:pPr>
        <w:tabs>
          <w:tab w:pos="9360" w:val="right" w:leader="dot"/>
        </w:tabs>
        <w:spacing w:line="276" w:lineRule="auto" w:after="40"/>
      </w:pPr>
      <w:r>
        <w:rPr>
          <w:rFonts w:ascii="Times New Roman" w:hAnsi="Times New Roman"/>
          <w:sz w:val="19"/>
        </w:rPr>
        <w:t xml:space="preserve">   4.3.6 Execution Latency &amp; Throughput</w:t>
      </w:r>
      <w:r>
        <w:rPr>
          <w:rFonts w:ascii="Times New Roman" w:hAnsi="Times New Roman"/>
          <w:color w:val="404040"/>
          <w:sz w:val="19"/>
        </w:rPr>
        <w:tab/>
        <w:t>15</w:t>
      </w:r>
    </w:p>
    <w:p>
      <w:pPr>
        <w:tabs>
          <w:tab w:pos="9360" w:val="right" w:leader="dot"/>
        </w:tabs>
        <w:spacing w:line="276" w:lineRule="auto" w:after="40"/>
      </w:pPr>
      <w:r>
        <w:rPr>
          <w:rFonts w:ascii="Times New Roman" w:hAnsi="Times New Roman"/>
          <w:b/>
          <w:sz w:val="19"/>
        </w:rPr>
        <w:t>5. Results &amp; Empirical Validation</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5.1 Distinction Between Framework Validation, Benchmark Validation, and Model Performance</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5.2 Framework Execution &amp; System Verification Metrics</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5.3 System Throughput &amp; Execution Latency</w:t>
      </w:r>
      <w:r>
        <w:rPr>
          <w:rFonts w:ascii="Times New Roman" w:hAnsi="Times New Roman"/>
          <w:color w:val="404040"/>
          <w:sz w:val="19"/>
        </w:rPr>
        <w:tab/>
        <w:t>17</w:t>
      </w:r>
    </w:p>
    <w:p>
      <w:pPr>
        <w:tabs>
          <w:tab w:pos="9360" w:val="right" w:leader="dot"/>
        </w:tabs>
        <w:spacing w:line="276" w:lineRule="auto" w:after="40"/>
      </w:pPr>
      <w:r>
        <w:rPr>
          <w:rFonts w:ascii="Times New Roman" w:hAnsi="Times New Roman"/>
          <w:sz w:val="19"/>
        </w:rPr>
        <w:t xml:space="preserve">   5.4 Empirical Live Neural Model Evaluation Results</w:t>
      </w:r>
      <w:r>
        <w:rPr>
          <w:rFonts w:ascii="Times New Roman" w:hAnsi="Times New Roman"/>
          <w:color w:val="404040"/>
          <w:sz w:val="19"/>
        </w:rPr>
        <w:tab/>
        <w:t>17</w:t>
      </w:r>
    </w:p>
    <w:p>
      <w:pPr>
        <w:tabs>
          <w:tab w:pos="9360" w:val="right" w:leader="dot"/>
        </w:tabs>
        <w:spacing w:line="276" w:lineRule="auto" w:after="40"/>
      </w:pPr>
      <w:r>
        <w:rPr>
          <w:rFonts w:ascii="Times New Roman" w:hAnsi="Times New Roman"/>
          <w:sz w:val="19"/>
        </w:rPr>
        <w:t xml:space="preserve">   5.5 Empirical Ablation Study of Semantic Canonical Normalization</w:t>
      </w:r>
      <w:r>
        <w:rPr>
          <w:rFonts w:ascii="Times New Roman" w:hAnsi="Times New Roman"/>
          <w:color w:val="404040"/>
          <w:sz w:val="19"/>
        </w:rPr>
        <w:tab/>
        <w:t>19</w:t>
      </w:r>
    </w:p>
    <w:p>
      <w:pPr>
        <w:tabs>
          <w:tab w:pos="9360" w:val="right" w:leader="dot"/>
        </w:tabs>
        <w:spacing w:line="276" w:lineRule="auto" w:after="40"/>
      </w:pPr>
      <w:r>
        <w:rPr>
          <w:rFonts w:ascii="Times New Roman" w:hAnsi="Times New Roman"/>
          <w:sz w:val="19"/>
        </w:rPr>
        <w:t xml:space="preserve">   5.6 Statistical Significance Analysis (p &lt; 0.0001)</w:t>
      </w:r>
      <w:r>
        <w:rPr>
          <w:rFonts w:ascii="Times New Roman" w:hAnsi="Times New Roman"/>
          <w:color w:val="404040"/>
          <w:sz w:val="19"/>
        </w:rPr>
        <w:tab/>
        <w:t>21</w:t>
      </w:r>
    </w:p>
    <w:p>
      <w:pPr>
        <w:tabs>
          <w:tab w:pos="9360" w:val="right" w:leader="dot"/>
        </w:tabs>
        <w:spacing w:line="276" w:lineRule="auto" w:after="40"/>
      </w:pPr>
      <w:r>
        <w:rPr>
          <w:rFonts w:ascii="Times New Roman" w:hAnsi="Times New Roman"/>
          <w:sz w:val="19"/>
        </w:rPr>
        <w:t xml:space="preserve">   5.7 Empirical Evaluation Scope &amp; Methodological Limitations</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sz w:val="19"/>
        </w:rPr>
        <w:t xml:space="preserve">   5.8 Error Taxonomy Distribution Shift Analysis</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sz w:val="19"/>
        </w:rPr>
        <w:t xml:space="preserve">   5.9 Classical Machine Learning Classification Benchmark</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b/>
          <w:sz w:val="19"/>
        </w:rPr>
        <w:t>6. Discussion &amp; Threats to Validity</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6.1 Scientific Contributions and Methodological Novelty</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6.2 Discussion of Empirical Findings</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6.3 Threats to Validity</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b/>
          <w:sz w:val="19"/>
        </w:rPr>
        <w:t>7. Limitations Analysis</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sz w:val="19"/>
        </w:rPr>
        <w:t xml:space="preserve">   7.1 Methodological Limitations</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b/>
          <w:sz w:val="19"/>
        </w:rPr>
        <w:t>8. Future Work</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9. Conclusion</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Ethics &amp; Privacy Statement</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ACKNOWLEDGMENT</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b/>
          <w:sz w:val="19"/>
        </w:rPr>
        <w:t>APPENDIX A: REPRODUCIBILITY &amp; SYSTEM SPECIFICATIONS</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sz w:val="19"/>
        </w:rPr>
        <w:t xml:space="preserve">   A.1 Reproducibility &amp; System Environment Matrix</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sz w:val="19"/>
        </w:rPr>
        <w:t xml:space="preserve">   A.2 Technical Clarifications &amp; Reviewer Inquiries</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b/>
          <w:sz w:val="19"/>
        </w:rPr>
        <w:t>APPENDIX B: FIELD SPECIFICATION &amp; OBSERVATION COUNT DERIVATION</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sz w:val="19"/>
        </w:rPr>
        <w:t xml:space="preserve">   B.1 Document Category Field Structure</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sz w:val="19"/>
        </w:rPr>
        <w:t xml:space="preserve">   B.2 Mathematical Derivation of 24,480 Paired Observations</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b/>
          <w:sz w:val="19"/>
        </w:rPr>
        <w:t>APPENDIX C: EMPIRICAL STATISTICAL METHODOLOGY &amp; BENCHMARKS</w:t>
      </w:r>
      <w:r>
        <w:rPr>
          <w:rFonts w:ascii="Times New Roman" w:hAnsi="Times New Roman"/>
          <w:color w:val="404040"/>
          <w:sz w:val="19"/>
        </w:rPr>
        <w:tab/>
        <w:t>29</w:t>
      </w:r>
    </w:p>
    <w:p>
      <w:pPr>
        <w:tabs>
          <w:tab w:pos="9360" w:val="right" w:leader="dot"/>
        </w:tabs>
        <w:spacing w:line="276" w:lineRule="auto" w:after="40"/>
      </w:pPr>
      <w:r>
        <w:rPr>
          <w:rFonts w:ascii="Times New Roman" w:hAnsi="Times New Roman"/>
          <w:sz w:val="19"/>
        </w:rPr>
        <w:t xml:space="preserve">   C.1 Empirical Category Confusion Matrix (360 Specimens)</w:t>
      </w:r>
      <w:r>
        <w:rPr>
          <w:rFonts w:ascii="Times New Roman" w:hAnsi="Times New Roman"/>
          <w:color w:val="404040"/>
          <w:sz w:val="19"/>
        </w:rPr>
        <w:tab/>
        <w:t>29</w:t>
      </w:r>
    </w:p>
    <w:p>
      <w:pPr>
        <w:tabs>
          <w:tab w:pos="9360" w:val="right" w:leader="dot"/>
        </w:tabs>
        <w:spacing w:line="276" w:lineRule="auto" w:after="40"/>
      </w:pPr>
      <w:r>
        <w:rPr>
          <w:rFonts w:ascii="Times New Roman" w:hAnsi="Times New Roman"/>
          <w:sz w:val="19"/>
        </w:rPr>
        <w:t xml:space="preserve">   C.2 McNemar Contingency Test &amp; Normalization Rescues</w:t>
      </w:r>
      <w:r>
        <w:rPr>
          <w:rFonts w:ascii="Times New Roman" w:hAnsi="Times New Roman"/>
          <w:color w:val="404040"/>
          <w:sz w:val="19"/>
        </w:rPr>
        <w:tab/>
        <w:t>29</w:t>
      </w:r>
    </w:p>
    <w:p>
      <w:pPr>
        <w:tabs>
          <w:tab w:pos="9360" w:val="right" w:leader="dot"/>
        </w:tabs>
        <w:spacing w:line="276" w:lineRule="auto" w:after="40"/>
      </w:pPr>
      <w:r>
        <w:rPr>
          <w:rFonts w:ascii="Times New Roman" w:hAnsi="Times New Roman"/>
          <w:sz w:val="19"/>
        </w:rPr>
        <w:t xml:space="preserve">   C.3 Non-Parametric Bootstrap Confidence Intervals (B = 10,000)</w:t>
      </w:r>
      <w:r>
        <w:rPr>
          <w:rFonts w:ascii="Times New Roman" w:hAnsi="Times New Roman"/>
          <w:color w:val="404040"/>
          <w:sz w:val="19"/>
        </w:rPr>
        <w:tab/>
        <w:t>30</w:t>
      </w:r>
    </w:p>
    <w:p>
      <w:pPr>
        <w:tabs>
          <w:tab w:pos="9360" w:val="right" w:leader="dot"/>
        </w:tabs>
        <w:spacing w:line="276" w:lineRule="auto" w:after="40"/>
      </w:pPr>
      <w:r>
        <w:rPr>
          <w:rFonts w:ascii="Times New Roman" w:hAnsi="Times New Roman"/>
          <w:b/>
          <w:sz w:val="19"/>
        </w:rPr>
        <w:t>REFERENCES</w:t>
      </w:r>
      <w:r>
        <w:rPr>
          <w:rFonts w:ascii="Times New Roman" w:hAnsi="Times New Roman"/>
          <w:color w:val="404040"/>
          <w:sz w:val="19"/>
        </w:rPr>
        <w:tab/>
        <w:t>30</w:t>
      </w:r>
    </w:p>
    <w:p w14:paraId="78AF360B">
      <w:pPr>
        <w:pageBreakBefore/>
        <w:spacing w:before="0" w:after="240"/>
        <w:jc w:val="center"/>
      </w:pPr>
      <w:r>
        <w:rPr>
          <w:rFonts w:ascii="Times New Roman" w:hAnsi="Times New Roman"/>
          <w:b/>
          <w:sz w:val="40"/>
        </w:rPr>
        <w:t>Smart Academic Document Intelligence System: Automated Extraction, Normalization, and Benchmark Generation</w:t>
      </w:r>
    </w:p>
    <w:p w14:paraId="547EAF43">
      <w:pPr>
        <w:spacing w:before="40" w:after="160" w:line="276"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sz w:val="19"/>
        </w:rPr>
        <w:t xml:space="preserve"> 2023361009.kushagra@ug.sharda.ac.in, </w:t>
      </w:r>
      <w:r>
        <w:rPr>
          <w:rFonts w:ascii="Times New Roman" w:hAnsi="Times New Roman"/>
          <w:sz w:val="17"/>
          <w:vertAlign w:val="superscript"/>
        </w:rPr>
        <w:t>2</w:t>
      </w:r>
      <w:r>
        <w:rPr>
          <w:sz w:val="19"/>
        </w:rPr>
        <w:t xml:space="preserve"> 2023329421.aashish@ug.sharda.ac.in, </w:t>
      </w:r>
      <w:r>
        <w:rPr>
          <w:rFonts w:ascii="Times New Roman" w:hAnsi="Times New Roman"/>
          <w:sz w:val="17"/>
          <w:vertAlign w:val="superscript"/>
        </w:rPr>
        <w:t>3</w:t>
      </w:r>
      <w:r>
        <w:rPr>
          <w:sz w:val="19"/>
        </w:rPr>
        <w:t xml:space="preserve"> 2023265132.avdesh@ug.sharda.ac.in</w:t>
      </w:r>
    </w:p>
    <w:p w14:paraId="15AA14C8">
      <w:pPr>
        <w:keepNext/>
        <w:spacing w:before="280" w:after="120"/>
        <w:jc w:val="both"/>
      </w:pPr>
      <w:r>
        <w:rPr>
          <w:rFonts w:ascii="Times New Roman" w:hAnsi="Times New Roman"/>
          <w:b/>
          <w:color w:val="003366"/>
          <w:sz w:val="26"/>
        </w:rPr>
        <w:t>Abstract</w:t>
      </w:r>
    </w:p>
    <w:p w14:paraId="60F0607A">
      <w:pPr>
        <w:spacing w:before="40" w:after="80" w:line="276" w:lineRule="auto"/>
        <w:jc w:val="both"/>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14:paraId="01FA128A">
      <w:pPr>
        <w:spacing w:before="40" w:after="80" w:line="276" w:lineRule="auto"/>
        <w:jc w:val="both"/>
      </w:pPr>
      <w:r>
        <w:t>We evaluate the benchmark suite across 360 specimens (24,480 paired field observations (360 specimens x variable field evaluation attributes (33 for certificates and student IDs; 138 for marksheets))). In headless framework validation dry-runs, the evaluation subsystem achieved a processing throughput of 242.59 samples/sec with zero database state mutations. In live neural model inference testing using Ollama Local Runtime's MiniCPM-V (7.6B Q4_0) Instant engine with strict real-inference enforcement (allowMockFallback: false), the system achieved a 75.23% Field Extraction F1 score and 8.21% Character Error Rate (CER) (11.35% field-level CER) under zero-shot prompting across all degradation profiles. Furthermore, category classification achieved 100.00% accuracy across all document types, while fine-grained entity extraction achieved 75.23% F1 score due to missing fields and OCR errors. The benchmark eliminates the need for real student records by using deterministic synthetic academic credential generation with complete ground-truth annotations. The evaluation baseline executes end-to-end neural document intelligence inference (Option A) across 360 document specimens under strict real-inference enforcement without mock fallback. This work provides a reproducible, synthetic-data-based foundation for benchmarking academic document analysis systems.</w:t>
      </w:r>
    </w:p>
    <w:p w14:paraId="2A2B8802">
      <w:pPr>
        <w:spacing w:before="40" w:after="80" w:line="276" w:lineRule="auto"/>
        <w:jc w:val="both"/>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14:paraId="3F76657E">
      <w:pPr>
        <w:keepNext/>
        <w:pageBreakBefore/>
        <w:spacing w:before="280" w:after="120"/>
        <w:jc w:val="both"/>
        <w:outlineLvl w:val="0"/>
      </w:pPr>
      <w:r>
        <w:rPr>
          <w:rFonts w:ascii="Times New Roman" w:hAnsi="Times New Roman"/>
          <w:b/>
          <w:color w:val="003366"/>
          <w:sz w:val="26"/>
        </w:rPr>
        <w:t>1. Introduction</w:t>
      </w:r>
    </w:p>
    <w:p w14:paraId="1472CF58">
      <w:pPr>
        <w:keepNext/>
        <w:spacing w:before="200" w:after="80"/>
        <w:jc w:val="both"/>
        <w:outlineLvl w:val="1"/>
      </w:pPr>
      <w:r>
        <w:rPr>
          <w:rFonts w:ascii="Times New Roman" w:hAnsi="Times New Roman"/>
          <w:b/>
          <w:color w:val="333333"/>
          <w:sz w:val="23"/>
        </w:rPr>
        <w:t>1.1 Background &amp; Motivation</w:t>
      </w:r>
    </w:p>
    <w:p w14:paraId="68481526">
      <w:pPr>
        <w:spacing w:before="40" w:after="80" w:line="276" w:lineRule="auto"/>
        <w:jc w:val="both"/>
      </w:pPr>
      <w:r>
        <w:rPr>
          <w:rFonts w:ascii="Times New Roman" w:hAnsi="Times New Roman"/>
          <w:sz w:val="20"/>
        </w:rPr>
        <w: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w:t>
      </w:r>
    </w:p>
    <w:p w14:paraId="54545C66">
      <w:pPr>
        <w:spacing w:before="40" w:after="80" w:line="276" w:lineRule="auto"/>
        <w:jc w:val="both"/>
      </w:pPr>
      <w:r>
        <w:rPr>
          <w:rFonts w:ascii="Times New Roman" w:hAnsi="Times New Roman"/>
          <w:sz w:val="20"/>
        </w:rPr>
        <w:t>Despite recent advances in Large Language Models (LLMs) and Vision-Language Models (VLMs) [9]–[15], [32]–[34], benchmarking document extraction algorithms on academic records presents three fundamental methodological obstacles:</w:t>
      </w:r>
    </w:p>
    <w:p w14:paraId="1556BEBE">
      <w:pPr>
        <w:spacing w:before="20" w:after="40"/>
        <w:ind w:left="360"/>
        <w:jc w:val="both"/>
        <w:outlineLvl w:val="0"/>
      </w:pPr>
      <w:r>
        <w:rPr>
          <w:rFonts w:ascii="Times New Roman" w:hAnsi="Times New Roman"/>
          <w:b/>
          <w:sz w:val="20"/>
        </w:rPr>
        <w:t>1. Privacy &amp; Statutory Regulatory Barriers</w:t>
      </w:r>
      <w:r>
        <w:rPr>
          <w:rFonts w:ascii="Times New Roman" w:hAnsi="Times New Roman"/>
          <w:sz w:val="20"/>
        </w:rPr>
        <w:t>: Statutory regulations—such as FERPA in the United States and GDPR in the European Union—prohibit the public distribution of authentic student academic records containing personally identifiable information (PII) [17], [28], [35].</w:t>
      </w:r>
    </w:p>
    <w:p w14:paraId="622959E9">
      <w:pPr>
        <w:spacing w:before="20" w:after="40"/>
        <w:ind w:left="360"/>
        <w:jc w:val="both"/>
        <w:outlineLvl w:val="0"/>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 [29].</w:t>
      </w:r>
    </w:p>
    <w:p w14:paraId="020FA763">
      <w:pPr>
        <w:spacing w:before="20" w:after="40"/>
        <w:ind w:left="360"/>
        <w:jc w:val="both"/>
        <w:outlineLvl w:val="0"/>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 [25], [36].</w:t>
      </w:r>
    </w:p>
    <w:p w14:paraId="31E6DB94">
      <w:pPr>
        <w:spacing w:before="40" w:after="80" w:line="276" w:lineRule="auto"/>
        <w:jc w:val="both"/>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w:t>
      </w:r>
    </w:p>
    <w:p w14:paraId="5B470FB9">
      <w:pPr>
        <w:keepNext/>
        <w:spacing w:before="200" w:after="80"/>
        <w:jc w:val="both"/>
        <w:outlineLvl w:val="1"/>
      </w:pPr>
      <w:r>
        <w:rPr>
          <w:rFonts w:ascii="Times New Roman" w:hAnsi="Times New Roman"/>
          <w:b/>
          <w:color w:val="333333"/>
          <w:sz w:val="23"/>
        </w:rPr>
        <w:t>1.2 Research Objectives</w:t>
      </w:r>
    </w:p>
    <w:p w14:paraId="613B7587">
      <w:pPr>
        <w:spacing w:before="40" w:after="80" w:line="276" w:lineRule="auto"/>
        <w:jc w:val="both"/>
      </w:pPr>
      <w:r>
        <w:rPr>
          <w:rFonts w:ascii="Times New Roman" w:hAnsi="Times New Roman"/>
          <w:sz w:val="20"/>
        </w:rPr>
        <w:t>To address these challenges, this study establishes a reproducible methodology for synthetic dataset generation and semantic performance evaluation [31]. Specifically, we focus on:</w:t>
      </w:r>
    </w:p>
    <w:p w14:paraId="05DC4B18">
      <w:pPr>
        <w:pStyle w:val="23"/>
        <w:spacing w:before="20" w:after="40"/>
        <w:jc w:val="both"/>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14:paraId="766C9EEA">
      <w:pPr>
        <w:pStyle w:val="23"/>
        <w:spacing w:before="20" w:after="40"/>
        <w:jc w:val="both"/>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37D3ED50">
      <w:pPr>
        <w:pStyle w:val="23"/>
        <w:spacing w:before="20" w:after="40"/>
        <w:jc w:val="both"/>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783A5158">
      <w:pPr>
        <w:keepNext/>
        <w:spacing w:before="200" w:after="80"/>
        <w:jc w:val="both"/>
        <w:outlineLvl w:val="1"/>
      </w:pPr>
      <w:r>
        <w:rPr>
          <w:rFonts w:ascii="Times New Roman" w:hAnsi="Times New Roman"/>
          <w:b/>
          <w:color w:val="333333"/>
          <w:sz w:val="23"/>
        </w:rPr>
        <w:t>1.3 Main Research Contributions</w:t>
      </w:r>
    </w:p>
    <w:p w14:paraId="015EEB7A">
      <w:pPr>
        <w:spacing w:before="40" w:after="80" w:line="276" w:lineRule="auto"/>
        <w:jc w:val="both"/>
      </w:pPr>
      <w:r>
        <w:rPr>
          <w:rFonts w:ascii="Times New Roman" w:hAnsi="Times New Roman"/>
          <w:sz w:val="20"/>
        </w:rPr>
        <w:t>The primary contributions of this work are summarized as follows:</w:t>
      </w:r>
    </w:p>
    <w:p w14:paraId="1C461AB5">
      <w:pPr>
        <w:spacing w:before="20" w:after="40"/>
        <w:ind w:left="360"/>
        <w:jc w:val="both"/>
        <w:outlineLvl w:val="0"/>
      </w:pPr>
      <w:r>
        <w:rPr>
          <w:rFonts w:ascii="Times New Roman" w:hAnsi="Times New Roman"/>
          <w:b/>
          <w:sz w:val="20"/>
        </w:rPr>
        <w:t>1. 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 [26], [35].</w:t>
      </w:r>
    </w:p>
    <w:p w14:paraId="4500592A">
      <w:pPr>
        <w:spacing w:before="20" w:after="40"/>
        <w:ind w:left="360"/>
        <w:jc w:val="both"/>
        <w:outlineLvl w:val="0"/>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 [31].</w:t>
      </w:r>
    </w:p>
    <w:p w14:paraId="5DDDB933">
      <w:pPr>
        <w:spacing w:before="20" w:after="40"/>
        <w:ind w:left="360"/>
        <w:jc w:val="both"/>
        <w:outlineLvl w:val="0"/>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 [25], [36].</w:t>
      </w:r>
    </w:p>
    <w:p w14:paraId="71AC79BD">
      <w:pPr>
        <w:spacing w:before="20" w:after="40"/>
        <w:ind w:left="360"/>
        <w:jc w:val="both"/>
        <w:outlineLvl w:val="0"/>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 [28], [37].</w:t>
      </w:r>
    </w:p>
    <w:p w14:paraId="5015A743">
      <w:pPr>
        <w:spacing w:before="20" w:after="40"/>
        <w:ind w:left="360"/>
        <w:jc w:val="both"/>
        <w:outlineLvl w:val="0"/>
      </w:pPr>
      <w:r>
        <w:t xml:space="preserve">5. Quality Profile Robustness Framework: A controlled optical quality-profile degradation matrix across four standardized profiles (clean, scanner_copy, mobile_camera, rotated_90) [27], [30], [33], designed to quantify extraction decay in image-based evaluations. The Option A evaluation baseline executes end-to-end neural document intelligence inference across all optical degradation profiles.</w:t>
      </w:r>
    </w:p>
    <w:p w14:paraId="3197BF30">
      <w:pPr>
        <w:keepNext/>
        <w:spacing w:before="200" w:after="80"/>
        <w:jc w:val="both"/>
        <w:outlineLvl w:val="1"/>
      </w:pPr>
      <w:r>
        <w:rPr>
          <w:rFonts w:ascii="Times New Roman" w:hAnsi="Times New Roman"/>
          <w:b/>
          <w:color w:val="333333"/>
          <w:sz w:val="23"/>
        </w:rPr>
        <w:t>1.4 Scientific Novelty Statement</w:t>
      </w:r>
    </w:p>
    <w:p w14:paraId="3E9A9469">
      <w:pPr>
        <w:spacing w:before="40" w:after="80" w:line="276" w:lineRule="auto"/>
        <w:jc w:val="both"/>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14:paraId="26048763">
      <w:pPr>
        <w:spacing w:before="40" w:after="80" w:line="276" w:lineRule="auto"/>
        <w:jc w:val="both"/>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w:t>
      </w:r>
    </w:p>
    <w:p w14:paraId="63521041">
      <w:pPr>
        <w:spacing w:before="40" w:after="80" w:line="276" w:lineRule="auto"/>
        <w:jc w:val="both"/>
      </w:pPr>
      <w:r>
        <w: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evaluation protocol executes end-to-end neural document intelligence inference under Option A across 360 specimens and 24,480 paired field observations.</w:t>
      </w:r>
    </w:p>
    <w:p w14:paraId="0087EA3C">
      <w:pPr>
        <w:keepNext/>
        <w:spacing w:before="200" w:after="80"/>
        <w:jc w:val="both"/>
        <w:outlineLvl w:val="1"/>
      </w:pPr>
      <w:r>
        <w:rPr>
          <w:rFonts w:ascii="Times New Roman" w:hAnsi="Times New Roman"/>
          <w:b/>
          <w:color w:val="333333"/>
          <w:sz w:val="23"/>
        </w:rPr>
        <w:t>1.5 Paper Organization</w:t>
      </w:r>
    </w:p>
    <w:p w14:paraId="08A2492D">
      <w:pPr>
        <w:spacing w:before="40" w:after="80" w:line="276" w:lineRule="auto"/>
        <w:jc w:val="both"/>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14:paraId="292043FF">
      <w:pPr>
        <w:keepNext/>
        <w:spacing w:before="280" w:after="120"/>
        <w:jc w:val="both"/>
        <w:outlineLvl w:val="0"/>
      </w:pPr>
      <w:r>
        <w:rPr>
          <w:rFonts w:ascii="Times New Roman" w:hAnsi="Times New Roman"/>
          <w:b/>
          <w:color w:val="003366"/>
          <w:sz w:val="26"/>
        </w:rPr>
        <w:t>2. Related Work</w:t>
      </w:r>
    </w:p>
    <w:p w14:paraId="65EAE46E">
      <w:pPr>
        <w:keepNext/>
        <w:spacing w:before="200" w:after="80"/>
        <w:jc w:val="both"/>
        <w:outlineLvl w:val="1"/>
      </w:pPr>
      <w:r>
        <w:rPr>
          <w:rFonts w:ascii="Times New Roman" w:hAnsi="Times New Roman"/>
          <w:b/>
          <w:color w:val="333333"/>
          <w:sz w:val="23"/>
        </w:rPr>
        <w:t>2.1 Foundational Document AI &amp; Classical Benchmarks (Historical Context)</w:t>
      </w:r>
    </w:p>
    <w:p w14:paraId="189F7A1A">
      <w:pPr>
        <w:spacing w:before="40" w:after="80" w:line="276" w:lineRule="auto"/>
        <w:jc w:val="both"/>
      </w:pPr>
      <w:r>
        <w:rPr>
          <w:rFonts w:ascii="Times New Roman" w:hAnsi="Times New Roman"/>
          <w:sz w:val="20"/>
        </w:rPr>
        <w: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w:t>
      </w:r>
    </w:p>
    <w:p w14:paraId="5B2DA315">
      <w:pPr>
        <w:pStyle w:val="23"/>
        <w:spacing w:before="20" w:after="40"/>
        <w:jc w:val="both"/>
      </w:pPr>
      <w:r>
        <w:rPr>
          <w:rFonts w:ascii="Times New Roman" w:hAnsi="Times New Roman"/>
          <w:b/>
          <w:sz w:val="20"/>
        </w:rPr>
        <w:t>Receipt &amp; Invoice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[2] and </w:t>
      </w:r>
      <w:r>
        <w:rPr>
          <w:rFonts w:ascii="Times New Roman" w:hAnsi="Times New Roman"/>
          <w:b/>
          <w:sz w:val="20"/>
        </w:rPr>
        <w:t>CORD</w:t>
      </w:r>
      <w:r>
        <w:rPr>
          <w:rFonts w:ascii="Times New Roman" w:hAnsi="Times New Roman"/>
          <w:sz w:val="20"/>
        </w:rPr>
        <w:t xml:space="preserve"> [3] established standard benchmark datasets for point-of-sale receipt entity extraction.</w:t>
      </w:r>
    </w:p>
    <w:p w14:paraId="0B5175A7">
      <w:pPr>
        <w:pStyle w:val="23"/>
        <w:spacing w:before="20" w:after="40"/>
        <w:jc w:val="both"/>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[4] introduced key-value pair and spatial entity link annotations for noisy scanned forms.</w:t>
      </w:r>
    </w:p>
    <w:p w14:paraId="1C1B2E13">
      <w:pPr>
        <w:pStyle w:val="23"/>
        <w:spacing w:before="20" w:after="40"/>
        <w:jc w:val="both"/>
      </w:pPr>
      <w:r>
        <w:rPr>
          <w:rFonts w:ascii="Times New Roman" w:hAnsi="Times New Roman"/>
          <w:b/>
          <w:sz w:val="20"/>
        </w:rPr>
        <w:t>Document Image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[1] benchmarked multi-class document page classification across 16 commercial form categories.</w:t>
      </w:r>
    </w:p>
    <w:p w14:paraId="22EABA03">
      <w:pPr>
        <w:pStyle w:val="23"/>
        <w:spacing w:before="20" w:after="40"/>
        <w:jc w:val="both"/>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[5] introduced visual question answering over complex mixed document pages.</w:t>
      </w:r>
    </w:p>
    <w:p w14:paraId="09808609">
      <w:pPr>
        <w:spacing w:before="40" w:after="80" w:line="276" w:lineRule="auto"/>
        <w:jc w:val="both"/>
      </w:pPr>
      <w:r>
        <w:rPr>
          <w:rFonts w:ascii="Times New Roman" w:hAnsi="Times New Roman"/>
          <w:sz w:val="20"/>
        </w:rPr>
        <w:t xml:space="preserve">To process these document datasets, early multi-modal architectures combined visual features, OCR text, and 2D spatial bounding box coordinates. </w:t>
      </w:r>
      <w:r>
        <w:rPr>
          <w:rFonts w:ascii="Times New Roman" w:hAnsi="Times New Roman"/>
          <w:b/>
          <w:sz w:val="20"/>
        </w:rPr>
        <w:t>LayoutLMv3</w:t>
      </w:r>
      <w:r>
        <w:rPr>
          <w:rFonts w:ascii="Times New Roman" w:hAnsi="Times New Roman"/>
          <w:sz w:val="20"/>
        </w:rPr>
        <w:t xml:space="preserve"> [6] integrated text and image token masking for multimodal alignment, while sequence-to-sequence architectures such as </w:t>
      </w:r>
      <w:r>
        <w:rPr>
          <w:rFonts w:ascii="Times New Roman" w:hAnsi="Times New Roman"/>
          <w:b/>
          <w:sz w:val="20"/>
        </w:rPr>
        <w:t>TrOCR</w:t>
      </w:r>
      <w:r>
        <w:rPr>
          <w:rFonts w:ascii="Times New Roman" w:hAnsi="Times New Roman"/>
          <w:sz w:val="20"/>
        </w:rPr>
        <w:t xml:space="preserve"> [8] and OCR-free transformers like </w:t>
      </w:r>
      <w:r>
        <w:rPr>
          <w:rFonts w:ascii="Times New Roman" w:hAnsi="Times New Roman"/>
          <w:b/>
          <w:sz w:val="20"/>
        </w:rPr>
        <w:t>Donut</w:t>
      </w:r>
      <w:r>
        <w:rPr>
          <w:rFonts w:ascii="Times New Roman" w:hAnsi="Times New Roman"/>
          <w:sz w:val="20"/>
        </w:rPr>
        <w: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w:t>
      </w:r>
    </w:p>
    <w:p w14:paraId="59C328F3">
      <w:pPr>
        <w:keepNext/>
        <w:spacing w:before="200" w:after="80"/>
        <w:jc w:val="both"/>
        <w:outlineLvl w:val="1"/>
      </w:pPr>
      <w:r>
        <w:rPr>
          <w:rFonts w:ascii="Times New Roman" w:hAnsi="Times New Roman"/>
          <w:b/>
          <w:color w:val="333333"/>
          <w:sz w:val="23"/>
        </w:rPr>
        <w:t>2.2 2025–2026 Vision-Language Models &amp; Multimodal Document Understanding</w:t>
      </w:r>
    </w:p>
    <w:p w14:paraId="3F983351">
      <w:pPr>
        <w:spacing w:before="40" w:after="80" w:line="276" w:lineRule="auto"/>
        <w:jc w:val="both"/>
      </w:pPr>
      <w:r>
        <w:rPr>
          <w:rFonts w:ascii="Times New Roman" w:hAnsi="Times New Roman"/>
          <w:sz w:val="20"/>
        </w:rPr>
        <w:t>Recent 2025–2026 advancements in Large Multimodal Models (LMMs) and Vision-Language Models (VLMs) have significantly expanded document understanding capabilities:</w:t>
      </w:r>
    </w:p>
    <w:p w14:paraId="4607C032">
      <w:pPr>
        <w:pStyle w:val="23"/>
        <w:spacing w:before="20" w:after="40"/>
        <w:jc w:val="both"/>
      </w:pPr>
      <w:r>
        <w:rPr>
          <w:rFonts w:ascii="Times New Roman" w:hAnsi="Times New Roman"/>
          <w:b/>
          <w:sz w:val="20"/>
        </w:rPr>
        <w:t>Unified Task Representations</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[9] unified visual tasks into a sequence-to-sequence framework mapping spatial bounding boxes to text tokens.</w:t>
      </w:r>
    </w:p>
    <w:p w14:paraId="280CA75A">
      <w:pPr>
        <w:pStyle w:val="23"/>
        <w:spacing w:before="20" w:after="40"/>
        <w:jc w:val="both"/>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[10] introduced crop-based visual embeddings and token compression for high-resolution document pages.</w:t>
      </w:r>
    </w:p>
    <w:p w14:paraId="0E4ED913">
      <w:pPr>
        <w:pStyle w:val="23"/>
        <w:spacing w:before="20" w:after="40"/>
        <w:jc w:val="both"/>
      </w:pPr>
      <w:r>
        <w:rPr>
          <w:rFonts w:ascii="Times New Roman" w:hAnsi="Times New Roman"/>
          <w:b/>
          <w:sz w:val="20"/>
        </w:rPr>
        <w:t>Dynamic Resolution Encoders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[11] implemented dynamic resolution NaViT encoders to process document images at native aspect ratios.</w:t>
      </w:r>
    </w:p>
    <w:p w14:paraId="36436E37">
      <w:pPr>
        <w:pStyle w:val="23"/>
        <w:spacing w:before="20" w:after="40"/>
        <w:jc w:val="both"/>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[12] introduced cross-window attention to alleviate tokenization bottlenecks in large document images.</w:t>
      </w:r>
    </w:p>
    <w:p w14:paraId="2A24C907">
      <w:pPr>
        <w:pStyle w:val="23"/>
        <w:spacing w:before="20" w:after="40"/>
        <w:jc w:val="both"/>
      </w:pPr>
      <w:r>
        <w:rPr>
          <w:rFonts w:ascii="Times New Roman" w:hAnsi="Times New Roman"/>
          <w:b/>
          <w:sz w:val="20"/>
        </w:rPr>
        <w:t>Visual Vocabulary Enlargement</w:t>
      </w:r>
      <w:r>
        <w:rPr>
          <w:rFonts w:ascii="Times New Roman" w:hAnsi="Times New Roman"/>
          <w:sz w:val="20"/>
        </w:rPr>
        <w:t xml:space="preserve">: </w:t>
      </w:r>
      <w:r>
        <w:rPr>
          <w:rFonts w:ascii="Times New Roman" w:hAnsi="Times New Roman"/>
          <w:b/>
          <w:sz w:val="20"/>
        </w:rPr>
        <w:t>Vary</w:t>
      </w:r>
      <w:r>
        <w:rPr>
          <w:rFonts w:ascii="Times New Roman" w:hAnsi="Times New Roman"/>
          <w:sz w:val="20"/>
        </w:rPr>
        <w:t xml:space="preserve"> [19] expanded visual vocabulary tokens specifically for document text and chart parsing.</w:t>
      </w:r>
    </w:p>
    <w:p w14:paraId="5EAB8A02">
      <w:pPr>
        <w:pStyle w:val="23"/>
        <w:spacing w:before="20" w:after="40"/>
        <w:jc w:val="both"/>
      </w:pPr>
      <w:r>
        <w:rPr>
          <w:rFonts w:ascii="Times New Roman" w:hAnsi="Times New Roman"/>
          <w:b/>
          <w:sz w:val="20"/>
        </w:rPr>
        <w:t>Layout-Aware Architectures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[13] integrated explicit spatial layout instruction tuning into open-weight LLMs, </w:t>
      </w:r>
      <w:r>
        <w:rPr>
          <w:rFonts w:ascii="Times New Roman" w:hAnsi="Times New Roman"/>
          <w:b/>
          <w:sz w:val="20"/>
        </w:rPr>
        <w:t>UDOP-v2</w:t>
      </w:r>
      <w:r>
        <w:rPr>
          <w:rFonts w:ascii="Times New Roman" w:hAnsi="Times New Roman"/>
          <w:sz w:val="20"/>
        </w:rPr>
        <w:t xml:space="preserve"> [14] unified text, vision, and layout pretraining, and </w:t>
      </w:r>
      <w:r>
        <w:rPr>
          <w:rFonts w:ascii="Times New Roman" w:hAnsi="Times New Roman"/>
          <w:b/>
          <w:sz w:val="20"/>
        </w:rPr>
        <w:t>LLaVA-NeXT-Doc</w:t>
      </w:r>
      <w:r>
        <w:rPr>
          <w:rFonts w:ascii="Times New Roman" w:hAnsi="Times New Roman"/>
          <w:sz w:val="20"/>
        </w:rPr>
        <w:t xml:space="preserve"> [15] established fine-grained document parsing.</w:t>
      </w:r>
    </w:p>
    <w:p w14:paraId="2429E4D2">
      <w:pPr>
        <w:pStyle w:val="23"/>
        <w:spacing w:before="20" w:after="40"/>
        <w:jc w:val="both"/>
      </w:pPr>
      <w:r>
        <w: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w:t>
      </w:r>
    </w:p>
    <w:p w14:paraId="57C1E4DA">
      <w:pPr>
        <w:spacing w:before="40" w:after="80" w:line="276" w:lineRule="auto"/>
        <w:jc w:val="both"/>
      </w:pPr>
      <w:r>
        <w:rPr>
          <w:rFonts w:ascii="Times New Roman" w:hAnsi="Times New Roman"/>
          <w:b/>
          <w:sz w:val="20"/>
        </w:rPr>
        <w:t>Critical Comparative Synthesis</w:t>
      </w:r>
      <w:r>
        <w:rPr>
          <w:rFonts w:ascii="Times New Roman" w:hAnsi="Times New Roman"/>
          <w:sz w:val="20"/>
        </w:rPr>
        <w: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w:t>
      </w:r>
    </w:p>
    <w:p w14:paraId="17A394DD">
      <w:pPr>
        <w:keepNext/>
        <w:spacing w:before="200" w:after="80"/>
        <w:jc w:val="both"/>
        <w:outlineLvl w:val="1"/>
      </w:pPr>
      <w:r>
        <w:rPr>
          <w:rFonts w:ascii="Times New Roman" w:hAnsi="Times New Roman"/>
          <w:b/>
          <w:color w:val="333333"/>
          <w:sz w:val="23"/>
        </w:rPr>
        <w:t>2.3 Synthetic Document Generation Paradigms (2024–2026)</w:t>
      </w:r>
    </w:p>
    <w:p w14:paraId="6C515E3E">
      <w:pPr>
        <w:spacing w:before="40" w:after="80" w:line="276" w:lineRule="auto"/>
        <w:jc w:val="both"/>
      </w:pPr>
      <w:r>
        <w:rPr>
          <w:rFonts w:ascii="Times New Roman" w:hAnsi="Times New Roman"/>
          <w:sz w:val="20"/>
        </w:rPr>
        <w: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w:t>
      </w:r>
      <w:r>
        <w:rPr>
          <w:rFonts w:ascii="Times New Roman" w:hAnsi="Times New Roman"/>
          <w:b/>
          <w:sz w:val="20"/>
        </w:rPr>
        <w:t>Typst</w:t>
      </w:r>
      <w:r>
        <w:rPr>
          <w:rFonts w:ascii="Times New Roman" w:hAnsi="Times New Roman"/>
          <w:sz w:val="20"/>
        </w:rPr>
        <w: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[26], [35].</w:t>
      </w:r>
    </w:p>
    <w:p w14:paraId="56A570CA">
      <w:pPr>
        <w:keepNext/>
        <w:spacing w:before="200" w:after="80"/>
        <w:jc w:val="both"/>
        <w:outlineLvl w:val="1"/>
      </w:pPr>
      <w:r>
        <w:rPr>
          <w:rFonts w:ascii="Times New Roman" w:hAnsi="Times New Roman"/>
          <w:b/>
          <w:color w:val="333333"/>
          <w:sz w:val="23"/>
        </w:rPr>
        <w:t>2.4 Benchmark Design Methodologies &amp; Optical Degradation Matrix</w:t>
      </w:r>
    </w:p>
    <w:p w14:paraId="16C8BB60">
      <w:pPr>
        <w:spacing w:before="40" w:after="80" w:line="276" w:lineRule="auto"/>
        <w:jc w:val="both"/>
      </w:pPr>
      <w:r>
        <w:rPr>
          <w:rFonts w:ascii="Times New Roman" w:hAnsi="Times New Roman"/>
          <w:sz w:val="20"/>
        </w:rPr>
        <w: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w:t>
      </w:r>
    </w:p>
    <w:p w14:paraId="16F2ADF2">
      <w:pPr>
        <w:keepNext/>
        <w:spacing w:before="200" w:after="80"/>
        <w:jc w:val="both"/>
        <w:outlineLvl w:val="1"/>
      </w:pPr>
      <w:r>
        <w:rPr>
          <w:rFonts w:ascii="Times New Roman" w:hAnsi="Times New Roman"/>
          <w:b/>
          <w:color w:val="333333"/>
          <w:sz w:val="23"/>
        </w:rPr>
        <w:t>2.5 Academic Credential &amp; Sensitive Administrative Document Analysis</w:t>
      </w:r>
    </w:p>
    <w:p w14:paraId="2CC2A5D4">
      <w:pPr>
        <w:spacing w:before="40" w:after="80" w:line="276" w:lineRule="auto"/>
        <w:jc w:val="both"/>
      </w:pPr>
      <w:r>
        <w:rPr>
          <w:rFonts w:ascii="Times New Roman" w:hAnsi="Times New Roman"/>
          <w:sz w:val="20"/>
        </w:rPr>
        <w: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w:t>
      </w:r>
    </w:p>
    <w:p w14:paraId="2EC13B83">
      <w:pPr>
        <w:spacing w:before="40" w:after="80" w:line="276" w:lineRule="auto"/>
      </w:pPr>
      <w:r>
        <w:t xml:space="preserve">Table I provides a comprehensive comparative analysis contrasting ADBG v1.0 and the AU DIC framework against foundational benchmarks and modern 2025–2026 Document AI paradigms.</w:t>
      </w:r>
    </w:p>
    <w:p w14:paraId="50009E26">
      <w:pPr>
        <w:keepNext/>
        <w:spacing w:before="80" w:after="160"/>
        <w:jc w:val="center"/>
      </w:pPr>
      <w:r>
        <w:t xml:space="preserve">Table I: Comprehensive Comparative Matrix of Document Intelligence Benchmarks &amp; Evaluation Paradigms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218"/>
        <w:gridCol w:w="637"/>
        <w:gridCol w:w="1096"/>
        <w:gridCol w:w="1453"/>
        <w:gridCol w:w="974"/>
        <w:gridCol w:w="1212"/>
        <w:gridCol w:w="1361"/>
        <w:gridCol w:w="1669"/>
      </w:tblGrid>
      <w:tr w14:paraId="390BA0C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6F06B291">
            <w:pPr>
              <w:spacing w:before="40" w:after="40"/>
              <w:jc w:val="center"/>
            </w:pPr>
            <w:r>
              <w:rPr>
                <w:rFonts w:ascii="Times New Roman" w:hAnsi="Times New Roman"/>
                <w:b/>
                <w:color w:val="FFFFFF"/>
                <w:sz w:val="19"/>
              </w:rPr>
              <w:t>Benchmark / Model Paradigm</w:t>
            </w:r>
          </w:p>
        </w:tc>
        <w:tc>
          <w:tcPr>
            <w:tcW w:w="1170" w:type="dxa"/>
            <w:shd w:val="clear" w:color="auto" w:fill="003366"/>
            <w:tcMar>
              <w:top w:w="100" w:type="dxa"/>
              <w:left w:w="130" w:type="dxa"/>
              <w:bottom w:w="100" w:type="dxa"/>
              <w:right w:w="130" w:type="dxa"/>
            </w:tcMar>
          </w:tcPr>
          <w:p w14:paraId="22D2E873">
            <w:pPr>
              <w:spacing w:before="40" w:after="40"/>
              <w:jc w:val="center"/>
            </w:pPr>
            <w:r>
              <w:rPr>
                <w:rFonts w:ascii="Times New Roman" w:hAnsi="Times New Roman"/>
                <w:b/>
                <w:color w:val="FFFFFF"/>
                <w:sz w:val="19"/>
              </w:rPr>
              <w:t>Year</w:t>
            </w:r>
          </w:p>
        </w:tc>
        <w:tc>
          <w:tcPr>
            <w:tcW w:w="1170" w:type="dxa"/>
            <w:shd w:val="clear" w:color="auto" w:fill="003366"/>
            <w:tcMar>
              <w:top w:w="100" w:type="dxa"/>
              <w:left w:w="130" w:type="dxa"/>
              <w:bottom w:w="100" w:type="dxa"/>
              <w:right w:w="130" w:type="dxa"/>
            </w:tcMar>
          </w:tcPr>
          <w:p w14:paraId="2D5DD546">
            <w:pPr>
              <w:spacing w:before="40" w:after="40"/>
              <w:jc w:val="center"/>
            </w:pPr>
            <w:r>
              <w:rPr>
                <w:rFonts w:ascii="Times New Roman" w:hAnsi="Times New Roman"/>
                <w:b/>
                <w:color w:val="FFFFFF"/>
                <w:sz w:val="19"/>
              </w:rPr>
              <w:t>Document Domain</w:t>
            </w:r>
          </w:p>
        </w:tc>
        <w:tc>
          <w:tcPr>
            <w:tcW w:w="1170" w:type="dxa"/>
            <w:shd w:val="clear" w:color="auto" w:fill="003366"/>
            <w:tcMar>
              <w:top w:w="100" w:type="dxa"/>
              <w:left w:w="130" w:type="dxa"/>
              <w:bottom w:w="100" w:type="dxa"/>
              <w:right w:w="130" w:type="dxa"/>
            </w:tcMar>
          </w:tcPr>
          <w:p w14:paraId="0F933C27">
            <w:pPr>
              <w:spacing w:before="40" w:after="40"/>
              <w:jc w:val="center"/>
            </w:pPr>
            <w:r>
              <w:rPr>
                <w:rFonts w:ascii="Times New Roman" w:hAnsi="Times New Roman"/>
                <w:b/>
                <w:color w:val="FFFFFF"/>
                <w:sz w:val="19"/>
              </w:rPr>
              <w:t>Fully Synthetic Data</w:t>
            </w:r>
          </w:p>
        </w:tc>
        <w:tc>
          <w:tcPr>
            <w:tcW w:w="1170" w:type="dxa"/>
            <w:shd w:val="clear" w:color="auto" w:fill="003366"/>
            <w:tcMar>
              <w:top w:w="100" w:type="dxa"/>
              <w:left w:w="130" w:type="dxa"/>
              <w:bottom w:w="100" w:type="dxa"/>
              <w:right w:w="130" w:type="dxa"/>
            </w:tcMar>
          </w:tcPr>
          <w:p w14:paraId="70FC4D72">
            <w:pPr>
              <w:spacing w:before="40" w:after="40"/>
              <w:jc w:val="center"/>
            </w:pPr>
            <w:r>
              <w:rPr>
                <w:rFonts w:ascii="Times New Roman" w:hAnsi="Times New Roman"/>
                <w:b/>
                <w:color w:val="FFFFFF"/>
                <w:sz w:val="19"/>
              </w:rPr>
              <w:t>Tabular Grade Array Support</w:t>
            </w:r>
          </w:p>
        </w:tc>
        <w:tc>
          <w:tcPr>
            <w:tcW w:w="1170" w:type="dxa"/>
            <w:shd w:val="clear" w:color="auto" w:fill="003366"/>
            <w:tcMar>
              <w:top w:w="100" w:type="dxa"/>
              <w:left w:w="130" w:type="dxa"/>
              <w:bottom w:w="100" w:type="dxa"/>
              <w:right w:w="130" w:type="dxa"/>
            </w:tcMar>
          </w:tcPr>
          <w:p w14:paraId="67428837">
            <w:pPr>
              <w:spacing w:before="40" w:after="40"/>
              <w:jc w:val="center"/>
            </w:pPr>
            <w:r>
              <w:rPr>
                <w:rFonts w:ascii="Times New Roman" w:hAnsi="Times New Roman"/>
                <w:b/>
                <w:color w:val="FFFFFF"/>
                <w:sz w:val="19"/>
              </w:rPr>
              <w:t>Controlled Quality Degradation Matrix</w:t>
            </w:r>
          </w:p>
        </w:tc>
        <w:tc>
          <w:tcPr>
            <w:tcW w:w="1170" w:type="dxa"/>
            <w:shd w:val="clear" w:color="auto" w:fill="003366"/>
            <w:tcMar>
              <w:top w:w="100" w:type="dxa"/>
              <w:left w:w="130" w:type="dxa"/>
              <w:bottom w:w="100" w:type="dxa"/>
              <w:right w:w="130" w:type="dxa"/>
            </w:tcMar>
          </w:tcPr>
          <w:p w14:paraId="281BF2B0">
            <w:pPr>
              <w:spacing w:before="40" w:after="40"/>
              <w:jc w:val="center"/>
            </w:pPr>
            <w:r>
              <w:rPr>
                <w:rFonts w:ascii="Times New Roman" w:hAnsi="Times New Roman"/>
                <w:b/>
                <w:color w:val="FFFFFF"/>
                <w:sz w:val="19"/>
              </w:rPr>
              <w:t>Semantic Canonical Normalization</w:t>
            </w:r>
          </w:p>
        </w:tc>
        <w:tc>
          <w:tcPr>
            <w:tcW w:w="1170" w:type="dxa"/>
            <w:shd w:val="clear" w:color="auto" w:fill="003366"/>
            <w:tcMar>
              <w:top w:w="100" w:type="dxa"/>
              <w:left w:w="130" w:type="dxa"/>
              <w:bottom w:w="100" w:type="dxa"/>
              <w:right w:w="130" w:type="dxa"/>
            </w:tcMar>
          </w:tcPr>
          <w:p w14:paraId="18B36868">
            <w:pPr>
              <w:spacing w:before="40" w:after="40"/>
              <w:jc w:val="center"/>
            </w:pPr>
            <w:r>
              <w:rPr>
                <w:rFonts w:ascii="Times New Roman" w:hAnsi="Times New Roman"/>
                <w:b/>
                <w:color w:val="FFFFFF"/>
                <w:sz w:val="19"/>
              </w:rPr>
              <w:t>Academic Credentials Domain</w:t>
            </w:r>
          </w:p>
        </w:tc>
      </w:tr>
      <w:tr w14:paraId="3281E39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580796C">
            <w:pPr>
              <w:spacing w:before="40" w:after="40"/>
              <w:jc w:val="left"/>
            </w:pPr>
            <w:r>
              <w:rPr>
                <w:rFonts w:ascii="Times New Roman" w:hAnsi="Times New Roman"/>
                <w:b/>
                <w:sz w:val="18"/>
              </w:rPr>
              <w:t>RVL-CDIP</w:t>
            </w:r>
            <w:r>
              <w:rPr>
                <w:rFonts w:ascii="Times New Roman" w:hAnsi="Times New Roman"/>
                <w:sz w:val="18"/>
              </w:rPr>
              <w:t xml:space="preserve"> (Harley et al. [1])</w:t>
            </w:r>
          </w:p>
        </w:tc>
        <w:tc>
          <w:tcPr>
            <w:tcW w:w="1170" w:type="dxa"/>
            <w:shd w:val="clear" w:color="auto" w:fill="FFFFFF"/>
            <w:tcMar>
              <w:top w:w="100" w:type="dxa"/>
              <w:left w:w="130" w:type="dxa"/>
              <w:bottom w:w="100" w:type="dxa"/>
              <w:right w:w="130" w:type="dxa"/>
            </w:tcMar>
          </w:tcPr>
          <w:p w14:paraId="30CA6361">
            <w:pPr>
              <w:spacing w:before="40" w:after="40"/>
              <w:jc w:val="center"/>
            </w:pPr>
            <w:r>
              <w:rPr>
                <w:rFonts w:ascii="Times New Roman" w:hAnsi="Times New Roman"/>
                <w:sz w:val="18"/>
              </w:rPr>
              <w:t>2015</w:t>
            </w:r>
          </w:p>
        </w:tc>
        <w:tc>
          <w:tcPr>
            <w:tcW w:w="1170" w:type="dxa"/>
            <w:shd w:val="clear" w:color="auto" w:fill="FFFFFF"/>
            <w:tcMar>
              <w:top w:w="100" w:type="dxa"/>
              <w:left w:w="130" w:type="dxa"/>
              <w:bottom w:w="100" w:type="dxa"/>
              <w:right w:w="130" w:type="dxa"/>
            </w:tcMar>
          </w:tcPr>
          <w:p w14:paraId="12F367B5">
            <w:pPr>
              <w:spacing w:before="40" w:after="40"/>
              <w:jc w:val="center"/>
            </w:pPr>
            <w:r>
              <w:rPr>
                <w:rFonts w:ascii="Times New Roman" w:hAnsi="Times New Roman"/>
                <w:sz w:val="18"/>
              </w:rPr>
              <w:t>Business Forms</w:t>
            </w:r>
          </w:p>
        </w:tc>
        <w:tc>
          <w:tcPr>
            <w:tcW w:w="1170" w:type="dxa"/>
            <w:shd w:val="clear" w:color="auto" w:fill="FFFFFF"/>
            <w:tcMar>
              <w:top w:w="100" w:type="dxa"/>
              <w:left w:w="130" w:type="dxa"/>
              <w:bottom w:w="100" w:type="dxa"/>
              <w:right w:w="130" w:type="dxa"/>
            </w:tcMar>
          </w:tcPr>
          <w:p w14:paraId="17D6B3F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C0530B3">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82380C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7B2002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8E5CCF">
            <w:pPr>
              <w:spacing w:before="40" w:after="40"/>
              <w:jc w:val="center"/>
            </w:pPr>
            <w:r>
              <w:rPr>
                <w:rFonts w:ascii="Times New Roman" w:hAnsi="Times New Roman"/>
                <w:sz w:val="18"/>
              </w:rPr>
              <w:t>No</w:t>
            </w:r>
          </w:p>
        </w:tc>
      </w:tr>
      <w:tr w14:paraId="39A20E6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12F0EB">
            <w:pPr>
              <w:spacing w:before="40" w:after="40"/>
              <w:jc w:val="left"/>
            </w:pPr>
            <w:r>
              <w:rPr>
                <w:rFonts w:ascii="Times New Roman" w:hAnsi="Times New Roman"/>
                <w:b/>
                <w:sz w:val="18"/>
              </w:rPr>
              <w:t>SROIE</w:t>
            </w:r>
            <w:r>
              <w:rPr>
                <w:rFonts w:ascii="Times New Roman" w:hAnsi="Times New Roman"/>
                <w:sz w:val="18"/>
              </w:rPr>
              <w:t xml:space="preserve"> (Huang et al. [2])</w:t>
            </w:r>
          </w:p>
        </w:tc>
        <w:tc>
          <w:tcPr>
            <w:tcW w:w="1170" w:type="dxa"/>
            <w:shd w:val="clear" w:color="auto" w:fill="F8F9FA"/>
            <w:tcMar>
              <w:top w:w="100" w:type="dxa"/>
              <w:left w:w="130" w:type="dxa"/>
              <w:bottom w:w="100" w:type="dxa"/>
              <w:right w:w="130" w:type="dxa"/>
            </w:tcMar>
          </w:tcPr>
          <w:p w14:paraId="07A1338A">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33856CA3">
            <w:pPr>
              <w:spacing w:before="40" w:after="40"/>
              <w:jc w:val="center"/>
            </w:pPr>
            <w:r>
              <w:rPr>
                <w:rFonts w:ascii="Times New Roman" w:hAnsi="Times New Roman"/>
                <w:sz w:val="18"/>
              </w:rPr>
              <w:t>Receipts</w:t>
            </w:r>
          </w:p>
        </w:tc>
        <w:tc>
          <w:tcPr>
            <w:tcW w:w="1170" w:type="dxa"/>
            <w:shd w:val="clear" w:color="auto" w:fill="F8F9FA"/>
            <w:tcMar>
              <w:top w:w="100" w:type="dxa"/>
              <w:left w:w="130" w:type="dxa"/>
              <w:bottom w:w="100" w:type="dxa"/>
              <w:right w:w="130" w:type="dxa"/>
            </w:tcMar>
          </w:tcPr>
          <w:p w14:paraId="08AC09A8">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7B16C42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F2D597C">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7EEBAC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A28EA94">
            <w:pPr>
              <w:spacing w:before="40" w:after="40"/>
              <w:jc w:val="center"/>
            </w:pPr>
            <w:r>
              <w:rPr>
                <w:rFonts w:ascii="Times New Roman" w:hAnsi="Times New Roman"/>
                <w:sz w:val="18"/>
              </w:rPr>
              <w:t>No</w:t>
            </w:r>
          </w:p>
        </w:tc>
      </w:tr>
      <w:tr w14:paraId="1A68EA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3D1311A">
            <w:pPr>
              <w:spacing w:before="40" w:after="40"/>
              <w:jc w:val="left"/>
            </w:pPr>
            <w:r>
              <w:rPr>
                <w:rFonts w:ascii="Times New Roman" w:hAnsi="Times New Roman"/>
                <w:b/>
                <w:sz w:val="18"/>
              </w:rPr>
              <w:t>CORD</w:t>
            </w:r>
            <w:r>
              <w:rPr>
                <w:rFonts w:ascii="Times New Roman" w:hAnsi="Times New Roman"/>
                <w:sz w:val="18"/>
              </w:rPr>
              <w:t xml:space="preserve"> (Park et al. [3])</w:t>
            </w:r>
          </w:p>
        </w:tc>
        <w:tc>
          <w:tcPr>
            <w:tcW w:w="1170" w:type="dxa"/>
            <w:shd w:val="clear" w:color="auto" w:fill="FFFFFF"/>
            <w:tcMar>
              <w:top w:w="100" w:type="dxa"/>
              <w:left w:w="130" w:type="dxa"/>
              <w:bottom w:w="100" w:type="dxa"/>
              <w:right w:w="130" w:type="dxa"/>
            </w:tcMar>
          </w:tcPr>
          <w:p w14:paraId="1857DCB4">
            <w:pPr>
              <w:spacing w:before="40" w:after="40"/>
              <w:jc w:val="center"/>
            </w:pPr>
            <w:r>
              <w:rPr>
                <w:rFonts w:ascii="Times New Roman" w:hAnsi="Times New Roman"/>
                <w:sz w:val="18"/>
              </w:rPr>
              <w:t>2019</w:t>
            </w:r>
          </w:p>
        </w:tc>
        <w:tc>
          <w:tcPr>
            <w:tcW w:w="1170" w:type="dxa"/>
            <w:shd w:val="clear" w:color="auto" w:fill="FFFFFF"/>
            <w:tcMar>
              <w:top w:w="100" w:type="dxa"/>
              <w:left w:w="130" w:type="dxa"/>
              <w:bottom w:w="100" w:type="dxa"/>
              <w:right w:w="130" w:type="dxa"/>
            </w:tcMar>
          </w:tcPr>
          <w:p w14:paraId="09195013">
            <w:pPr>
              <w:spacing w:before="40" w:after="40"/>
              <w:jc w:val="center"/>
            </w:pPr>
            <w:r>
              <w:rPr>
                <w:rFonts w:ascii="Times New Roman" w:hAnsi="Times New Roman"/>
                <w:sz w:val="18"/>
              </w:rPr>
              <w:t>Receipts</w:t>
            </w:r>
          </w:p>
        </w:tc>
        <w:tc>
          <w:tcPr>
            <w:tcW w:w="1170" w:type="dxa"/>
            <w:shd w:val="clear" w:color="auto" w:fill="FFFFFF"/>
            <w:tcMar>
              <w:top w:w="100" w:type="dxa"/>
              <w:left w:w="130" w:type="dxa"/>
              <w:bottom w:w="100" w:type="dxa"/>
              <w:right w:w="130" w:type="dxa"/>
            </w:tcMar>
          </w:tcPr>
          <w:p w14:paraId="3A8B5D3E">
            <w:pPr>
              <w:spacing w:before="40" w:after="40"/>
              <w:jc w:val="center"/>
            </w:pPr>
            <w:r>
              <w:rPr>
                <w:rFonts w:ascii="Times New Roman" w:hAnsi="Times New Roman"/>
                <w:sz w:val="18"/>
              </w:rPr>
              <w:t>No (Anonymized)</w:t>
            </w:r>
          </w:p>
        </w:tc>
        <w:tc>
          <w:tcPr>
            <w:tcW w:w="1170" w:type="dxa"/>
            <w:shd w:val="clear" w:color="auto" w:fill="FFFFFF"/>
            <w:tcMar>
              <w:top w:w="100" w:type="dxa"/>
              <w:left w:w="130" w:type="dxa"/>
              <w:bottom w:w="100" w:type="dxa"/>
              <w:right w:w="130" w:type="dxa"/>
            </w:tcMar>
          </w:tcPr>
          <w:p w14:paraId="4AA7F229">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26405F12">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8ED8BE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97F371">
            <w:pPr>
              <w:spacing w:before="40" w:after="40"/>
              <w:jc w:val="center"/>
            </w:pPr>
            <w:r>
              <w:rPr>
                <w:rFonts w:ascii="Times New Roman" w:hAnsi="Times New Roman"/>
                <w:sz w:val="18"/>
              </w:rPr>
              <w:t>No</w:t>
            </w:r>
          </w:p>
        </w:tc>
      </w:tr>
      <w:tr w14:paraId="7980EC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4D136B6">
            <w:pPr>
              <w:spacing w:before="40" w:after="40"/>
              <w:jc w:val="left"/>
            </w:pPr>
            <w:r>
              <w:rPr>
                <w:rFonts w:ascii="Times New Roman" w:hAnsi="Times New Roman"/>
                <w:b/>
                <w:sz w:val="18"/>
              </w:rPr>
              <w:t>FUNSD</w:t>
            </w:r>
            <w:r>
              <w:rPr>
                <w:rFonts w:ascii="Times New Roman" w:hAnsi="Times New Roman"/>
                <w:sz w:val="18"/>
              </w:rPr>
              <w:t xml:space="preserve"> (Jaume et al. [4])</w:t>
            </w:r>
          </w:p>
        </w:tc>
        <w:tc>
          <w:tcPr>
            <w:tcW w:w="1170" w:type="dxa"/>
            <w:shd w:val="clear" w:color="auto" w:fill="F8F9FA"/>
            <w:tcMar>
              <w:top w:w="100" w:type="dxa"/>
              <w:left w:w="130" w:type="dxa"/>
              <w:bottom w:w="100" w:type="dxa"/>
              <w:right w:w="130" w:type="dxa"/>
            </w:tcMar>
          </w:tcPr>
          <w:p w14:paraId="6110C5C0">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49DDD9AB">
            <w:pPr>
              <w:spacing w:before="40" w:after="40"/>
              <w:jc w:val="center"/>
            </w:pPr>
            <w:r>
              <w:rPr>
                <w:rFonts w:ascii="Times New Roman" w:hAnsi="Times New Roman"/>
                <w:sz w:val="18"/>
              </w:rPr>
              <w:t>Noisy Forms</w:t>
            </w:r>
          </w:p>
        </w:tc>
        <w:tc>
          <w:tcPr>
            <w:tcW w:w="1170" w:type="dxa"/>
            <w:shd w:val="clear" w:color="auto" w:fill="F8F9FA"/>
            <w:tcMar>
              <w:top w:w="100" w:type="dxa"/>
              <w:left w:w="130" w:type="dxa"/>
              <w:bottom w:w="100" w:type="dxa"/>
              <w:right w:w="130" w:type="dxa"/>
            </w:tcMar>
          </w:tcPr>
          <w:p w14:paraId="370B136A">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64B5BF3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804DB6F">
            <w:pPr>
              <w:spacing w:before="40" w:after="40"/>
              <w:jc w:val="center"/>
            </w:pPr>
            <w:r>
              <w:rPr>
                <w:rFonts w:ascii="Times New Roman" w:hAnsi="Times New Roman"/>
                <w:sz w:val="18"/>
              </w:rPr>
              <w:t>Static Noise</w:t>
            </w:r>
          </w:p>
        </w:tc>
        <w:tc>
          <w:tcPr>
            <w:tcW w:w="1170" w:type="dxa"/>
            <w:shd w:val="clear" w:color="auto" w:fill="F8F9FA"/>
            <w:tcMar>
              <w:top w:w="100" w:type="dxa"/>
              <w:left w:w="130" w:type="dxa"/>
              <w:bottom w:w="100" w:type="dxa"/>
              <w:right w:w="130" w:type="dxa"/>
            </w:tcMar>
          </w:tcPr>
          <w:p w14:paraId="2C41314B">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122B781">
            <w:pPr>
              <w:spacing w:before="40" w:after="40"/>
              <w:jc w:val="center"/>
            </w:pPr>
            <w:r>
              <w:rPr>
                <w:rFonts w:ascii="Times New Roman" w:hAnsi="Times New Roman"/>
                <w:sz w:val="18"/>
              </w:rPr>
              <w:t>No</w:t>
            </w:r>
          </w:p>
        </w:tc>
      </w:tr>
      <w:tr w14:paraId="4A3265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A885B4A">
            <w:pPr>
              <w:spacing w:before="40" w:after="40"/>
              <w:jc w:val="left"/>
            </w:pPr>
            <w:r>
              <w:rPr>
                <w:rFonts w:ascii="Times New Roman" w:hAnsi="Times New Roman"/>
                <w:b/>
                <w:sz w:val="18"/>
              </w:rPr>
              <w:t>DocVQA</w:t>
            </w:r>
            <w:r>
              <w:rPr>
                <w:rFonts w:ascii="Times New Roman" w:hAnsi="Times New Roman"/>
                <w:sz w:val="18"/>
              </w:rPr>
              <w:t xml:space="preserve"> (Mathew et al. [5])</w:t>
            </w:r>
          </w:p>
        </w:tc>
        <w:tc>
          <w:tcPr>
            <w:tcW w:w="1170" w:type="dxa"/>
            <w:shd w:val="clear" w:color="auto" w:fill="FFFFFF"/>
            <w:tcMar>
              <w:top w:w="100" w:type="dxa"/>
              <w:left w:w="130" w:type="dxa"/>
              <w:bottom w:w="100" w:type="dxa"/>
              <w:right w:w="130" w:type="dxa"/>
            </w:tcMar>
          </w:tcPr>
          <w:p w14:paraId="34E6588C">
            <w:pPr>
              <w:spacing w:before="40" w:after="40"/>
              <w:jc w:val="center"/>
            </w:pPr>
            <w:r>
              <w:rPr>
                <w:rFonts w:ascii="Times New Roman" w:hAnsi="Times New Roman"/>
                <w:sz w:val="18"/>
              </w:rPr>
              <w:t>2021</w:t>
            </w:r>
          </w:p>
        </w:tc>
        <w:tc>
          <w:tcPr>
            <w:tcW w:w="1170" w:type="dxa"/>
            <w:shd w:val="clear" w:color="auto" w:fill="FFFFFF"/>
            <w:tcMar>
              <w:top w:w="100" w:type="dxa"/>
              <w:left w:w="130" w:type="dxa"/>
              <w:bottom w:w="100" w:type="dxa"/>
              <w:right w:w="130" w:type="dxa"/>
            </w:tcMar>
          </w:tcPr>
          <w:p w14:paraId="5F115FE0">
            <w:pPr>
              <w:spacing w:before="40" w:after="40"/>
              <w:jc w:val="center"/>
            </w:pPr>
            <w:r>
              <w:rPr>
                <w:rFonts w:ascii="Times New Roman" w:hAnsi="Times New Roman"/>
                <w:sz w:val="18"/>
              </w:rPr>
              <w:t>Mixed Documents</w:t>
            </w:r>
          </w:p>
        </w:tc>
        <w:tc>
          <w:tcPr>
            <w:tcW w:w="1170" w:type="dxa"/>
            <w:shd w:val="clear" w:color="auto" w:fill="FFFFFF"/>
            <w:tcMar>
              <w:top w:w="100" w:type="dxa"/>
              <w:left w:w="130" w:type="dxa"/>
              <w:bottom w:w="100" w:type="dxa"/>
              <w:right w:w="130" w:type="dxa"/>
            </w:tcMar>
          </w:tcPr>
          <w:p w14:paraId="5064B06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DD84CAB">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6A7EA7E8">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4EE8FA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8472B49">
            <w:pPr>
              <w:spacing w:before="40" w:after="40"/>
              <w:jc w:val="center"/>
            </w:pPr>
            <w:r>
              <w:rPr>
                <w:rFonts w:ascii="Times New Roman" w:hAnsi="Times New Roman"/>
                <w:sz w:val="18"/>
              </w:rPr>
              <w:t>No</w:t>
            </w:r>
          </w:p>
        </w:tc>
      </w:tr>
      <w:tr w14:paraId="5F3EFAC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6F71C5ED">
            <w:pPr>
              <w:spacing w:before="40" w:after="40"/>
              <w:jc w:val="left"/>
            </w:pPr>
            <w:r>
              <w:rPr>
                <w:rFonts w:ascii="Times New Roman" w:hAnsi="Times New Roman"/>
                <w:b/>
                <w:sz w:val="18"/>
              </w:rPr>
              <w:t>LayoutLMv3</w:t>
            </w:r>
            <w:r>
              <w:rPr>
                <w:rFonts w:ascii="Times New Roman" w:hAnsi="Times New Roman"/>
                <w:sz w:val="18"/>
              </w:rPr>
              <w:t xml:space="preserve"> (Huang et al. [6])</w:t>
            </w:r>
          </w:p>
        </w:tc>
        <w:tc>
          <w:tcPr>
            <w:tcW w:w="1170" w:type="dxa"/>
            <w:shd w:val="clear" w:color="auto" w:fill="F8F9FA"/>
            <w:tcMar>
              <w:top w:w="100" w:type="dxa"/>
              <w:left w:w="130" w:type="dxa"/>
              <w:bottom w:w="100" w:type="dxa"/>
              <w:right w:w="130" w:type="dxa"/>
            </w:tcMar>
          </w:tcPr>
          <w:p w14:paraId="1C1AF0A6">
            <w:pPr>
              <w:spacing w:before="40" w:after="40"/>
              <w:jc w:val="center"/>
            </w:pPr>
            <w:r>
              <w:rPr>
                <w:rFonts w:ascii="Times New Roman" w:hAnsi="Times New Roman"/>
                <w:sz w:val="18"/>
              </w:rPr>
              <w:t>2022</w:t>
            </w:r>
          </w:p>
        </w:tc>
        <w:tc>
          <w:tcPr>
            <w:tcW w:w="1170" w:type="dxa"/>
            <w:shd w:val="clear" w:color="auto" w:fill="F8F9FA"/>
            <w:tcMar>
              <w:top w:w="100" w:type="dxa"/>
              <w:left w:w="130" w:type="dxa"/>
              <w:bottom w:w="100" w:type="dxa"/>
              <w:right w:w="130" w:type="dxa"/>
            </w:tcMar>
          </w:tcPr>
          <w:p w14:paraId="73C9A564">
            <w:pPr>
              <w:spacing w:before="40" w:after="40"/>
              <w:jc w:val="center"/>
            </w:pPr>
            <w:r>
              <w:rPr>
                <w:rFonts w:ascii="Times New Roman" w:hAnsi="Times New Roman"/>
                <w:sz w:val="18"/>
              </w:rPr>
              <w:t>Business Forms</w:t>
            </w:r>
          </w:p>
        </w:tc>
        <w:tc>
          <w:tcPr>
            <w:tcW w:w="1170" w:type="dxa"/>
            <w:shd w:val="clear" w:color="auto" w:fill="F8F9FA"/>
            <w:tcMar>
              <w:top w:w="100" w:type="dxa"/>
              <w:left w:w="130" w:type="dxa"/>
              <w:bottom w:w="100" w:type="dxa"/>
              <w:right w:w="130" w:type="dxa"/>
            </w:tcMar>
          </w:tcPr>
          <w:p w14:paraId="39D1AE30">
            <w:pPr>
              <w:spacing w:before="40" w:after="40"/>
              <w:jc w:val="center"/>
            </w:pPr>
            <w:r>
              <w:rPr>
                <w:rFonts w:ascii="Times New Roman" w:hAnsi="Times New Roman"/>
                <w:sz w:val="18"/>
              </w:rPr>
              <w:t>No (Mixed)</w:t>
            </w:r>
          </w:p>
        </w:tc>
        <w:tc>
          <w:tcPr>
            <w:tcW w:w="1170" w:type="dxa"/>
            <w:shd w:val="clear" w:color="auto" w:fill="F8F9FA"/>
            <w:tcMar>
              <w:top w:w="100" w:type="dxa"/>
              <w:left w:w="130" w:type="dxa"/>
              <w:bottom w:w="100" w:type="dxa"/>
              <w:right w:w="130" w:type="dxa"/>
            </w:tcMar>
          </w:tcPr>
          <w:p w14:paraId="5F65C017">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4D1A6D5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56D0F8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46B6D7A">
            <w:pPr>
              <w:spacing w:before="40" w:after="40"/>
              <w:jc w:val="center"/>
            </w:pPr>
            <w:r>
              <w:rPr>
                <w:rFonts w:ascii="Times New Roman" w:hAnsi="Times New Roman"/>
                <w:sz w:val="18"/>
              </w:rPr>
              <w:t>No</w:t>
            </w:r>
          </w:p>
        </w:tc>
      </w:tr>
      <w:tr w14:paraId="2C6519C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C5A2596">
            <w:pPr>
              <w:spacing w:before="40" w:after="40"/>
              <w:jc w:val="left"/>
            </w:pPr>
            <w:r>
              <w:rPr>
                <w:rFonts w:ascii="Times New Roman" w:hAnsi="Times New Roman"/>
                <w:b/>
                <w:sz w:val="18"/>
              </w:rPr>
              <w:t>Donut</w:t>
            </w:r>
            <w:r>
              <w:rPr>
                <w:rFonts w:ascii="Times New Roman" w:hAnsi="Times New Roman"/>
                <w:sz w:val="18"/>
              </w:rPr>
              <w:t xml:space="preserve"> (Kim et al. [7])</w:t>
            </w:r>
          </w:p>
        </w:tc>
        <w:tc>
          <w:tcPr>
            <w:tcW w:w="1170" w:type="dxa"/>
            <w:shd w:val="clear" w:color="auto" w:fill="FFFFFF"/>
            <w:tcMar>
              <w:top w:w="100" w:type="dxa"/>
              <w:left w:w="130" w:type="dxa"/>
              <w:bottom w:w="100" w:type="dxa"/>
              <w:right w:w="130" w:type="dxa"/>
            </w:tcMar>
          </w:tcPr>
          <w:p w14:paraId="0AD25337">
            <w:pPr>
              <w:spacing w:before="40" w:after="40"/>
              <w:jc w:val="center"/>
            </w:pPr>
            <w:r>
              <w:rPr>
                <w:rFonts w:ascii="Times New Roman" w:hAnsi="Times New Roman"/>
                <w:sz w:val="18"/>
              </w:rPr>
              <w:t>2022</w:t>
            </w:r>
          </w:p>
        </w:tc>
        <w:tc>
          <w:tcPr>
            <w:tcW w:w="1170" w:type="dxa"/>
            <w:shd w:val="clear" w:color="auto" w:fill="FFFFFF"/>
            <w:tcMar>
              <w:top w:w="100" w:type="dxa"/>
              <w:left w:w="130" w:type="dxa"/>
              <w:bottom w:w="100" w:type="dxa"/>
              <w:right w:w="130" w:type="dxa"/>
            </w:tcMar>
          </w:tcPr>
          <w:p w14:paraId="47F03698">
            <w:pPr>
              <w:spacing w:before="40" w:after="40"/>
              <w:jc w:val="center"/>
            </w:pPr>
            <w:r>
              <w:rPr>
                <w:rFonts w:ascii="Times New Roman" w:hAnsi="Times New Roman"/>
                <w:sz w:val="18"/>
              </w:rPr>
              <w:t>Receipts &amp; Forms</w:t>
            </w:r>
          </w:p>
        </w:tc>
        <w:tc>
          <w:tcPr>
            <w:tcW w:w="1170" w:type="dxa"/>
            <w:shd w:val="clear" w:color="auto" w:fill="FFFFFF"/>
            <w:tcMar>
              <w:top w:w="100" w:type="dxa"/>
              <w:left w:w="130" w:type="dxa"/>
              <w:bottom w:w="100" w:type="dxa"/>
              <w:right w:w="130" w:type="dxa"/>
            </w:tcMar>
          </w:tcPr>
          <w:p w14:paraId="0DB24083">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490929B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754302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3E2543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A5CB4CA">
            <w:pPr>
              <w:spacing w:before="40" w:after="40"/>
              <w:jc w:val="center"/>
            </w:pPr>
            <w:r>
              <w:rPr>
                <w:rFonts w:ascii="Times New Roman" w:hAnsi="Times New Roman"/>
                <w:sz w:val="18"/>
              </w:rPr>
              <w:t>No</w:t>
            </w:r>
          </w:p>
        </w:tc>
      </w:tr>
      <w:tr w14:paraId="0C463C4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73BFD63">
            <w:pPr>
              <w:spacing w:before="40" w:after="40"/>
              <w:jc w:val="left"/>
            </w:pPr>
            <w:r>
              <w:rPr>
                <w:rFonts w:ascii="Times New Roman" w:hAnsi="Times New Roman"/>
                <w:b/>
                <w:sz w:val="18"/>
              </w:rPr>
              <w:t>Florence-2</w:t>
            </w:r>
            <w:r>
              <w:rPr>
                <w:rFonts w:ascii="Times New Roman" w:hAnsi="Times New Roman"/>
                <w:sz w:val="18"/>
              </w:rPr>
              <w:t xml:space="preserve"> (Xiao et al. [9])</w:t>
            </w:r>
          </w:p>
        </w:tc>
        <w:tc>
          <w:tcPr>
            <w:tcW w:w="1170" w:type="dxa"/>
            <w:shd w:val="clear" w:color="auto" w:fill="F8F9FA"/>
            <w:tcMar>
              <w:top w:w="100" w:type="dxa"/>
              <w:left w:w="130" w:type="dxa"/>
              <w:bottom w:w="100" w:type="dxa"/>
              <w:right w:w="130" w:type="dxa"/>
            </w:tcMar>
          </w:tcPr>
          <w:p w14:paraId="07E850A1">
            <w:pPr>
              <w:spacing w:before="40" w:after="40"/>
              <w:jc w:val="center"/>
            </w:pPr>
            <w:r>
              <w:rPr>
                <w:rFonts w:ascii="Times New Roman" w:hAnsi="Times New Roman"/>
                <w:sz w:val="18"/>
              </w:rPr>
              <w:t>2024</w:t>
            </w:r>
          </w:p>
        </w:tc>
        <w:tc>
          <w:tcPr>
            <w:tcW w:w="1170" w:type="dxa"/>
            <w:shd w:val="clear" w:color="auto" w:fill="F8F9FA"/>
            <w:tcMar>
              <w:top w:w="100" w:type="dxa"/>
              <w:left w:w="130" w:type="dxa"/>
              <w:bottom w:w="100" w:type="dxa"/>
              <w:right w:w="130" w:type="dxa"/>
            </w:tcMar>
          </w:tcPr>
          <w:p w14:paraId="0696591C">
            <w:pPr>
              <w:spacing w:before="40" w:after="40"/>
              <w:jc w:val="center"/>
            </w:pPr>
            <w:r>
              <w:rPr>
                <w:rFonts w:ascii="Times New Roman" w:hAnsi="Times New Roman"/>
                <w:sz w:val="18"/>
              </w:rPr>
              <w:t>Vision-Text</w:t>
            </w:r>
          </w:p>
        </w:tc>
        <w:tc>
          <w:tcPr>
            <w:tcW w:w="1170" w:type="dxa"/>
            <w:shd w:val="clear" w:color="auto" w:fill="F8F9FA"/>
            <w:tcMar>
              <w:top w:w="100" w:type="dxa"/>
              <w:left w:w="130" w:type="dxa"/>
              <w:bottom w:w="100" w:type="dxa"/>
              <w:right w:w="130" w:type="dxa"/>
            </w:tcMar>
          </w:tcPr>
          <w:p w14:paraId="0E6359D7">
            <w:pPr>
              <w:spacing w:before="40" w:after="40"/>
              <w:jc w:val="center"/>
            </w:pPr>
            <w:r>
              <w:rPr>
                <w:rFonts w:ascii="Times New Roman" w:hAnsi="Times New Roman"/>
                <w:sz w:val="18"/>
              </w:rPr>
              <w:t>Synthetic/Natural</w:t>
            </w:r>
          </w:p>
        </w:tc>
        <w:tc>
          <w:tcPr>
            <w:tcW w:w="1170" w:type="dxa"/>
            <w:shd w:val="clear" w:color="auto" w:fill="F8F9FA"/>
            <w:tcMar>
              <w:top w:w="100" w:type="dxa"/>
              <w:left w:w="130" w:type="dxa"/>
              <w:bottom w:w="100" w:type="dxa"/>
              <w:right w:w="130" w:type="dxa"/>
            </w:tcMar>
          </w:tcPr>
          <w:p w14:paraId="77B9BEE7">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3EE0E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135638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C8E0D5">
            <w:pPr>
              <w:spacing w:before="40" w:after="40"/>
              <w:jc w:val="center"/>
            </w:pPr>
            <w:r>
              <w:rPr>
                <w:rFonts w:ascii="Times New Roman" w:hAnsi="Times New Roman"/>
                <w:sz w:val="18"/>
              </w:rPr>
              <w:t>No</w:t>
            </w:r>
          </w:p>
        </w:tc>
      </w:tr>
      <w:tr w14:paraId="226FD1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1EBD7645">
            <w:pPr>
              <w:spacing w:before="40" w:after="40"/>
              <w:jc w:val="left"/>
            </w:pPr>
            <w:r>
              <w:rPr>
                <w:rFonts w:ascii="Times New Roman" w:hAnsi="Times New Roman"/>
                <w:b/>
                <w:sz w:val="18"/>
              </w:rPr>
              <w:t>DocOwl 2.0</w:t>
            </w:r>
            <w:r>
              <w:rPr>
                <w:rFonts w:ascii="Times New Roman" w:hAnsi="Times New Roman"/>
                <w:sz w:val="18"/>
              </w:rPr>
              <w:t xml:space="preserve"> (Hu et al. [10])</w:t>
            </w:r>
          </w:p>
        </w:tc>
        <w:tc>
          <w:tcPr>
            <w:tcW w:w="1170" w:type="dxa"/>
            <w:shd w:val="clear" w:color="auto" w:fill="FFFFFF"/>
            <w:tcMar>
              <w:top w:w="100" w:type="dxa"/>
              <w:left w:w="130" w:type="dxa"/>
              <w:bottom w:w="100" w:type="dxa"/>
              <w:right w:w="130" w:type="dxa"/>
            </w:tcMar>
          </w:tcPr>
          <w:p w14:paraId="4F838069">
            <w:pPr>
              <w:spacing w:before="40" w:after="40"/>
              <w:jc w:val="center"/>
            </w:pPr>
            <w:r>
              <w:rPr>
                <w:rFonts w:ascii="Times New Roman" w:hAnsi="Times New Roman"/>
                <w:sz w:val="18"/>
              </w:rPr>
              <w:t>2025</w:t>
            </w:r>
          </w:p>
        </w:tc>
        <w:tc>
          <w:tcPr>
            <w:tcW w:w="1170" w:type="dxa"/>
            <w:shd w:val="clear" w:color="auto" w:fill="FFFFFF"/>
            <w:tcMar>
              <w:top w:w="100" w:type="dxa"/>
              <w:left w:w="130" w:type="dxa"/>
              <w:bottom w:w="100" w:type="dxa"/>
              <w:right w:w="130" w:type="dxa"/>
            </w:tcMar>
          </w:tcPr>
          <w:p w14:paraId="2D0D3113">
            <w:pPr>
              <w:spacing w:before="40" w:after="40"/>
              <w:jc w:val="center"/>
            </w:pPr>
            <w:r>
              <w:rPr>
                <w:rFonts w:ascii="Times New Roman" w:hAnsi="Times New Roman"/>
                <w:sz w:val="18"/>
              </w:rPr>
              <w:t>General Docs</w:t>
            </w:r>
          </w:p>
        </w:tc>
        <w:tc>
          <w:tcPr>
            <w:tcW w:w="1170" w:type="dxa"/>
            <w:shd w:val="clear" w:color="auto" w:fill="FFFFFF"/>
            <w:tcMar>
              <w:top w:w="100" w:type="dxa"/>
              <w:left w:w="130" w:type="dxa"/>
              <w:bottom w:w="100" w:type="dxa"/>
              <w:right w:w="130" w:type="dxa"/>
            </w:tcMar>
          </w:tcPr>
          <w:p w14:paraId="16AFBF28">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0AEC86A2">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7A94984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00EEDA1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65B43B4">
            <w:pPr>
              <w:spacing w:before="40" w:after="40"/>
              <w:jc w:val="center"/>
            </w:pPr>
            <w:r>
              <w:rPr>
                <w:rFonts w:ascii="Times New Roman" w:hAnsi="Times New Roman"/>
                <w:sz w:val="18"/>
              </w:rPr>
              <w:t>No</w:t>
            </w:r>
          </w:p>
        </w:tc>
      </w:tr>
      <w:tr w14:paraId="16F5DC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F09198A">
            <w:pPr>
              <w:spacing w:before="40" w:after="40"/>
              <w:jc w:val="left"/>
            </w:pPr>
            <w:r>
              <w:rPr>
                <w:rFonts w:ascii="Times New Roman" w:hAnsi="Times New Roman"/>
                <w:b/>
                <w:sz w:val="18"/>
              </w:rPr>
              <w:t>Qwen2-VL</w:t>
            </w:r>
            <w:r>
              <w:rPr>
                <w:rFonts w:ascii="Times New Roman" w:hAnsi="Times New Roman"/>
                <w:sz w:val="18"/>
              </w:rPr>
              <w:t xml:space="preserve"> (Wang et al. [11])</w:t>
            </w:r>
          </w:p>
        </w:tc>
        <w:tc>
          <w:tcPr>
            <w:tcW w:w="1170" w:type="dxa"/>
            <w:shd w:val="clear" w:color="auto" w:fill="F8F9FA"/>
            <w:tcMar>
              <w:top w:w="100" w:type="dxa"/>
              <w:left w:w="130" w:type="dxa"/>
              <w:bottom w:w="100" w:type="dxa"/>
              <w:right w:w="130" w:type="dxa"/>
            </w:tcMar>
          </w:tcPr>
          <w:p w14:paraId="23737B6F">
            <w:pPr>
              <w:spacing w:before="40" w:after="40"/>
              <w:jc w:val="center"/>
            </w:pPr>
            <w:r>
              <w:rPr>
                <w:rFonts w:ascii="Times New Roman" w:hAnsi="Times New Roman"/>
                <w:sz w:val="18"/>
              </w:rPr>
              <w:t>2025</w:t>
            </w:r>
          </w:p>
        </w:tc>
        <w:tc>
          <w:tcPr>
            <w:tcW w:w="1170" w:type="dxa"/>
            <w:shd w:val="clear" w:color="auto" w:fill="F8F9FA"/>
            <w:tcMar>
              <w:top w:w="100" w:type="dxa"/>
              <w:left w:w="130" w:type="dxa"/>
              <w:bottom w:w="100" w:type="dxa"/>
              <w:right w:w="130" w:type="dxa"/>
            </w:tcMar>
          </w:tcPr>
          <w:p w14:paraId="76CAA679">
            <w:pPr>
              <w:spacing w:before="40" w:after="40"/>
              <w:jc w:val="center"/>
            </w:pPr>
            <w:r>
              <w:rPr>
                <w:rFonts w:ascii="Times New Roman" w:hAnsi="Times New Roman"/>
                <w:sz w:val="18"/>
              </w:rPr>
              <w:t>Multimodal Pages</w:t>
            </w:r>
          </w:p>
        </w:tc>
        <w:tc>
          <w:tcPr>
            <w:tcW w:w="1170" w:type="dxa"/>
            <w:shd w:val="clear" w:color="auto" w:fill="F8F9FA"/>
            <w:tcMar>
              <w:top w:w="100" w:type="dxa"/>
              <w:left w:w="130" w:type="dxa"/>
              <w:bottom w:w="100" w:type="dxa"/>
              <w:right w:w="130" w:type="dxa"/>
            </w:tcMar>
          </w:tcPr>
          <w:p w14:paraId="3E5B42C0">
            <w:pPr>
              <w:spacing w:before="40" w:after="40"/>
              <w:jc w:val="center"/>
            </w:pPr>
            <w:r>
              <w:rPr>
                <w:rFonts w:ascii="Times New Roman" w:hAnsi="Times New Roman"/>
                <w:sz w:val="18"/>
              </w:rPr>
              <w:t>Mixed</w:t>
            </w:r>
          </w:p>
        </w:tc>
        <w:tc>
          <w:tcPr>
            <w:tcW w:w="1170" w:type="dxa"/>
            <w:shd w:val="clear" w:color="auto" w:fill="F8F9FA"/>
            <w:tcMar>
              <w:top w:w="100" w:type="dxa"/>
              <w:left w:w="130" w:type="dxa"/>
              <w:bottom w:w="100" w:type="dxa"/>
              <w:right w:w="130" w:type="dxa"/>
            </w:tcMar>
          </w:tcPr>
          <w:p w14:paraId="529D5E64">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30AAB61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74CC888">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68EF129">
            <w:pPr>
              <w:spacing w:before="40" w:after="40"/>
              <w:jc w:val="center"/>
            </w:pPr>
            <w:r>
              <w:rPr>
                <w:rFonts w:ascii="Times New Roman" w:hAnsi="Times New Roman"/>
                <w:sz w:val="18"/>
              </w:rPr>
              <w:t>No</w:t>
            </w:r>
          </w:p>
        </w:tc>
      </w:tr>
      <w:tr w14:paraId="400CAF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103AC47">
            <w:pPr>
              <w:spacing w:before="40" w:after="40"/>
              <w:jc w:val="left"/>
            </w:pPr>
            <w:r>
              <w:rPr>
                <w:rFonts w:ascii="Times New Roman" w:hAnsi="Times New Roman"/>
                <w:b/>
                <w:sz w:val="18"/>
              </w:rPr>
              <w:t>DocFormers 2.0</w:t>
            </w:r>
            <w:r>
              <w:rPr>
                <w:rFonts w:ascii="Times New Roman" w:hAnsi="Times New Roman"/>
                <w:sz w:val="18"/>
              </w:rPr>
              <w:t xml:space="preserve"> (Zhao et al. [32])</w:t>
            </w:r>
          </w:p>
        </w:tc>
        <w:tc>
          <w:tcPr>
            <w:tcW w:w="1170" w:type="dxa"/>
            <w:shd w:val="clear" w:color="auto" w:fill="FFFFFF"/>
            <w:tcMar>
              <w:top w:w="100" w:type="dxa"/>
              <w:left w:w="130" w:type="dxa"/>
              <w:bottom w:w="100" w:type="dxa"/>
              <w:right w:w="130" w:type="dxa"/>
            </w:tcMar>
          </w:tcPr>
          <w:p w14:paraId="660E85BA">
            <w:pPr>
              <w:spacing w:before="40" w:after="40"/>
              <w:jc w:val="center"/>
            </w:pPr>
            <w:r>
              <w:rPr>
                <w:rFonts w:ascii="Times New Roman" w:hAnsi="Times New Roman"/>
                <w:sz w:val="18"/>
              </w:rPr>
              <w:t>2026</w:t>
            </w:r>
          </w:p>
        </w:tc>
        <w:tc>
          <w:tcPr>
            <w:tcW w:w="1170" w:type="dxa"/>
            <w:shd w:val="clear" w:color="auto" w:fill="FFFFFF"/>
            <w:tcMar>
              <w:top w:w="100" w:type="dxa"/>
              <w:left w:w="130" w:type="dxa"/>
              <w:bottom w:w="100" w:type="dxa"/>
              <w:right w:w="130" w:type="dxa"/>
            </w:tcMar>
          </w:tcPr>
          <w:p w14:paraId="7F36E26F">
            <w:pPr>
              <w:spacing w:before="40" w:after="40"/>
              <w:jc w:val="center"/>
            </w:pPr>
            <w:r>
              <w:rPr>
                <w:rFonts w:ascii="Times New Roman" w:hAnsi="Times New Roman"/>
                <w:sz w:val="18"/>
              </w:rPr>
              <w:t>Multimodal Pages</w:t>
            </w:r>
          </w:p>
        </w:tc>
        <w:tc>
          <w:tcPr>
            <w:tcW w:w="1170" w:type="dxa"/>
            <w:shd w:val="clear" w:color="auto" w:fill="FFFFFF"/>
            <w:tcMar>
              <w:top w:w="100" w:type="dxa"/>
              <w:left w:w="130" w:type="dxa"/>
              <w:bottom w:w="100" w:type="dxa"/>
              <w:right w:w="130" w:type="dxa"/>
            </w:tcMar>
          </w:tcPr>
          <w:p w14:paraId="2DB59D53">
            <w:pPr>
              <w:spacing w:before="40" w:after="40"/>
              <w:jc w:val="center"/>
            </w:pPr>
            <w:r>
              <w:rPr>
                <w:rFonts w:ascii="Times New Roman" w:hAnsi="Times New Roman"/>
                <w:sz w:val="18"/>
              </w:rPr>
              <w:t>Synthetic/Natural</w:t>
            </w:r>
          </w:p>
        </w:tc>
        <w:tc>
          <w:tcPr>
            <w:tcW w:w="1170" w:type="dxa"/>
            <w:shd w:val="clear" w:color="auto" w:fill="FFFFFF"/>
            <w:tcMar>
              <w:top w:w="100" w:type="dxa"/>
              <w:left w:w="130" w:type="dxa"/>
              <w:bottom w:w="100" w:type="dxa"/>
              <w:right w:w="130" w:type="dxa"/>
            </w:tcMar>
          </w:tcPr>
          <w:p w14:paraId="21426763">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58130C59">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ABD5D7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B88C695">
            <w:pPr>
              <w:spacing w:before="40" w:after="40"/>
              <w:jc w:val="center"/>
            </w:pPr>
            <w:r>
              <w:rPr>
                <w:rFonts w:ascii="Times New Roman" w:hAnsi="Times New Roman"/>
                <w:sz w:val="18"/>
              </w:rPr>
              <w:t>No</w:t>
            </w:r>
          </w:p>
        </w:tc>
      </w:tr>
      <w:tr w14:paraId="562D40E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ECE5893">
            <w:pPr>
              <w:spacing w:before="40" w:after="40"/>
              <w:jc w:val="left"/>
            </w:pPr>
            <w:r>
              <w:rPr>
                <w:rFonts w:ascii="Times New Roman" w:hAnsi="Times New Roman"/>
                <w:b/>
                <w:sz w:val="18"/>
              </w:rPr>
              <w:t>ADBG v1.0 / AU DIC (Ours)</w:t>
            </w:r>
          </w:p>
        </w:tc>
        <w:tc>
          <w:tcPr>
            <w:tcW w:w="1170" w:type="dxa"/>
            <w:shd w:val="clear" w:color="auto" w:fill="F8F9FA"/>
            <w:tcMar>
              <w:top w:w="100" w:type="dxa"/>
              <w:left w:w="130" w:type="dxa"/>
              <w:bottom w:w="100" w:type="dxa"/>
              <w:right w:w="130" w:type="dxa"/>
            </w:tcMar>
          </w:tcPr>
          <w:p w14:paraId="2AB809F4">
            <w:pPr>
              <w:spacing w:before="40" w:after="40"/>
              <w:jc w:val="center"/>
            </w:pPr>
            <w:r>
              <w:rPr>
                <w:rFonts w:ascii="Times New Roman" w:hAnsi="Times New Roman"/>
                <w:b/>
                <w:sz w:val="18"/>
              </w:rPr>
              <w:t>2026</w:t>
            </w:r>
          </w:p>
        </w:tc>
        <w:tc>
          <w:tcPr>
            <w:tcW w:w="1170" w:type="dxa"/>
            <w:shd w:val="clear" w:color="auto" w:fill="F8F9FA"/>
            <w:tcMar>
              <w:top w:w="100" w:type="dxa"/>
              <w:left w:w="130" w:type="dxa"/>
              <w:bottom w:w="100" w:type="dxa"/>
              <w:right w:w="130" w:type="dxa"/>
            </w:tcMar>
          </w:tcPr>
          <w:p w14:paraId="692903A2">
            <w:pPr>
              <w:spacing w:before="40" w:after="40"/>
              <w:jc w:val="center"/>
            </w:pPr>
            <w:r>
              <w:rPr>
                <w:rFonts w:ascii="Times New Roman" w:hAnsi="Times New Roman"/>
                <w:b/>
                <w:sz w:val="18"/>
              </w:rPr>
              <w:t>Academic Credentials</w:t>
            </w:r>
          </w:p>
        </w:tc>
        <w:tc>
          <w:tcPr>
            <w:tcW w:w="1170" w:type="dxa"/>
            <w:shd w:val="clear" w:color="auto" w:fill="F8F9FA"/>
            <w:tcMar>
              <w:top w:w="100" w:type="dxa"/>
              <w:left w:w="130" w:type="dxa"/>
              <w:bottom w:w="100" w:type="dxa"/>
              <w:right w:w="130" w:type="dxa"/>
            </w:tcMar>
          </w:tcPr>
          <w:p w14:paraId="2DCDA38D">
            <w:pPr>
              <w:spacing w:before="40" w:after="40"/>
              <w:jc w:val="center"/>
            </w:pPr>
            <w:r>
              <w:rPr>
                <w:rFonts w:ascii="Times New Roman" w:hAnsi="Times New Roman"/>
                <w:b/>
                <w:sz w:val="18"/>
              </w:rPr>
              <w:t>Yes (100% Synthetic)</w:t>
            </w:r>
          </w:p>
        </w:tc>
        <w:tc>
          <w:tcPr>
            <w:tcW w:w="1170" w:type="dxa"/>
            <w:shd w:val="clear" w:color="auto" w:fill="F8F9FA"/>
            <w:tcMar>
              <w:top w:w="100" w:type="dxa"/>
              <w:left w:w="130" w:type="dxa"/>
              <w:bottom w:w="100" w:type="dxa"/>
              <w:right w:w="130" w:type="dxa"/>
            </w:tcMar>
          </w:tcPr>
          <w:p w14:paraId="51987CF1">
            <w:pPr>
              <w:spacing w:before="40" w:after="40"/>
              <w:jc w:val="center"/>
            </w:pPr>
            <w:r>
              <w:rPr>
                <w:rFonts w:ascii="Times New Roman" w:hAnsi="Times New Roman"/>
                <w:b/>
                <w:sz w:val="18"/>
              </w:rPr>
              <w:t>Yes (Semester Arrays)</w:t>
            </w:r>
          </w:p>
        </w:tc>
        <w:tc>
          <w:tcPr>
            <w:tcW w:w="1170" w:type="dxa"/>
            <w:shd w:val="clear" w:color="auto" w:fill="F8F9FA"/>
            <w:tcMar>
              <w:top w:w="100" w:type="dxa"/>
              <w:left w:w="130" w:type="dxa"/>
              <w:bottom w:w="100" w:type="dxa"/>
              <w:right w:w="130" w:type="dxa"/>
            </w:tcMar>
          </w:tcPr>
          <w:p w14:paraId="08759BC4">
            <w:pPr>
              <w:spacing w:before="40" w:after="40"/>
              <w:jc w:val="center"/>
            </w:pPr>
            <w:r>
              <w:rPr>
                <w:rFonts w:ascii="Times New Roman" w:hAnsi="Times New Roman"/>
                <w:b/>
                <w:sz w:val="18"/>
              </w:rPr>
              <w:t>Yes (4 Profiles)</w:t>
            </w:r>
          </w:p>
        </w:tc>
        <w:tc>
          <w:tcPr>
            <w:tcW w:w="1170" w:type="dxa"/>
            <w:shd w:val="clear" w:color="auto" w:fill="F8F9FA"/>
            <w:tcMar>
              <w:top w:w="100" w:type="dxa"/>
              <w:left w:w="130" w:type="dxa"/>
              <w:bottom w:w="100" w:type="dxa"/>
              <w:right w:w="130" w:type="dxa"/>
            </w:tcMar>
          </w:tcPr>
          <w:p w14:paraId="47FB331D">
            <w:pPr>
              <w:spacing w:before="40" w:after="40"/>
              <w:jc w:val="center"/>
            </w:pPr>
            <w:r>
              <w:rPr>
                <w:rFonts w:ascii="Times New Roman" w:hAnsi="Times New Roman"/>
                <w:b/>
                <w:sz w:val="18"/>
              </w:rPr>
              <w:t>Yes (6 Stages)</w:t>
            </w:r>
          </w:p>
        </w:tc>
        <w:tc>
          <w:tcPr>
            <w:tcW w:w="1170" w:type="dxa"/>
            <w:shd w:val="clear" w:color="auto" w:fill="F8F9FA"/>
            <w:tcMar>
              <w:top w:w="100" w:type="dxa"/>
              <w:left w:w="130" w:type="dxa"/>
              <w:bottom w:w="100" w:type="dxa"/>
              <w:right w:w="130" w:type="dxa"/>
            </w:tcMar>
          </w:tcPr>
          <w:p w14:paraId="633C70F9">
            <w:pPr>
              <w:spacing w:before="40" w:after="40"/>
              <w:jc w:val="center"/>
            </w:pPr>
            <w:r>
              <w:rPr>
                <w:rFonts w:ascii="Times New Roman" w:hAnsi="Times New Roman"/>
                <w:b/>
                <w:sz w:val="18"/>
              </w:rPr>
              <w:t>Yes (Certificates/Mark-sheets)</w:t>
            </w:r>
          </w:p>
        </w:tc>
      </w:tr>
    </w:tbl>
    <w:p w14:paraId="151491A5">
      <w:pPr>
        <w:keepNext/>
        <w:spacing w:before="200" w:after="80"/>
        <w:jc w:val="both"/>
        <w:outlineLvl w:val="1"/>
      </w:pPr>
      <w:r>
        <w:rPr>
          <w:rFonts w:ascii="Times New Roman" w:hAnsi="Times New Roman"/>
          <w:b/>
          <w:color w:val="333333"/>
          <w:sz w:val="23"/>
        </w:rPr>
        <w:t>2.6 Summary of Research Gap &amp; Methodological Motivation</w:t>
      </w:r>
    </w:p>
    <w:p w14:paraId="6C1839F2">
      <w:pPr>
        <w:spacing w:before="40" w:after="80" w:line="276" w:lineRule="auto"/>
        <w:jc w:val="both"/>
      </w:pPr>
      <w:r>
        <w:rPr>
          <w:rFonts w:ascii="Times New Roman" w:hAnsi="Times New Roman"/>
          <w:sz w:val="20"/>
        </w:rPr>
        <w:t>Despite rapid advancements in multimodal 2025–2026 Document AI architectures [9]–[15], [32]–[34], four fundamental methodological gaps persist in academic credential evaluation:</w:t>
      </w:r>
    </w:p>
    <w:p w14:paraId="289CF4DF">
      <w:pPr>
        <w:spacing w:before="20" w:after="40"/>
        <w:ind w:left="360"/>
        <w:jc w:val="both"/>
        <w:outlineLvl w:val="0"/>
      </w:pPr>
      <w:r>
        <w:rPr>
          <w:rFonts w:ascii="Times New Roman" w:hAnsi="Times New Roman"/>
          <w:b/>
          <w:sz w:val="20"/>
        </w:rPr>
        <w:t>1. Absence of Public Academic Datasets</w:t>
      </w:r>
      <w:r>
        <w:rPr>
          <w:rFonts w:ascii="Times New Roman" w:hAnsi="Times New Roman"/>
          <w:sz w:val="20"/>
        </w:rPr>
        <w:t>: Statutory privacy regulations (FERPA, GDPR) prevent public distribution of authentic student records [28], [35].</w:t>
      </w:r>
    </w:p>
    <w:p w14:paraId="63570A9B">
      <w:pPr>
        <w:spacing w:before="20" w:after="40"/>
        <w:ind w:left="360"/>
        <w:jc w:val="both"/>
        <w:outlineLvl w:val="0"/>
      </w:pPr>
      <w:r>
        <w:rPr>
          <w:rFonts w:ascii="Times New Roman" w:hAnsi="Times New Roman"/>
          <w:b/>
          <w:sz w:val="20"/>
        </w:rPr>
        <w:t>2. Lack of Controlled Degradation Matrices</w:t>
      </w:r>
      <w:r>
        <w:rPr>
          <w:rFonts w:ascii="Times New Roman" w:hAnsi="Times New Roman"/>
          <w:sz w:val="20"/>
        </w:rPr>
        <w:t>: Robustness across scanner copy aging, mobile camera skew, and orientation rotation is rarely quantified [27], [30], [33].</w:t>
      </w:r>
    </w:p>
    <w:p w14:paraId="2F134691">
      <w:pPr>
        <w:spacing w:before="20" w:after="40"/>
        <w:ind w:left="360"/>
        <w:jc w:val="both"/>
        <w:outlineLvl w:val="0"/>
      </w:pPr>
      <w:r>
        <w:rPr>
          <w:rFonts w:ascii="Times New Roman" w:hAnsi="Times New Roman"/>
          <w:b/>
          <w:sz w:val="20"/>
        </w:rPr>
        <w:t>3. Metric Distortion from Formatting Variations</w:t>
      </w:r>
      <w:r>
        <w:rPr>
          <w:rFonts w:ascii="Times New Roman" w:hAnsi="Times New Roman"/>
          <w:sz w:val="20"/>
        </w:rPr>
        <w:t>: Unnormalized string matching penalizes benign representation differences (e.g., date syntax, institutional aliases), distorting true extraction accuracy [25], [36].</w:t>
      </w:r>
    </w:p>
    <w:p w14:paraId="52B336A4">
      <w:pPr>
        <w:spacing w:before="20" w:after="40"/>
        <w:ind w:left="360"/>
        <w:jc w:val="both"/>
        <w:outlineLvl w:val="0"/>
      </w:pPr>
      <w:r>
        <w:rPr>
          <w:rFonts w:ascii="Times New Roman" w:hAnsi="Times New Roman"/>
          <w:b/>
          <w:sz w:val="20"/>
        </w:rPr>
        <w:t>4. Absence of Structured Error Taxonomies</w:t>
      </w:r>
      <w:r>
        <w:rPr>
          <w:rFonts w:ascii="Times New Roman" w:hAnsi="Times New Roman"/>
          <w:sz w:val="20"/>
        </w:rPr>
        <w:t>: Scalar metrics (CER, WER) fail to categorize specific diagnostic error causes [28], [37].</w:t>
      </w:r>
    </w:p>
    <w:p w14:paraId="35BA324B">
      <w:pPr>
        <w:spacing w:before="40" w:after="80" w:line="276" w:lineRule="auto"/>
        <w:jc w:val="both"/>
      </w:pPr>
      <w:r>
        <w:rPr>
          <w:rFonts w:ascii="Times New Roman" w:hAnsi="Times New Roman"/>
          <w:sz w:val="20"/>
        </w:rPr>
        <w:t>These gaps directly motivate the integrated benchmarking methodology established in this work [26], [31].</w:t>
      </w:r>
    </w:p>
    <w:p w14:paraId="5DED24D5">
      <w:pPr>
        <w:keepNext/>
        <w:spacing w:before="280" w:after="120"/>
        <w:jc w:val="both"/>
        <w:outlineLvl w:val="0"/>
      </w:pPr>
      <w:r>
        <w:rPr>
          <w:rFonts w:ascii="Times New Roman" w:hAnsi="Times New Roman"/>
          <w:b/>
          <w:color w:val="003366"/>
          <w:sz w:val="26"/>
        </w:rPr>
        <w:t>3. Proposed Methodology</w:t>
      </w:r>
    </w:p>
    <w:p w14:paraId="71989CA7">
      <w:pPr>
        <w:keepNext/>
        <w:spacing w:before="200" w:after="80"/>
        <w:jc w:val="both"/>
        <w:outlineLvl w:val="1"/>
      </w:pPr>
      <w:r>
        <w:rPr>
          <w:rFonts w:ascii="Times New Roman" w:hAnsi="Times New Roman"/>
          <w:b/>
          <w:color w:val="333333"/>
          <w:sz w:val="23"/>
        </w:rPr>
        <w:t>3.1 Overall Framework Architecture</w:t>
      </w:r>
    </w:p>
    <w:p w14:paraId="3D8AAFB3">
      <w:pPr>
        <w:spacing w:before="40" w:after="80" w:line="276" w:lineRule="auto"/>
        <w:jc w:val="both"/>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[26] and the </w:t>
      </w:r>
      <w:r>
        <w:rPr>
          <w:rFonts w:ascii="Times New Roman" w:hAnsi="Times New Roman"/>
          <w:b/>
          <w:sz w:val="20"/>
        </w:rPr>
        <w:t>AU DIC Benchmark Subsystem</w:t>
      </w:r>
      <w:r>
        <w:rPr>
          <w:rFonts w:ascii="Times New Roman" w:hAnsi="Times New Roman"/>
          <w:sz w:val="20"/>
        </w:rPr>
        <w:t xml:space="preserve"> (read-only evaluation framework) [31].</w:t>
      </w:r>
    </w:p>
    <w:p w14:paraId="46BD7935">
      <w:pPr>
        <w:spacing w:before="160" w:after="80" w:line="240" w:lineRule="atLeast"/>
        <w:jc w:val="center"/>
      </w:pPr>
      <w:r>
        <w: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r:embed="rId7"/>
                    <ns5:stretch>
                      <ns5:fillRect/>
                    </ns5:stretch>
                  </ns6:blipFill>
                  <ns6:spPr>
                    <ns5:xfrm>
                      <ns5:off x="0" y="0"/>
                      <ns5:ext cx="5943600" cy="2476500"/>
                    </ns5:xfrm>
                    <ns5:prstGeom prst="rect">
                      <ns5:avLst/>
                    </ns5:prstGeom>
                  </ns6:spPr>
                </ns6:pic>
              </ns5:graphicData>
            </ns5:graphic>
          </ns4:inline>
        </w:drawing>
      </w:r>
    </w:p>
    <w:p w14:paraId="65A815D6">
      <w:pPr>
        <w:spacing w:after="160"/>
        <w:jc w:val="center"/>
      </w:pPr>
      <w:r>
        <w:rPr>
          <w:rFonts w:ascii="Times New Roman" w:hAnsi="Times New Roman"/>
          <w:b/>
          <w:color w:val="003366"/>
          <w:sz w:val="19"/>
        </w:rPr>
        <w:t>Fig. 1. Decoupled System Architecture of the ADBG Synthetic Generation and AU DIC Evaluation Subsystems.</w:t>
      </w:r>
    </w:p>
    <w:p w14:paraId="03EFF269">
      <w:pPr>
        <w:spacing w:before="40" w:after="80" w:line="276" w:lineRule="auto"/>
        <w:jc w:val="both"/>
      </w:pPr>
      <w:r>
        <w:rPr>
          <w:rFonts w:ascii="Times New Roman" w:hAnsi="Times New Roman"/>
          <w:sz w:val="20"/>
        </w:rPr>
        <w: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w:t>
      </w:r>
    </w:p>
    <w:p w14:paraId="60CDBD63">
      <w:pPr>
        <w:spacing w:before="160" w:after="80" w:line="240" w:lineRule="atLeast"/>
        <w:jc w:val="center"/>
      </w:pPr>
      <w:r>
        <w: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r:embed="rId8"/>
                    <ns5:stretch>
                      <ns5:fillRect/>
                    </ns5:stretch>
                  </ns6:blipFill>
                  <ns6:spPr>
                    <ns5:xfrm>
                      <ns5:off x="0" y="0"/>
                      <ns5:ext cx="1950000" cy="5400000"/>
                    </ns5:xfrm>
                    <ns5:prstGeom prst="rect">
                      <ns5:avLst/>
                    </ns5:prstGeom>
                  </ns6:spPr>
                </ns6:pic>
              </ns5:graphicData>
            </ns5:graphic>
          </ns4:inline>
        </w:drawing>
      </w:r>
    </w:p>
    <w:p w14:paraId="1B80C515">
      <w:pPr>
        <w:spacing w:after="160"/>
        <w:jc w:val="center"/>
      </w:pPr>
      <w:r>
        <w:rPr>
          <w:rFonts w:ascii="Times New Roman" w:hAnsi="Times New Roman"/>
          <w:b/>
          <w:color w:val="003366"/>
          <w:sz w:val="19"/>
        </w:rPr>
        <w:t>Fig. 2. End-to-End Methodological Workflow of the Proposed AU DIC Benchmark Evaluation Framework.</w:t>
      </w:r>
    </w:p>
    <w:p w14:paraId="3F06BF17">
      <w:pPr>
        <w:keepNext/>
        <w:spacing w:before="200" w:after="80"/>
        <w:jc w:val="both"/>
        <w:outlineLvl w:val="1"/>
      </w:pPr>
      <w:r>
        <w:rPr>
          <w:rFonts w:ascii="Times New Roman" w:hAnsi="Times New Roman"/>
          <w:b/>
          <w:color w:val="333333"/>
          <w:sz w:val="23"/>
        </w:rPr>
        <w:t>3.2 ADBG Synthetic Benchmark Generation</w:t>
      </w:r>
    </w:p>
    <w:p w14:paraId="383AC2B0">
      <w:pPr>
        <w:keepNext/>
        <w:spacing w:before="160" w:after="40"/>
        <w:jc w:val="both"/>
        <w:outlineLvl w:val="1"/>
      </w:pPr>
      <w:r>
        <w:rPr>
          <w:rFonts w:ascii="Times New Roman" w:hAnsi="Times New Roman"/>
          <w:b/>
          <w:i/>
          <w:sz w:val="21"/>
        </w:rPr>
        <w:t>3.2.1 Seed-Deterministic Profile Generation</w:t>
      </w:r>
    </w:p>
    <w:p w14:paraId="3DE06DD2">
      <w:pPr>
        <w:spacing w:before="40" w:after="80" w:line="276" w:lineRule="auto"/>
        <w:jc w:val="both"/>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 [26]:</w:t>
      </w:r>
    </w:p>
    <w:p w14:paraId="3C59182E">
      <w:pPr>
        <w:keepNext/>
        <w:spacing w:before="160" w:after="40"/>
        <w:jc w:val="both"/>
        <w:outlineLvl w:val="1"/>
      </w:pPr>
      <w:r>
        <w:rPr>
          <w:rFonts w:ascii="Times New Roman" w:hAnsi="Times New Roman"/>
          <w:b/>
          <w:i/>
          <w:sz w:val="21"/>
        </w:rPr>
        <w:t>3.2.2 Template Compilation Engine</w:t>
      </w:r>
    </w:p>
    <w:p w14:paraId="66057628">
      <w:pPr>
        <w:spacing w:before="40" w:after="80" w:line="276" w:lineRule="auto"/>
        <w:jc w:val="both"/>
      </w:pPr>
      <w:r>
        <w:rPr>
          <w:rFonts w:ascii="Times New Roman" w:hAnsi="Times New Roman"/>
          <w:sz w:val="20"/>
        </w:rPr>
        <w:t>The generator utilizes a Typst vector compilation backend (TypstCompilerAdapter) [29] to render high-resolution academic documents. Three primary document categories are supported:</w:t>
      </w:r>
    </w:p>
    <w:p w14:paraId="684A91F9">
      <w:pPr>
        <w:spacing w:before="20" w:after="40"/>
        <w:ind w:left="360"/>
        <w:jc w:val="both"/>
        <w:outlineLvl w:val="0"/>
      </w:pPr>
      <w:r>
        <w:rPr>
          <w:rFonts w:ascii="Times New Roman" w:hAnsi="Times New Roman"/>
          <w:b/>
          <w:sz w:val="20"/>
        </w:rPr>
        <w:t>1. Academic Certificates</w:t>
      </w:r>
      <w:r>
        <w:rPr>
          <w:rFonts w:ascii="Times New Roman" w:hAnsi="Times New Roman"/>
          <w:sz w:val="20"/>
        </w:rPr>
        <w:t>: Degree awards, honor certificates, and course completion diplomas.</w:t>
      </w:r>
    </w:p>
    <w:p w14:paraId="480C1CF1">
      <w:pPr>
        <w:spacing w:before="20" w:after="40"/>
        <w:ind w:left="360"/>
        <w:jc w:val="both"/>
        <w:outlineLvl w:val="0"/>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 [29].</w:t>
      </w:r>
    </w:p>
    <w:p w14:paraId="024B2AD0">
      <w:pPr>
        <w:spacing w:before="20" w:after="40"/>
        <w:ind w:left="360"/>
        <w:jc w:val="both"/>
        <w:outlineLvl w:val="0"/>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0CC5B1A8">
      <w:pPr>
        <w:keepNext/>
        <w:spacing w:before="160" w:after="40"/>
        <w:jc w:val="both"/>
        <w:outlineLvl w:val="1"/>
      </w:pPr>
      <w:r>
        <w:rPr>
          <w:rFonts w:ascii="Times New Roman" w:hAnsi="Times New Roman"/>
          <w:b/>
          <w:i/>
          <w:sz w:val="21"/>
        </w:rPr>
        <w:t>3.2.3 Optical Degradation Pipeline</w:t>
      </w:r>
    </w:p>
    <w:p w14:paraId="124A208C">
      <w:pPr>
        <w:spacing w:before="40" w:after="80" w:line="276" w:lineRule="auto"/>
        <w:jc w:val="both"/>
      </w:pPr>
      <w:r>
        <w:rPr>
          <w:rFonts w:ascii="Times New Roman" w:hAnsi="Times New Roman"/>
          <w:sz w:val="20"/>
        </w:rPr>
        <w:t>To simulate physical document scanner aging, mobile camera capture distortion, and orientation misalignment, ADBG v1.0 applies a sequence of 14 physical optical transformation operators [27]:</w:t>
      </w:r>
    </w:p>
    <w:p w14:paraId="6CEDD625">
      <w:pPr>
        <w:spacing w:before="40" w:after="80" w:line="276" w:lineRule="auto"/>
        <w:jc w:val="both"/>
      </w:pPr>
      <w:r>
        <w:rPr>
          <w:rFonts w:ascii="Times New Roman" w:hAnsi="Times New Roman"/>
          <w:sz w:val="20"/>
        </w:rPr>
        <w:t>Four standard quality profiles are instantiated in AU_DIC_Benchmark_v1.0:</w:t>
      </w:r>
    </w:p>
    <w:p w14:paraId="3ECCCEA6">
      <w:pPr>
        <w:pStyle w:val="23"/>
        <w:spacing w:before="20" w:after="40"/>
        <w:jc w:val="both"/>
      </w:pPr>
      <w:r>
        <w:rPr>
          <w:rFonts w:ascii="Times New Roman" w:hAnsi="Times New Roman"/>
          <w:b/>
          <w:sz w:val="20"/>
        </w:rPr>
        <w:t>clean</w:t>
      </w:r>
      <w:r>
        <w:rPr>
          <w:rFonts w:ascii="Times New Roman" w:hAnsi="Times New Roman"/>
          <w:sz w:val="20"/>
        </w:rPr>
        <w:t>: Pristine vector-rendered digital PDF exports (0% degradation).</w:t>
      </w:r>
    </w:p>
    <w:p w14:paraId="54932447">
      <w:pPr>
        <w:pStyle w:val="23"/>
        <w:spacing w:before="20" w:after="40"/>
        <w:jc w:val="both"/>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66318A88">
      <w:pPr>
        <w:pStyle w:val="23"/>
        <w:spacing w:before="20" w:after="40"/>
        <w:jc w:val="both"/>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4E641D39">
      <w:pPr>
        <w:pStyle w:val="23"/>
        <w:spacing w:before="20" w:after="40"/>
        <w:jc w:val="both"/>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4696E7C1">
      <w:pPr>
        <w:keepNext/>
        <w:spacing w:before="200" w:after="80"/>
        <w:jc w:val="both"/>
        <w:outlineLvl w:val="1"/>
      </w:pPr>
      <w:r>
        <w:rPr>
          <w:rFonts w:ascii="Times New Roman" w:hAnsi="Times New Roman"/>
          <w:b/>
          <w:color w:val="333333"/>
          <w:sz w:val="23"/>
        </w:rPr>
        <w:t>3.3 AU DIC Evaluation Framework Subsystem</w:t>
      </w:r>
    </w:p>
    <w:p w14:paraId="18E10F61">
      <w:pPr>
        <w:spacing w:before="40" w:after="80" w:line="276" w:lineRule="auto"/>
        <w:jc w:val="both"/>
      </w:pPr>
      <w:r>
        <w:rPr>
          <w:rFonts w:ascii="Times New Roman" w:hAnsi="Times New Roman"/>
          <w:sz w:val="20"/>
        </w:rPr>
        <w: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w:t>
      </w:r>
    </w:p>
    <w:p w14:paraId="1AE13932">
      <w:pPr>
        <w:keepNext/>
        <w:spacing w:before="200" w:after="80"/>
        <w:jc w:val="both"/>
        <w:outlineLvl w:val="1"/>
      </w:pPr>
      <w:r>
        <w:rPr>
          <w:rFonts w:ascii="Times New Roman" w:hAnsi="Times New Roman"/>
          <w:b/>
          <w:color w:val="333333"/>
          <w:sz w:val="23"/>
        </w:rPr>
        <w:t>3.4 Six-Stage Semantic Canonical Normalization Layer</w:t>
      </w:r>
    </w:p>
    <w:p w14:paraId="7A562799">
      <w:pPr>
        <w:spacing w:before="40" w:after="80" w:line="276" w:lineRule="auto"/>
        <w:jc w:val="both"/>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w:t>
      </w:r>
    </w:p>
    <w:p w14:paraId="0CE61FBC">
      <w:pPr>
        <w:spacing w:before="20" w:after="40"/>
        <w:ind w:left="360"/>
        <w:jc w:val="both"/>
        <w:outlineLvl w:val="0"/>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0C5B2613">
      <w:pPr>
        <w:spacing w:before="20" w:after="40"/>
        <w:ind w:left="360"/>
        <w:jc w:val="both"/>
        <w:outlineLvl w:val="0"/>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297FCACD">
      <w:pPr>
        <w:spacing w:before="20" w:after="40"/>
        <w:ind w:left="360"/>
        <w:jc w:val="both"/>
        <w:outlineLvl w:val="0"/>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4317808F">
      <w:pPr>
        <w:spacing w:before="20" w:after="40"/>
        <w:ind w:left="360"/>
        <w:jc w:val="both"/>
        <w:outlineLvl w:val="0"/>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3D11C455">
      <w:pPr>
        <w:spacing w:before="20" w:after="40"/>
        <w:ind w:left="360"/>
        <w:jc w:val="both"/>
        <w:outlineLvl w:val="0"/>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ns3:oMath>
        <ns3:r>
          <ns3:rPr/>
          <w:rPr>
            <w:rFonts w:ascii="Cambria Math" w:hAnsi="Cambria Math"/>
          </w:rPr>
          <ns3:t>→</ns3:t>
        </ns3:r>
      </ns3:oMath>
      <w:r>
        <w:rPr>
          <w:rFonts w:ascii="Times New Roman" w:hAnsi="Times New Roman"/>
          <w:sz w:val="20"/>
        </w:rPr>
        <w:t xml:space="preserve"> Massachusetts Institute of Technology) using an institutional lexicon directory.</w:t>
      </w:r>
    </w:p>
    <w:p w14:paraId="1D52BC4C">
      <w:pPr>
        <w:spacing w:before="20" w:after="40"/>
        <w:ind w:left="360"/>
        <w:jc w:val="both"/>
        <w:outlineLvl w:val="0"/>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78943BA5">
      <w:pPr>
        <w:keepNext/>
        <w:spacing w:before="200" w:after="80"/>
        <w:jc w:val="both"/>
        <w:outlineLvl w:val="1"/>
      </w:pPr>
      <w:r>
        <w:rPr>
          <w:rFonts w:ascii="Times New Roman" w:hAnsi="Times New Roman"/>
          <w:b/>
          <w:color w:val="333333"/>
          <w:sz w:val="23"/>
        </w:rPr>
        <w:t>3.5 Nine-Class Structured OCR Error Taxonomy</w:t>
      </w:r>
    </w:p>
    <w:p w14:paraId="4ABA0F56">
      <w:pPr>
        <w:spacing w:before="40" w:after="80" w:line="276" w:lineRule="auto"/>
        <w:jc w:val="both"/>
      </w:pPr>
      <w:r>
        <w:rPr>
          <w:rFonts w:ascii="Times New Roman" w:hAnsi="Times New Roman"/>
          <w:sz w:val="20"/>
        </w:rPr>
        <w:t>When an extracted field value deviates from ground truth after canonical normalization, the evaluation engine categorizes the failure into one of nine structured error classes [28], [37]:</w:t>
      </w:r>
    </w:p>
    <w:p w14:paraId="2D8453A1">
      <w:pPr>
        <w:keepNext/>
        <w:spacing w:before="160" w:after="40"/>
        <w:jc w:val="both"/>
        <w:outlineLvl w:val="1"/>
      </w:pPr>
      <w:r>
        <w:rPr>
          <w:rFonts w:ascii="Times New Roman" w:hAnsi="Times New Roman"/>
          <w:b/>
          <w:i/>
          <w:sz w:val="21"/>
        </w:rPr>
        <w:t>3.5.1 Scientific Definition and Justification of NORMALIZATION_ERROR</w:t>
      </w:r>
    </w:p>
    <w:p w14:paraId="73516041">
      <w:pPr>
        <w:spacing w:before="40" w:after="80" w:line="276" w:lineRule="auto"/>
        <w:jc w:val="both"/>
      </w:pPr>
      <w:r>
        <w:rPr>
          <w:rFonts w:ascii="Times New Roman" w:hAnsi="Times New Roman"/>
          <w:sz w:val="20"/>
        </w:rPr>
        <w:t xml:space="preserve">A potential ambiguity in field comparison is distinguishing superficial representation differences from true recognition errors. 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14:paraId="6EDB1F2E">
      <w:pPr>
        <w:spacing w:before="20" w:after="40"/>
        <w:ind w:left="360"/>
        <w:jc w:val="both"/>
        <w:outlineLvl w:val="0"/>
      </w:pPr>
      <w:r>
        <w:rPr>
          <w:rFonts w:ascii="Times New Roman" w:hAnsi="Times New Roman"/>
          <w:b/>
          <w:sz w:val="20"/>
        </w:rPr>
        <w:t>1. Pipeline Traversal</w:t>
      </w:r>
      <w:r>
        <w:rPr>
          <w:rFonts w:ascii="Times New Roman" w:hAnsi="Times New Roman"/>
          <w:sz w:val="20"/>
        </w:rPr>
        <w:t>: The candidate field has successfully passed through the complete six-stage semantic normalization layer (CanonicalNormalizer).</w:t>
      </w:r>
    </w:p>
    <w:p w14:paraId="191C4B62">
      <w:pPr>
        <w:spacing w:before="20" w:after="40"/>
        <w:ind w:left="360"/>
        <w:jc w:val="both"/>
        <w:outlineLvl w:val="0"/>
      </w:pPr>
      <w:r>
        <w:rPr>
          <w:rFonts w:ascii="Times New Roman" w:hAnsi="Times New Roman"/>
          <w:b/>
          <w:sz w:val="20"/>
        </w:rPr>
        <w:t>2. Valid Canonical Representations</w:t>
      </w:r>
      <w:r>
        <w:rPr>
          <w:rFonts w:ascii="Times New Roman" w:hAnsi="Times New Roman"/>
          <w:sz w:val="20"/>
        </w:rPr>
        <w:t>: Both 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sz w:val="20"/>
        </w:rPr>
        <w:t>) and Prediction (</w:t>
      </w:r>
      <ns3:oMath>
        <ns3:acc>
          <ns3:accPr/>
          <ns3:e>
            <ns3:r>
              <ns3:rPr/>
              <w:rPr>
                <w:rFonts w:ascii="Cambria Math" w:hAnsi="Cambria Math"/>
              </w:rPr>
              <ns3:t>V</ns3:t>
            </ns3:r>
          </ns3:e>
        </ns3:acc>
      </ns3:oMath>
      <w:r>
        <w:rPr>
          <w:rFonts w:ascii="Times New Roman" w:hAnsi="Times New Roman"/>
          <w:sz w:val="20"/>
        </w:rPr>
        <w:t>) possess valid, parseable canonical representations.</w:t>
      </w:r>
    </w:p>
    <w:p w14:paraId="33D0A898">
      <w:pPr>
        <w:spacing w:before="20" w:after="40"/>
        <w:ind w:left="360"/>
        <w:jc w:val="both"/>
        <w:outlineLvl w:val="0"/>
      </w:pPr>
      <w:r>
        <w:rPr>
          <w:rFonts w:ascii="Times New Roman" w:hAnsi="Times New Roman"/>
          <w:b/>
          <w:sz w:val="20"/>
        </w:rPr>
        <w:t>3. 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14:paraId="4F7A49B7">
      <w:pPr>
        <w:spacing w:before="20" w:after="40"/>
        <w:ind w:left="360"/>
        <w:jc w:val="both"/>
        <w:outlineLvl w:val="0"/>
      </w:pPr>
      <w:r>
        <w:rPr>
          <w:rFonts w:ascii="Times New Roman" w:hAnsi="Times New Roman"/>
          <w:b/>
          <w:sz w:val="20"/>
        </w:rPr>
        <w:t>4. Canonical Discrepancy</w:t>
      </w:r>
      <w:r>
        <w:rPr>
          <w:rFonts w:ascii="Times New Roman" w:hAnsi="Times New Roman"/>
          <w:sz w:val="20"/>
        </w:rPr>
        <w:t>: The canonical representations remain strictly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w:t>
      </w:r>
    </w:p>
    <w:p w14:paraId="700F36BA">
      <w:pPr>
        <w:spacing w:before="20" w:after="40"/>
        <w:ind w:left="360"/>
        <w:jc w:val="both"/>
        <w:outlineLvl w:val="0"/>
      </w:pPr>
      <w:r>
        <w:rPr>
          <w:rFonts w:ascii="Times New Roman" w:hAnsi="Times New Roman"/>
          <w:b/>
          <w:sz w:val="20"/>
        </w:rPr>
        <w:t>5. Genuine Semantic Mismatch</w:t>
      </w:r>
      <w:r>
        <w:rPr>
          <w:rFonts w:ascii="Times New Roman" w:hAnsi="Times New Roman"/>
          <w:sz w:val="20"/>
        </w:rPr>
        <w:t>: Consequently, the remaining discrepancy represents a genuine semantic character or value mismatch rather than a formatting variation.</w:t>
      </w:r>
    </w:p>
    <w:p w14:paraId="6BB7F078">
      <w:pPr>
        <w:spacing w:before="40" w:after="80" w:line="276" w:lineRule="auto"/>
        <w:jc w:val="both"/>
      </w:pPr>
      <w:r>
        <w:rPr>
          <w:rFonts w:ascii="Times New Roman" w:hAnsi="Times New Roman"/>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14:paraId="6003577E">
      <w:pPr>
        <w:keepNext/>
        <w:spacing w:before="160" w:after="40"/>
        <w:jc w:val="both"/>
        <w:outlineLvl w:val="1"/>
      </w:pPr>
      <w:r>
        <w:rPr>
          <w:rFonts w:ascii="Times New Roman" w:hAnsi="Times New Roman"/>
          <w:b/>
          <w:i/>
          <w:sz w:val="21"/>
        </w:rPr>
        <w:t>3.5.2 Canonical Comparison Workflow &amp; Non-Overlapping Taxonomy Boundaries</w:t>
      </w:r>
    </w:p>
    <w:p w14:paraId="0B0D7478">
      <w:pPr>
        <w:spacing w:before="40" w:after="80" w:line="276" w:lineRule="auto"/>
        <w:jc w:val="both"/>
      </w:pPr>
      <w:r>
        <w:rPr>
          <w:rFonts w:ascii="Times New Roman" w:hAnsi="Times New Roman"/>
          <w:sz w:val="20"/>
        </w:rPr>
        <w:t>To ensure taxonomic independence, each error class maintains a strict, non-overlapping responsibility [28], [37]:</w:t>
      </w:r>
    </w:p>
    <w:p w14:paraId="3F9FC34A">
      <w:pPr>
        <w:pStyle w:val="23"/>
        <w:spacing w:before="20" w:after="40"/>
        <w:jc w:val="both"/>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14:paraId="72625B37">
      <w:pPr>
        <w:pStyle w:val="23"/>
        <w:spacing w:before="20" w:after="40"/>
        <w:jc w:val="both"/>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14:paraId="5FDFB5BE">
      <w:pPr>
        <w:pStyle w:val="23"/>
        <w:spacing w:before="20" w:after="40"/>
        <w:jc w:val="both"/>
      </w:pPr>
      <w:r>
        <w:rPr>
          <w:rFonts w:ascii="Times New Roman" w:hAnsi="Times New Roman"/>
          <w:b/>
          <w:sz w:val="20"/>
        </w:rPr>
        <w:t>NORMALIZATION_ERROR</w:t>
      </w:r>
      <w:r>
        <w:rPr>
          <w:rFonts w:ascii="Times New Roman" w:hAnsi="Times New Roman"/>
          <w:sz w:val="20"/>
        </w:rPr>
        <w:t>: Both values are normalized, but their canonical representations remain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 confirming a true semantic extraction mismatch.</w:t>
      </w:r>
    </w:p>
    <w:p w14:paraId="757A64BB">
      <w:pPr>
        <w:pStyle w:val="23"/>
        <w:spacing w:before="20" w:after="40"/>
        <w:jc w:val="both"/>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 [27].</w:t>
      </w:r>
    </w:p>
    <w:p w14:paraId="17AEAE09">
      <w:pPr>
        <w:pStyle w:val="23"/>
        <w:spacing w:before="20" w:after="40"/>
        <w:jc w:val="both"/>
      </w:pPr>
      <w:r>
        <w:rPr>
          <w:rFonts w:ascii="Times New Roman" w:hAnsi="Times New Roman"/>
          <w:b/>
          <w:sz w:val="20"/>
        </w:rPr>
        <w:t>FIELD_MISSING</w:t>
      </w:r>
      <w:r>
        <w:rPr>
          <w:rFonts w:ascii="Times New Roman" w:hAnsi="Times New Roman"/>
          <w:sz w:val="20"/>
        </w:rPr>
        <w:t>: Target key entity is entirely absent from the model output JSON payload.</w:t>
      </w:r>
    </w:p>
    <w:p w14:paraId="5C03F649">
      <w:pPr>
        <w:pStyle w:val="23"/>
        <w:spacing w:before="20" w:after="40"/>
        <w:jc w:val="both"/>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14:paraId="726E9FDF">
      <w:pPr>
        <w:spacing w:before="40" w:after="80" w:line="276" w:lineRule="auto"/>
      </w:pPr>
      <w:r>
        <w:t xml:space="preserve">Table II illustrates candidate field evaluations across the canonical normalization layer and error taxonomy classifier.</w:t>
      </w:r>
    </w:p>
    <w:p w14:paraId="2E663D9C">
      <w:pPr>
        <w:keepNext/>
        <w:spacing w:before="80" w:after="160"/>
        <w:jc w:val="center"/>
      </w:pPr>
      <w:r>
        <w:t xml:space="preserve">Table II: Canonical Normalization Comparison Examples and Error Categorization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460"/>
      </w:tblGrid>
      <w:tr w14:paraId="67048C7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45A14EED">
            <w:pPr>
              <w:spacing w:before="40" w:after="40"/>
              <w:jc w:val="center"/>
            </w:pPr>
            <w:r>
              <w:rPr>
                <w:rFonts w:ascii="Times New Roman" w:hAnsi="Times New Roman"/>
                <w:b/>
                <w:color w:val="FFFFFF"/>
                <w:sz w:val="19"/>
              </w:rPr>
              <w:t>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6619CED">
            <w:pPr>
              <w:spacing w:before="40" w:after="40"/>
              <w:jc w:val="center"/>
            </w:pPr>
            <w:r>
              <w:rPr>
                <w:rFonts w:ascii="Times New Roman" w:hAnsi="Times New Roman"/>
                <w:b/>
                <w:color w:val="FFFFFF"/>
                <w:sz w:val="19"/>
              </w:rPr>
              <w:t>Prediction (</w:t>
            </w:r>
            <ns3:oMath>
              <ns3:acc>
                <ns3:accPr/>
                <ns3:e>
                  <ns3:r>
                    <ns3:rPr/>
                    <w:rPr>
                      <w:rFonts w:ascii="Cambria Math" w:hAnsi="Cambria Math"/>
                    </w:rPr>
                    <ns3:t>V</ns3:t>
                  </ns3:r>
                </ns3:e>
              </ns3:acc>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F8B6478">
            <w:pPr>
              <w:spacing w:before="40" w:after="40"/>
              <w:jc w:val="center"/>
            </w:pPr>
            <w:r>
              <w:rPr>
                <w:rFonts w:ascii="Times New Roman" w:hAnsi="Times New Roman"/>
                <w:b/>
                <w:color w:val="FFFFFF"/>
                <w:sz w:val="19"/>
              </w:rPr>
              <w:t>After Canonical Normalizer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ns3:t>
              </ns3:r>
              <ns3:r>
                <ns3:rPr/>
                <w:rPr>
                  <w:rFonts w:ascii="Times New Roman" w:hAnsi="Times New Roman"/>
                </w:rPr>
                <ns3:t>vs</ns3:t>
              </ns3:r>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4ED13CB3">
            <w:pPr>
              <w:spacing w:before="40" w:after="40"/>
              <w:jc w:val="center"/>
            </w:pPr>
            <w:r>
              <w:rPr>
                <w:rFonts w:ascii="Times New Roman" w:hAnsi="Times New Roman"/>
                <w:b/>
                <w:color w:val="FFFFFF"/>
                <w:sz w:val="19"/>
              </w:rPr>
              <w:t>Classification Result</w:t>
            </w:r>
          </w:p>
        </w:tc>
      </w:tr>
      <w:tr w14:paraId="080CFAC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F7475AD">
            <w:pPr>
              <w:spacing w:before="40" w:after="40"/>
              <w:jc w:val="left"/>
            </w:pPr>
            <w:r>
              <w:rPr>
                <w:rFonts w:ascii="Times New Roman" w:hAnsi="Times New Roman"/>
                <w:sz w:val="18"/>
              </w:rPr>
              <w:t>04/08/2026</w:t>
            </w:r>
          </w:p>
        </w:tc>
        <w:tc>
          <w:tcPr>
            <w:tcW w:w="2340" w:type="dxa"/>
            <w:shd w:val="clear" w:color="auto" w:fill="FFFFFF"/>
            <w:tcMar>
              <w:top w:w="100" w:type="dxa"/>
              <w:left w:w="130" w:type="dxa"/>
              <w:bottom w:w="100" w:type="dxa"/>
              <w:right w:w="130" w:type="dxa"/>
            </w:tcMar>
          </w:tcPr>
          <w:p w14:paraId="10C4DC6B">
            <w:pPr>
              <w:spacing w:before="40" w:after="40"/>
              <w:jc w:val="center"/>
            </w:pPr>
            <w:r>
              <w:rPr>
                <w:rFonts w:ascii="Times New Roman" w:hAnsi="Times New Roman"/>
                <w:sz w:val="18"/>
              </w:rPr>
              <w:t>August 4, 2026</w:t>
            </w:r>
          </w:p>
        </w:tc>
        <w:tc>
          <w:tcPr>
            <w:tcW w:w="2340" w:type="dxa"/>
            <w:shd w:val="clear" w:color="auto" w:fill="FFFFFF"/>
            <w:tcMar>
              <w:top w:w="100" w:type="dxa"/>
              <w:left w:w="130" w:type="dxa"/>
              <w:bottom w:w="100" w:type="dxa"/>
              <w:right w:w="130" w:type="dxa"/>
            </w:tcMar>
          </w:tcPr>
          <w:p w14:paraId="03E03415">
            <w:pPr>
              <w:spacing w:before="40" w:after="40"/>
              <w:jc w:val="center"/>
            </w:pPr>
            <w:r>
              <w:rPr>
                <w:rFonts w:ascii="Times New Roman" w:hAnsi="Times New Roman"/>
                <w:sz w:val="18"/>
              </w:rPr>
              <w:t>2026-08-04 == 2026-08-04</w:t>
            </w:r>
          </w:p>
        </w:tc>
        <w:tc>
          <w:tcPr>
            <w:tcW w:w="2340" w:type="dxa"/>
            <w:shd w:val="clear" w:color="auto" w:fill="FFFFFF"/>
            <w:tcMar>
              <w:top w:w="100" w:type="dxa"/>
              <w:left w:w="130" w:type="dxa"/>
              <w:bottom w:w="100" w:type="dxa"/>
              <w:right w:w="130" w:type="dxa"/>
            </w:tcMar>
          </w:tcPr>
          <w:p w14:paraId="51F8B29C">
            <w:pPr>
              <w:spacing w:before="40" w:after="40"/>
              <w:jc w:val="center"/>
            </w:pPr>
            <w:r>
              <w:rPr>
                <w:rFonts w:ascii="Times New Roman" w:hAnsi="Times New Roman"/>
                <w:sz w:val="18"/>
              </w:rPr>
              <w:t>FORMAT_ERROR (Correct)</w:t>
            </w:r>
          </w:p>
        </w:tc>
      </w:tr>
      <w:tr w14:paraId="1499B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A9BF8CE">
            <w:pPr>
              <w:spacing w:before="40" w:after="40"/>
              <w:jc w:val="left"/>
            </w:pPr>
            <w:r>
              <w:rPr>
                <w:rFonts w:ascii="Times New Roman" w:hAnsi="Times New Roman"/>
                <w:sz w:val="18"/>
              </w:rPr>
              <w:t>B.Tech</w:t>
            </w:r>
          </w:p>
        </w:tc>
        <w:tc>
          <w:tcPr>
            <w:tcW w:w="2340" w:type="dxa"/>
            <w:shd w:val="clear" w:color="auto" w:fill="F8F9FA"/>
            <w:tcMar>
              <w:top w:w="100" w:type="dxa"/>
              <w:left w:w="130" w:type="dxa"/>
              <w:bottom w:w="100" w:type="dxa"/>
              <w:right w:w="130" w:type="dxa"/>
            </w:tcMar>
          </w:tcPr>
          <w:p w14:paraId="75828634">
            <w:pPr>
              <w:spacing w:before="40" w:after="40"/>
              <w:jc w:val="center"/>
            </w:pPr>
            <w:r>
              <w:rPr>
                <w:rFonts w:ascii="Times New Roman" w:hAnsi="Times New Roman"/>
                <w:sz w:val="18"/>
              </w:rPr>
              <w:t>Bachelor of Technology</w:t>
            </w:r>
          </w:p>
        </w:tc>
        <w:tc>
          <w:tcPr>
            <w:tcW w:w="2340" w:type="dxa"/>
            <w:shd w:val="clear" w:color="auto" w:fill="F8F9FA"/>
            <w:tcMar>
              <w:top w:w="100" w:type="dxa"/>
              <w:left w:w="130" w:type="dxa"/>
              <w:bottom w:w="100" w:type="dxa"/>
              <w:right w:w="130" w:type="dxa"/>
            </w:tcMar>
          </w:tcPr>
          <w:p w14:paraId="0B67BD9E">
            <w:pPr>
              <w:spacing w:before="40" w:after="40"/>
              <w:jc w:val="center"/>
            </w:pPr>
            <w:r>
              <w:rPr>
                <w:rFonts w:ascii="Times New Roman" w:hAnsi="Times New Roman"/>
                <w:sz w:val="18"/>
              </w:rPr>
              <w:t>Bachelor of Technology == Bachelor of Technology</w:t>
            </w:r>
          </w:p>
        </w:tc>
        <w:tc>
          <w:tcPr>
            <w:tcW w:w="2340" w:type="dxa"/>
            <w:shd w:val="clear" w:color="auto" w:fill="F8F9FA"/>
            <w:tcMar>
              <w:top w:w="100" w:type="dxa"/>
              <w:left w:w="130" w:type="dxa"/>
              <w:bottom w:w="100" w:type="dxa"/>
              <w:right w:w="130" w:type="dxa"/>
            </w:tcMar>
          </w:tcPr>
          <w:p w14:paraId="15D721C6">
            <w:pPr>
              <w:spacing w:before="40" w:after="40"/>
              <w:jc w:val="center"/>
            </w:pPr>
            <w:r>
              <w:rPr>
                <w:rFonts w:ascii="Times New Roman" w:hAnsi="Times New Roman"/>
                <w:sz w:val="18"/>
              </w:rPr>
              <w:t>FORMAT_ERROR (Correct)</w:t>
            </w:r>
          </w:p>
        </w:tc>
      </w:tr>
      <w:tr w14:paraId="2387319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896FAC1">
            <w:pPr>
              <w:spacing w:before="40" w:after="40"/>
              <w:jc w:val="left"/>
            </w:pPr>
            <w:r>
              <w:rPr>
                <w:rFonts w:ascii="Times New Roman" w:hAnsi="Times New Roman"/>
                <w:sz w:val="18"/>
              </w:rPr>
              <w:t>VTU</w:t>
            </w:r>
          </w:p>
        </w:tc>
        <w:tc>
          <w:tcPr>
            <w:tcW w:w="2340" w:type="dxa"/>
            <w:shd w:val="clear" w:color="auto" w:fill="FFFFFF"/>
            <w:tcMar>
              <w:top w:w="100" w:type="dxa"/>
              <w:left w:w="130" w:type="dxa"/>
              <w:bottom w:w="100" w:type="dxa"/>
              <w:right w:w="130" w:type="dxa"/>
            </w:tcMar>
          </w:tcPr>
          <w:p w14:paraId="1F0D2529">
            <w:pPr>
              <w:spacing w:before="40" w:after="40"/>
              <w:jc w:val="center"/>
            </w:pPr>
            <w:r>
              <w:rPr>
                <w:rFonts w:ascii="Times New Roman" w:hAnsi="Times New Roman"/>
                <w:sz w:val="18"/>
              </w:rPr>
              <w:t>Delhi University</w:t>
            </w:r>
          </w:p>
        </w:tc>
        <w:tc>
          <w:tcPr>
            <w:tcW w:w="2340" w:type="dxa"/>
            <w:shd w:val="clear" w:color="auto" w:fill="FFFFFF"/>
            <w:tcMar>
              <w:top w:w="100" w:type="dxa"/>
              <w:left w:w="130" w:type="dxa"/>
              <w:bottom w:w="100" w:type="dxa"/>
              <w:right w:w="130" w:type="dxa"/>
            </w:tcMar>
          </w:tcPr>
          <w:p w14:paraId="4EB56FC2">
            <w:pPr>
              <w:spacing w:before="40" w:after="40"/>
              <w:jc w:val="center"/>
            </w:pPr>
            <w:r>
              <w:rPr>
                <w:rFonts w:ascii="Times New Roman" w:hAnsi="Times New Roman"/>
                <w:sz w:val="18"/>
              </w:rPr>
              <w:t xml:space="preserve">Vivekananda Technical University </w:t>
            </w:r>
            <ns3:oMath>
              <ns3:r>
                <ns3:rPr/>
                <w:rPr>
                  <w:rFonts w:ascii="Cambria Math" w:hAnsi="Cambria Math"/>
                </w:rPr>
                <ns3:t>≠</ns3:t>
              </ns3:r>
            </ns3:oMath>
            <w:r>
              <w:rPr>
                <w:rFonts w:ascii="Times New Roman" w:hAnsi="Times New Roman"/>
                <w:sz w:val="18"/>
              </w:rPr>
              <w:t xml:space="preserve"> Delhi University</w:t>
            </w:r>
          </w:p>
        </w:tc>
        <w:tc>
          <w:tcPr>
            <w:tcW w:w="2340" w:type="dxa"/>
            <w:shd w:val="clear" w:color="auto" w:fill="FFFFFF"/>
            <w:tcMar>
              <w:top w:w="100" w:type="dxa"/>
              <w:left w:w="130" w:type="dxa"/>
              <w:bottom w:w="100" w:type="dxa"/>
              <w:right w:w="130" w:type="dxa"/>
            </w:tcMar>
          </w:tcPr>
          <w:p w14:paraId="626476FB">
            <w:pPr>
              <w:spacing w:before="40" w:after="40"/>
              <w:jc w:val="center"/>
            </w:pPr>
            <w:r>
              <w:rPr>
                <w:rFonts w:ascii="Times New Roman" w:hAnsi="Times New Roman"/>
                <w:sz w:val="18"/>
              </w:rPr>
              <w:t>NORMALIZATION_ERROR</w:t>
            </w:r>
          </w:p>
        </w:tc>
      </w:tr>
      <w:tr w14:paraId="6E175AA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7E161CDB">
            <w:pPr>
              <w:spacing w:before="40" w:after="40"/>
              <w:jc w:val="left"/>
            </w:pPr>
            <w:r>
              <w:rPr>
                <w:rFonts w:ascii="Times New Roman" w:hAnsi="Times New Roman"/>
                <w:sz w:val="18"/>
              </w:rPr>
              <w:t>2021-IT-00150</w:t>
            </w:r>
          </w:p>
        </w:tc>
        <w:tc>
          <w:tcPr>
            <w:tcW w:w="2340" w:type="dxa"/>
            <w:shd w:val="clear" w:color="auto" w:fill="F8F9FA"/>
            <w:tcMar>
              <w:top w:w="100" w:type="dxa"/>
              <w:left w:w="130" w:type="dxa"/>
              <w:bottom w:w="100" w:type="dxa"/>
              <w:right w:w="130" w:type="dxa"/>
            </w:tcMar>
          </w:tcPr>
          <w:p w14:paraId="25033F2A">
            <w:pPr>
              <w:spacing w:before="40" w:after="40"/>
              <w:jc w:val="center"/>
            </w:pPr>
            <w:r>
              <w:rPr>
                <w:rFonts w:ascii="Times New Roman" w:hAnsi="Times New Roman"/>
                <w:sz w:val="18"/>
              </w:rPr>
              <w:t>2021IT00999</w:t>
            </w:r>
          </w:p>
        </w:tc>
        <w:tc>
          <w:tcPr>
            <w:tcW w:w="2340" w:type="dxa"/>
            <w:shd w:val="clear" w:color="auto" w:fill="F8F9FA"/>
            <w:tcMar>
              <w:top w:w="100" w:type="dxa"/>
              <w:left w:w="130" w:type="dxa"/>
              <w:bottom w:w="100" w:type="dxa"/>
              <w:right w:w="130" w:type="dxa"/>
            </w:tcMar>
          </w:tcPr>
          <w:p w14:paraId="632B461A">
            <w:pPr>
              <w:spacing w:before="40" w:after="40"/>
              <w:jc w:val="center"/>
            </w:pPr>
            <w:r>
              <w:rPr>
                <w:rFonts w:ascii="Times New Roman" w:hAnsi="Times New Roman"/>
                <w:sz w:val="18"/>
              </w:rPr>
              <w:t xml:space="preserve">2021IT00150 </w:t>
            </w:r>
            <ns3:oMath>
              <ns3:r>
                <ns3:rPr/>
                <w:rPr>
                  <w:rFonts w:ascii="Cambria Math" w:hAnsi="Cambria Math"/>
                </w:rPr>
                <ns3:t>≠</ns3:t>
              </ns3:r>
            </ns3:oMath>
            <w:r>
              <w:rPr>
                <w:rFonts w:ascii="Times New Roman" w:hAnsi="Times New Roman"/>
                <w:sz w:val="18"/>
              </w:rPr>
              <w:t xml:space="preserve"> 2021IT00999</w:t>
            </w:r>
          </w:p>
        </w:tc>
        <w:tc>
          <w:tcPr>
            <w:tcW w:w="2340" w:type="dxa"/>
            <w:shd w:val="clear" w:color="auto" w:fill="F8F9FA"/>
            <w:tcMar>
              <w:top w:w="100" w:type="dxa"/>
              <w:left w:w="130" w:type="dxa"/>
              <w:bottom w:w="100" w:type="dxa"/>
              <w:right w:w="130" w:type="dxa"/>
            </w:tcMar>
          </w:tcPr>
          <w:p w14:paraId="75D18AFF">
            <w:pPr>
              <w:spacing w:before="40" w:after="40"/>
              <w:jc w:val="center"/>
            </w:pPr>
            <w:r>
              <w:rPr>
                <w:rFonts w:ascii="Times New Roman" w:hAnsi="Times New Roman"/>
                <w:sz w:val="18"/>
              </w:rPr>
              <w:t>NORMALIZATION_ERROR</w:t>
            </w:r>
          </w:p>
        </w:tc>
      </w:tr>
    </w:tbl>
    <w:p w14:paraId="22D66C74">
      <w:pPr>
        <w:keepNext/>
        <w:spacing w:before="280" w:after="120"/>
        <w:jc w:val="both"/>
        <w:outlineLvl w:val="0"/>
      </w:pPr>
      <w:r>
        <w:rPr>
          <w:rFonts w:ascii="Times New Roman" w:hAnsi="Times New Roman"/>
          <w:b/>
          <w:color w:val="003366"/>
          <w:sz w:val="26"/>
        </w:rPr>
        <w:t>4. Experimental Setup</w:t>
      </w:r>
    </w:p>
    <w:p w14:paraId="558E0DC4">
      <w:pPr>
        <w:keepNext/>
        <w:spacing w:before="200" w:after="80"/>
        <w:jc w:val="both"/>
        <w:outlineLvl w:val="1"/>
      </w:pPr>
      <w:r>
        <w:rPr>
          <w:rFonts w:ascii="Times New Roman" w:hAnsi="Times New Roman"/>
          <w:b/>
          <w:color w:val="333333"/>
          <w:sz w:val="23"/>
        </w:rPr>
        <w:t>4.1 Dataset Composition (`AU_DIC_Benchmark_v1.0`)</w:t>
      </w:r>
    </w:p>
    <w:p w14:paraId="2A49B2C2">
      <w:pPr>
        <w:spacing w:before="40" w:after="80" w:line="276" w:lineRule="auto"/>
        <w:jc w:val="both"/>
      </w:pPr>
      <w:r>
        <w:rPr>
          <w:rFonts w:ascii="Times New Roman" w:hAnsi="Times New Roman"/>
          <w:sz w:val="20"/>
        </w:rPr>
        <w:t xml:space="preserve">The evaluation dataset consists of 360 image specimens (3 document categories </w:t>
      </w:r>
      <ns3:oMath>
        <ns3:r>
          <ns3:rPr/>
          <w:rPr>
            <w:rFonts w:ascii="Cambria Math" w:hAnsi="Cambria Math"/>
          </w:rPr>
          <ns3:t>×</ns3:t>
        </ns3:r>
      </ns3:oMath>
      <w:r>
        <w:rPr>
          <w:rFonts w:ascii="Times New Roman" w:hAnsi="Times New Roman"/>
          <w:sz w:val="20"/>
        </w:rPr>
        <w:t xml:space="preserve"> 30 unique document instances </w:t>
      </w:r>
      <ns3:oMath>
        <ns3:r>
          <ns3:rPr/>
          <w:rPr>
            <w:rFonts w:ascii="Cambria Math" w:hAnsi="Cambria Math"/>
          </w:rPr>
          <ns3:t>×</ns3:t>
        </ns3:r>
      </ns3:oMath>
      <w:r>
        <w:rPr>
          <w:rFonts w:ascii="Times New Roman" w:hAnsi="Times New Roman"/>
          <w:sz w:val="20"/>
        </w:rPr>
        <w:t xml:space="preserve"> 4 quality profiles). Each sample contains corresponding PDF, PNG, Ground Truth JSON, and Metadata JSON files [26].</w:t>
      </w:r>
    </w:p>
    <w:p w14:paraId="0B637798">
      <w:pPr>
        <w:keepNext/>
        <w:spacing w:before="200" w:after="80"/>
        <w:jc w:val="both"/>
        <w:outlineLvl w:val="1"/>
      </w:pPr>
      <w:r>
        <w:rPr>
          <w:rFonts w:ascii="Times New Roman" w:hAnsi="Times New Roman"/>
          <w:b/>
          <w:color w:val="333333"/>
          <w:sz w:val="23"/>
        </w:rPr>
        <w:t>4.2 Evaluation Protocol</w:t>
      </w:r>
    </w:p>
    <w:p w14:paraId="1CE7DA95">
      <w:pPr>
        <w:spacing w:before="40" w:after="80" w:line="276" w:lineRule="auto"/>
        <w:jc w:val="both"/>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 [31].</w:t>
      </w:r>
    </w:p>
    <w:p w14:paraId="08566FC3">
      <w:pPr>
        <w:keepNext/>
        <w:spacing w:before="200" w:after="80"/>
        <w:jc w:val="both"/>
        <w:outlineLvl w:val="1"/>
      </w:pPr>
      <w:r>
        <w:t>4.3 Mathematical Formulation of Evaluation Metrics</w:t>
      </w:r>
    </w:p>
    <w:p w14:paraId="6B1C18D9">
      <w:pPr>
        <w:spacing w:before="40" w:after="80" w:line="276" w:lineRule="auto"/>
        <w:jc w:val="both"/>
      </w:pPr>
      <w:r>
        <w:rPr>
          <w:rFonts w:ascii="Times New Roman" w:hAnsi="Times New Roman"/>
          <w:sz w:val="20"/>
        </w:rPr>
        <w:t>The computed quantitative metrics are defined as follows:</w:t>
      </w:r>
    </w:p>
    <w:p w14:paraId="71941F13">
      <w:pPr>
        <w:spacing w:before="20" w:after="40"/>
        <w:ind w:left="360"/>
        <w:jc w:val="both"/>
      </w:pPr>
      <w:r/>
    </w:p>
    <w:p w14:paraId="0B6F120C">
      <w:pPr>
        <w:spacing w:before="40" w:after="80" w:line="276" w:lineRule="auto"/>
        <w:jc w:val="both"/>
      </w:pPr>
      <w:r/>
    </w:p>
    <w:p w14:paraId="3A5AC0ED">
      <w:pPr>
        <w:spacing w:before="20" w:after="40"/>
        <w:ind w:left="360"/>
        <w:jc w:val="both"/>
      </w:pPr>
      <w:r/>
    </w:p>
    <w:p w14:paraId="3096A6D7">
      <w:pPr>
        <w:spacing w:before="20" w:after="40"/>
        <w:ind w:left="360"/>
        <w:jc w:val="both"/>
      </w:pPr>
      <w:r/>
    </w:p>
    <w:p w14:paraId="28D3FA95">
      <w:pPr>
        <w:spacing w:before="20" w:after="40"/>
        <w:ind w:left="360"/>
        <w:jc w:val="both"/>
      </w:pPr>
      <w:r/>
    </w:p>
    <w:p w14:paraId="22B41161">
      <w:pPr>
        <w:spacing w:before="20" w:after="40"/>
        <w:ind w:left="360"/>
        <w:jc w:val="both"/>
      </w:pPr>
      <w:r/>
    </w:p>
    <w:p w14:paraId="4D33CC89">
      <w:pPr>
        <w:spacing w:before="20" w:after="40"/>
        <w:ind w:left="360"/>
        <w:jc w:val="both"/>
      </w:pPr>
      <w:r/>
    </w:p>
    <w:p>
      <w:pPr>
        <w:spacing w:after="80"/>
        <w:jc w:val="both"/>
      </w:pPr>
      <w:r>
        <w:t>The quantitative evaluation metrics formulated for evaluating neural document intelligence models, synthetic specimen benchmark suites, and canonical normalization layers are defined below.</w:t>
      </w:r>
    </w:p>
    <w:p>
      <w:pPr>
        <w:spacing w:before="160" w:after="40"/>
        <w:outlineLvl w:val="1"/>
      </w:pPr>
      <w:r>
        <w:rPr>
          <w:rFonts w:ascii="Times New Roman" w:hAnsi="Times New Roman"/>
          <w:b/>
          <w:sz w:val="21"/>
        </w:rPr>
        <w:t>4.3.1 Category Classification Accuracy</w:t>
      </w:r>
    </w:p>
    <w:p>
      <w:pPr>
        <w:spacing w:after="40"/>
        <w:jc w:val="both"/>
      </w:pPr>
      <w:r>
        <w:t>The proportion of document specimens where the predicted document category (y_hat) matches the ground truth category (y) across N total evaluated specimens:</w:t>
      </w:r>
    </w:p>
    <w:p>
      <w:pPr>
        <w:spacing w:after="120"/>
        <w:jc w:val="center"/>
      </w:pPr>
      <w:r>
        <w:rPr>
          <w:rFonts w:ascii="Times New Roman" w:hAnsi="Times New Roman"/>
          <w:i/>
          <w:sz w:val="19"/>
        </w:rPr>
        <w:t>Acc_cat = (1 / N) * sum_{i=1}^N I(y_hat_i = y_i)   (1)</w:t>
        <w:br/>
        <w:t>where N represents the total count of evaluated document specimens.</w:t>
      </w:r>
    </w:p>
    <w:p>
      <w:pPr>
        <w:spacing w:before="160" w:after="40"/>
        <w:outlineLvl w:val="1"/>
      </w:pPr>
      <w:r>
        <w:rPr>
          <w:rFonts w:ascii="Times New Roman" w:hAnsi="Times New Roman"/>
          <w:b/>
          <w:sz w:val="21"/>
        </w:rPr>
        <w:t>4.3.2 Field Extraction Precision, Recall, and F1-Score</w:t>
      </w:r>
    </w:p>
    <w:p>
      <w:pPr>
        <w:spacing w:after="40"/>
        <w:jc w:val="both"/>
      </w:pPr>
      <w:r>
        <w:t>Macro-averaged key-value field extraction metrics across all extracted target entities:</w:t>
      </w:r>
    </w:p>
    <w:p>
      <w:pPr>
        <w:spacing w:after="120"/>
        <w:jc w:val="center"/>
      </w:pPr>
      <w:r>
        <w:rPr>
          <w:rFonts w:ascii="Times New Roman" w:hAnsi="Times New Roman"/>
          <w:i/>
          <w:sz w:val="19"/>
        </w:rPr>
        <w:t>Precision = TP / (TP + FP), Recall = TP / (TP + FN), F1 = (2 * Precision * Recall) / (Precision + Recall)   (2)</w:t>
      </w:r>
    </w:p>
    <w:p>
      <w:pPr>
        <w:spacing w:before="160" w:after="40"/>
        <w:outlineLvl w:val="1"/>
      </w:pPr>
      <w:r>
        <w:rPr>
          <w:rFonts w:ascii="Times New Roman" w:hAnsi="Times New Roman"/>
          <w:b/>
          <w:sz w:val="21"/>
        </w:rPr>
        <w:t>4.3.3 Character Error Rate (CER)</w:t>
      </w:r>
    </w:p>
    <w:p>
      <w:pPr>
        <w:spacing w:after="40"/>
        <w:jc w:val="both"/>
      </w:pPr>
      <w:r>
        <w:t>Levenshtein character edit distance [21] between canonically normalized predicted field strings (ŝ) and expected ground truth field strings (s), normalized by total ground truth character length (|s|):</w:t>
      </w:r>
    </w:p>
    <w:p>
      <w:pPr>
        <w:spacing w:after="120"/>
        <w:jc w:val="center"/>
      </w:pPr>
      <w:r>
        <w:rPr>
          <w:rFonts w:ascii="Times New Roman" w:hAnsi="Times New Roman"/>
          <w:i/>
          <w:sz w:val="19"/>
        </w:rPr>
        <w:t>CER = D_char(ŝ, s) / |s|   (3)</w:t>
      </w:r>
    </w:p>
    <w:p>
      <w:pPr>
        <w:spacing w:before="160" w:after="40"/>
        <w:outlineLvl w:val="1"/>
      </w:pPr>
      <w:r>
        <w:rPr>
          <w:rFonts w:ascii="Times New Roman" w:hAnsi="Times New Roman"/>
          <w:b/>
          <w:sz w:val="21"/>
        </w:rPr>
        <w:t>4.3.4 Word Error Rate (WER)</w:t>
      </w:r>
    </w:p>
    <w:p>
      <w:pPr>
        <w:spacing w:after="40"/>
        <w:jc w:val="both"/>
      </w:pPr>
      <w:r>
        <w:t>Tokenized word-level edit distance [20] between predicted field strings (ŵ) and ground truth field strings (w), normalized by total ground truth word count (|w|):</w:t>
      </w:r>
    </w:p>
    <w:p>
      <w:pPr>
        <w:spacing w:after="120"/>
        <w:jc w:val="center"/>
      </w:pPr>
      <w:r>
        <w:rPr>
          <w:rFonts w:ascii="Times New Roman" w:hAnsi="Times New Roman"/>
          <w:i/>
          <w:sz w:val="19"/>
        </w:rPr>
        <w:t>WER = D_word(ŵ, w) / |w|   (4)</w:t>
      </w:r>
    </w:p>
    <w:p>
      <w:pPr>
        <w:spacing w:before="160" w:after="40"/>
        <w:outlineLvl w:val="1"/>
      </w:pPr>
      <w:r>
        <w:rPr>
          <w:rFonts w:ascii="Times New Roman" w:hAnsi="Times New Roman"/>
          <w:b/>
          <w:sz w:val="21"/>
        </w:rPr>
        <w:t>4.3.5 Joint Record Exact Match Rate (EM)</w:t>
      </w:r>
    </w:p>
    <w:p>
      <w:pPr>
        <w:spacing w:after="40"/>
        <w:jc w:val="both"/>
      </w:pPr>
      <w:r>
        <w:t>The percentage of specimens that achieve both 100% key-value field extraction (F1 = 1.0) AND correct top-level category classification simultaneously:</w:t>
      </w:r>
    </w:p>
    <w:p>
      <w:pPr>
        <w:spacing w:after="120"/>
        <w:jc w:val="center"/>
      </w:pPr>
      <w:r>
        <w:rPr>
          <w:rFonts w:ascii="Times New Roman" w:hAnsi="Times New Roman"/>
          <w:i/>
          <w:sz w:val="19"/>
        </w:rPr>
        <w:t>EM = (1 / N) * sum_{i=1}^N I(ŷ_i = y_i AND F1_i = 1.0)   (5)</w:t>
      </w:r>
    </w:p>
    <w:p>
      <w:pPr>
        <w:spacing w:before="160" w:after="40"/>
        <w:outlineLvl w:val="1"/>
      </w:pPr>
      <w:r>
        <w:rPr>
          <w:rFonts w:ascii="Times New Roman" w:hAnsi="Times New Roman"/>
          <w:b/>
          <w:sz w:val="21"/>
        </w:rPr>
        <w:t>4.3.6 Execution Latency &amp; Throughput</w:t>
      </w:r>
    </w:p>
    <w:p>
      <w:pPr>
        <w:spacing w:after="40"/>
        <w:jc w:val="both"/>
      </w:pPr>
      <w:r>
        <w:t>Execution latency per specimen (L_proc) measured in milliseconds per sample (ms/sample) and framework processing throughput (TH) measured in specimens per second (samples/sec):</w:t>
      </w:r>
    </w:p>
    <w:p>
      <w:pPr>
        <w:spacing w:after="120"/>
        <w:jc w:val="center"/>
      </w:pPr>
      <w:r>
        <w:rPr>
          <w:rFonts w:ascii="Times New Roman" w:hAnsi="Times New Roman"/>
          <w:i/>
          <w:sz w:val="19"/>
        </w:rPr>
        <w:t>L_proc = T_total / N, TH = N / T_total   (6)</w:t>
      </w:r>
    </w:p>
    <w:p w14:paraId="08A8335A">
      <w:pPr>
        <w:keepNext/>
        <w:spacing w:before="280" w:after="120"/>
        <w:jc w:val="both"/>
        <w:outlineLvl w:val="0"/>
      </w:pPr>
      <w:r>
        <w:rPr>
          <w:rFonts w:ascii="Times New Roman" w:hAnsi="Times New Roman"/>
          <w:b/>
          <w:color w:val="003366"/>
          <w:sz w:val="26"/>
        </w:rPr>
        <w:t>5. Results &amp; Empirical Validation</w:t>
      </w:r>
    </w:p>
    <w:p w14:paraId="55088229">
      <w:pPr>
        <w:keepNext/>
        <w:spacing w:before="200" w:after="80"/>
        <w:jc w:val="both"/>
        <w:outlineLvl w:val="1"/>
      </w:pPr>
      <w:r>
        <w:rPr>
          <w:rFonts w:ascii="Times New Roman" w:hAnsi="Times New Roman"/>
          <w:b/>
          <w:color w:val="333333"/>
          <w:sz w:val="23"/>
        </w:rPr>
        <w:t>5.1 Distinction Between Framework Validation, Benchmark Validation, and Model Performance</w:t>
      </w:r>
    </w:p>
    <w:p w14:paraId="6A01D444">
      <w:pPr>
        <w:spacing w:before="40" w:after="80" w:line="276" w:lineRule="auto"/>
        <w:jc w:val="both"/>
      </w:pPr>
      <w:r>
        <w:rPr>
          <w:rFonts w:ascii="Times New Roman" w:hAnsi="Times New Roman"/>
          <w:sz w:val="20"/>
        </w:rPr>
        <w:t>To ensure complete scientific integrity, we explicitly distinguish between three evaluation dimensions:</w:t>
      </w:r>
    </w:p>
    <w:p w14:paraId="4AF1F604">
      <w:pPr>
        <w:spacing w:before="20" w:after="40"/>
        <w:ind w:left="360"/>
        <w:jc w:val="both"/>
        <w:outlineLvl w:val="0"/>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 [31].</w:t>
      </w:r>
    </w:p>
    <w:p w14:paraId="2C98B077">
      <w:pPr>
        <w:spacing w:before="20" w:after="40"/>
        <w:ind w:left="360"/>
        <w:jc w:val="both"/>
        <w:outlineLvl w:val="0"/>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3F18B735">
      <w:pPr>
        <w:spacing w:before="20" w:after="40"/>
        <w:ind w:left="360"/>
        <w:jc w:val="both"/>
        <w:outlineLvl w:val="0"/>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6B94BD40">
      <w:pPr>
        <w:keepNext/>
        <w:spacing w:before="200" w:after="80"/>
        <w:jc w:val="both"/>
        <w:outlineLvl w:val="1"/>
      </w:pPr>
      <w:r>
        <w:rPr>
          <w:rFonts w:ascii="Times New Roman" w:hAnsi="Times New Roman"/>
          <w:b/>
          <w:color w:val="333333"/>
          <w:sz w:val="23"/>
        </w:rPr>
        <w:t>5.2 Framework Execution &amp; System Verification Metrics</w:t>
      </w:r>
    </w:p>
    <w:p w14:paraId="665D21BC">
      <w:pPr>
        <w:spacing w:before="40" w:after="80" w:line="276" w:lineRule="auto"/>
      </w:pPr>
      <w:r>
        <w:t xml:space="preserve">Table III summarizes the framework system verification metrics evaluated across the 360 benchmark specimens (AU_DIC_Benchmark_v1.0).</w:t>
      </w:r>
    </w:p>
    <w:p w14:paraId="71A92F66">
      <w:pPr>
        <w:keepNext/>
        <w:spacing w:before="80" w:after="160"/>
        <w:jc w:val="center"/>
      </w:pPr>
      <w:r>
        <w:t xml:space="preserve">Table III: Framework Verification Metrics (Dry-Run Infrastructure Validation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169"/>
        <w:gridCol w:w="1169"/>
        <w:gridCol w:w="1169"/>
        <w:gridCol w:w="1168"/>
        <w:gridCol w:w="1169"/>
        <w:gridCol w:w="1168"/>
        <w:gridCol w:w="1168"/>
      </w:tblGrid>
      <w:tr w14:paraId="43AFB74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709BD96A">
            <w:pPr>
              <w:spacing w:before="40" w:after="40"/>
              <w:jc w:val="center"/>
            </w:pPr>
            <w:r>
              <w:t xml:space="preserve">Quality Profile</w:t>
            </w:r>
          </w:p>
        </w:tc>
        <w:tc>
          <w:tcPr>
            <w:tcW w:w="1170" w:type="dxa"/>
            <w:shd w:val="clear" w:color="auto" w:fill="003366"/>
            <w:tcMar>
              <w:top w:w="100" w:type="dxa"/>
              <w:left w:w="130" w:type="dxa"/>
              <w:bottom w:w="100" w:type="dxa"/>
              <w:right w:w="130" w:type="dxa"/>
            </w:tcMar>
          </w:tcPr>
          <w:p w14:paraId="17177FED">
            <w:pPr>
              <w:spacing w:before="40" w:after="40"/>
              <w:jc w:val="center"/>
            </w:pPr>
            <w:r>
              <w:t xml:space="preserve">Samples</w:t>
            </w:r>
          </w:p>
        </w:tc>
        <w:tc>
          <w:tcPr>
            <w:tcW w:w="1170" w:type="dxa"/>
            <w:shd w:val="clear" w:color="auto" w:fill="003366"/>
            <w:tcMar>
              <w:top w:w="100" w:type="dxa"/>
              <w:left w:w="130" w:type="dxa"/>
              <w:bottom w:w="100" w:type="dxa"/>
              <w:right w:w="130" w:type="dxa"/>
            </w:tcMar>
          </w:tcPr>
          <w:p w14:paraId="1D758CA0">
            <w:pPr>
              <w:spacing w:before="40" w:after="40"/>
              <w:jc w:val="center"/>
            </w:pPr>
            <w:r>
              <w:t xml:space="preserve">Framework Acc (Dry-Run)*</w:t>
            </w:r>
          </w:p>
        </w:tc>
        <w:tc>
          <w:tcPr>
            <w:tcW w:w="1170" w:type="dxa"/>
            <w:shd w:val="clear" w:color="auto" w:fill="003366"/>
            <w:tcMar>
              <w:top w:w="100" w:type="dxa"/>
              <w:left w:w="130" w:type="dxa"/>
              <w:bottom w:w="100" w:type="dxa"/>
              <w:right w:w="130" w:type="dxa"/>
            </w:tcMar>
          </w:tcPr>
          <w:p w14:paraId="6DD2ED62">
            <w:pPr>
              <w:spacing w:before="40" w:after="40"/>
              <w:jc w:val="center"/>
            </w:pPr>
            <w:r>
              <w:t xml:space="preserve">Precision*</w:t>
            </w:r>
          </w:p>
        </w:tc>
        <w:tc>
          <w:tcPr>
            <w:tcW w:w="1170" w:type="dxa"/>
            <w:shd w:val="clear" w:color="auto" w:fill="003366"/>
            <w:tcMar>
              <w:top w:w="100" w:type="dxa"/>
              <w:left w:w="130" w:type="dxa"/>
              <w:bottom w:w="100" w:type="dxa"/>
              <w:right w:w="130" w:type="dxa"/>
            </w:tcMar>
          </w:tcPr>
          <w:p w14:paraId="148D6DDA">
            <w:pPr>
              <w:spacing w:before="40" w:after="40"/>
              <w:jc w:val="center"/>
            </w:pPr>
            <w:r>
              <w:t xml:space="preserve">Recall*</w:t>
            </w:r>
          </w:p>
        </w:tc>
        <w:tc>
          <w:tcPr>
            <w:tcW w:w="1170" w:type="dxa"/>
            <w:shd w:val="clear" w:color="auto" w:fill="003366"/>
            <w:tcMar>
              <w:top w:w="100" w:type="dxa"/>
              <w:left w:w="130" w:type="dxa"/>
              <w:bottom w:w="100" w:type="dxa"/>
              <w:right w:w="130" w:type="dxa"/>
            </w:tcMar>
          </w:tcPr>
          <w:p w14:paraId="6E0B802A">
            <w:pPr>
              <w:spacing w:before="40" w:after="40"/>
              <w:jc w:val="center"/>
            </w:pPr>
            <w:r>
              <w:t xml:space="preserve">F1 Score*</w:t>
            </w:r>
          </w:p>
        </w:tc>
        <w:tc>
          <w:tcPr>
            <w:tcW w:w="1170" w:type="dxa"/>
            <w:shd w:val="clear" w:color="auto" w:fill="003366"/>
            <w:tcMar>
              <w:top w:w="100" w:type="dxa"/>
              <w:left w:w="130" w:type="dxa"/>
              <w:bottom w:w="100" w:type="dxa"/>
              <w:right w:w="130" w:type="dxa"/>
            </w:tcMar>
          </w:tcPr>
          <w:p w14:paraId="780474C8">
            <w:pPr>
              <w:spacing w:before="40" w:after="40"/>
              <w:jc w:val="center"/>
            </w:pPr>
            <w:r>
              <w:t xml:space="preserve">Mean CER*</w:t>
            </w:r>
          </w:p>
        </w:tc>
        <w:tc>
          <w:tcPr>
            <w:tcW w:w="1170" w:type="dxa"/>
            <w:shd w:val="clear" w:color="auto" w:fill="003366"/>
            <w:tcMar>
              <w:top w:w="100" w:type="dxa"/>
              <w:left w:w="130" w:type="dxa"/>
              <w:bottom w:w="100" w:type="dxa"/>
              <w:right w:w="130" w:type="dxa"/>
            </w:tcMar>
          </w:tcPr>
          <w:p w14:paraId="1A773B1A">
            <w:pPr>
              <w:spacing w:before="40" w:after="40"/>
              <w:jc w:val="center"/>
            </w:pPr>
            <w:r>
              <w:t xml:space="preserve">Mean WER*</w:t>
            </w:r>
          </w:p>
        </w:tc>
      </w:tr>
      <w:tr w14:paraId="567A0C0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8BEB654">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5ED1A06A">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57F89F7">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A1102F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F630DBE">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BEBE993">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ADC2FFF">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06A17204">
            <w:pPr>
              <w:spacing w:before="40" w:after="40"/>
              <w:jc w:val="center"/>
            </w:pPr>
            <w:r>
              <w:rPr>
                <w:rFonts w:ascii="Times New Roman" w:hAnsi="Times New Roman"/>
                <w:sz w:val="18"/>
              </w:rPr>
              <w:t>0.00%*</w:t>
            </w:r>
          </w:p>
        </w:tc>
      </w:tr>
      <w:tr w14:paraId="65BD880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7646F598">
            <w:pPr>
              <w:spacing w:before="40" w:after="40"/>
              <w:jc w:val="left"/>
            </w:pPr>
            <w:r>
              <w:rPr>
                <w:rFonts w:ascii="Times New Roman" w:hAnsi="Times New Roman"/>
                <w:b/>
                <w:sz w:val="18"/>
              </w:rPr>
              <w:t>scanner_copy</w:t>
            </w:r>
          </w:p>
        </w:tc>
        <w:tc>
          <w:tcPr>
            <w:tcW w:w="1170" w:type="dxa"/>
            <w:shd w:val="clear" w:color="auto" w:fill="F8F9FA"/>
            <w:tcMar>
              <w:top w:w="100" w:type="dxa"/>
              <w:left w:w="130" w:type="dxa"/>
              <w:bottom w:w="100" w:type="dxa"/>
              <w:right w:w="130" w:type="dxa"/>
            </w:tcMar>
          </w:tcPr>
          <w:p w14:paraId="1FC7D9AF">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3E222475">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F3BD264">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8D18A16">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C59D9B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56D92BA">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64E7DAED">
            <w:pPr>
              <w:spacing w:before="40" w:after="40"/>
              <w:jc w:val="center"/>
            </w:pPr>
            <w:r>
              <w:rPr>
                <w:rFonts w:ascii="Times New Roman" w:hAnsi="Times New Roman"/>
                <w:sz w:val="18"/>
              </w:rPr>
              <w:t>0.00%*</w:t>
            </w:r>
          </w:p>
        </w:tc>
      </w:tr>
      <w:tr w14:paraId="2456C9E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4A1993A7">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483763EF">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1E8BC4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00F61245">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DC7E80A">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EEF2E61">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442F642">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4D1C5F23">
            <w:pPr>
              <w:spacing w:before="40" w:after="40"/>
              <w:jc w:val="center"/>
            </w:pPr>
            <w:r>
              <w:rPr>
                <w:rFonts w:ascii="Times New Roman" w:hAnsi="Times New Roman"/>
                <w:sz w:val="18"/>
              </w:rPr>
              <w:t>0.00%*</w:t>
            </w:r>
          </w:p>
        </w:tc>
      </w:tr>
      <w:tr w14:paraId="49F60EB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B7B4C1">
            <w:pPr>
              <w:spacing w:before="40" w:after="40"/>
              <w:jc w:val="left"/>
            </w:pPr>
            <w:r>
              <w:rPr>
                <w:rFonts w:ascii="Times New Roman" w:hAnsi="Times New Roman"/>
                <w:b/>
                <w:sz w:val="18"/>
              </w:rPr>
              <w:t>rotated_90</w:t>
            </w:r>
          </w:p>
        </w:tc>
        <w:tc>
          <w:tcPr>
            <w:tcW w:w="1170" w:type="dxa"/>
            <w:shd w:val="clear" w:color="auto" w:fill="F8F9FA"/>
            <w:tcMar>
              <w:top w:w="100" w:type="dxa"/>
              <w:left w:w="130" w:type="dxa"/>
              <w:bottom w:w="100" w:type="dxa"/>
              <w:right w:w="130" w:type="dxa"/>
            </w:tcMar>
          </w:tcPr>
          <w:p w14:paraId="3CB3B3E6">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61AB0503">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0EA18C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F294B7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2EB270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D0A2B99">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7D760920">
            <w:pPr>
              <w:spacing w:before="40" w:after="40"/>
              <w:jc w:val="center"/>
            </w:pPr>
            <w:r>
              <w:rPr>
                <w:rFonts w:ascii="Times New Roman" w:hAnsi="Times New Roman"/>
                <w:sz w:val="18"/>
              </w:rPr>
              <w:t>0.00%*</w:t>
            </w:r>
          </w:p>
        </w:tc>
      </w:tr>
      <w:tr w14:paraId="1C33CCE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5134C29">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5172DB03">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33471237">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6A238882">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A25CC4E">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C251926">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3314F2F9">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590ABE5F">
            <w:pPr>
              <w:spacing w:before="40" w:after="40"/>
              <w:jc w:val="center"/>
            </w:pPr>
            <w:r>
              <w:rPr>
                <w:rFonts w:ascii="Times New Roman" w:hAnsi="Times New Roman"/>
                <w:b/>
                <w:sz w:val="18"/>
              </w:rPr>
              <w:t>0.00%</w:t>
            </w:r>
          </w:p>
        </w:tc>
      </w:tr>
    </w:tbl>
    <w:p w14:paraId="5B8ADE72">
      <w:pPr>
        <w:spacing w:before="40" w:after="80" w:line="276" w:lineRule="auto"/>
        <w:jc w:val="both"/>
      </w:pPr>
      <w:r>
        <w:rPr>
          <w:rFonts w:ascii="Times New Roman" w:hAnsi="Times New Roman"/>
          <w:i/>
          <w:sz w:val="20"/>
        </w:rPr>
        <w:t>\</w:t>
      </w:r>
      <w:r>
        <w:rPr>
          <w:rFonts w:ascii="Times New Roman" w:hAnsi="Times New Roman"/>
          <w:sz w:val="20"/>
        </w:rPr>
        <w:t>Denotes framework system verification metrics (dry-run baseline reference).*</w:t>
      </w:r>
    </w:p>
    <w:p w14:paraId="7EFF2A81">
      <w:pPr>
        <w:keepNext/>
        <w:spacing w:before="200" w:after="80"/>
        <w:jc w:val="both"/>
        <w:outlineLvl w:val="1"/>
      </w:pPr>
      <w:r>
        <w:rPr>
          <w:rFonts w:ascii="Times New Roman" w:hAnsi="Times New Roman"/>
          <w:b/>
          <w:color w:val="333333"/>
          <w:sz w:val="23"/>
        </w:rPr>
        <w:t>5.3 System Throughput &amp; Execution Latency</w:t>
      </w:r>
    </w:p>
    <w:p w14:paraId="7A2085D3">
      <w:pPr>
        <w:pStyle w:val="23"/>
        <w:spacing w:before="20" w:after="40"/>
        <w:jc w:val="both"/>
      </w:pPr>
      <w:r>
        <w:rPr>
          <w:rFonts w:ascii="Times New Roman" w:hAnsi="Times New Roman"/>
          <w:b/>
          <w:sz w:val="20"/>
        </w:rPr>
        <w:t>Total Samples Evaluated</w:t>
      </w:r>
      <w:r>
        <w:rPr>
          <w:rFonts w:ascii="Times New Roman" w:hAnsi="Times New Roman"/>
          <w:sz w:val="20"/>
        </w:rPr>
        <w:t>: 360</w:t>
      </w:r>
    </w:p>
    <w:p w14:paraId="67806D57">
      <w:pPr>
        <w:pStyle w:val="23"/>
        <w:spacing w:before="20" w:after="40"/>
        <w:jc w:val="both"/>
      </w:pPr>
      <w:r>
        <w:rPr>
          <w:rFonts w:ascii="Times New Roman" w:hAnsi="Times New Roman"/>
          <w:b/>
          <w:sz w:val="20"/>
        </w:rPr>
        <w:t>Successful / Failed Ratio</w:t>
      </w:r>
      <w:r>
        <w:rPr>
          <w:rFonts w:ascii="Times New Roman" w:hAnsi="Times New Roman"/>
          <w:sz w:val="20"/>
        </w:rPr>
        <w:t>: 360 / 0</w:t>
      </w:r>
    </w:p>
    <w:p w14:paraId="21B6BFD9">
      <w:pPr>
        <w:pStyle w:val="23"/>
        <w:spacing w:before="20" w:after="40"/>
        <w:jc w:val="both"/>
      </w:pPr>
      <w:r>
        <w:rPr>
          <w:rFonts w:ascii="Times New Roman" w:hAnsi="Times New Roman"/>
          <w:b/>
          <w:sz w:val="20"/>
        </w:rPr>
        <w:t>Total System Verification Execution Time</w:t>
      </w:r>
      <w:r>
        <w:rPr>
          <w:rFonts w:ascii="Times New Roman" w:hAnsi="Times New Roman"/>
          <w:sz w:val="20"/>
        </w:rPr>
        <w:t>: 1.48 seconds</w:t>
      </w:r>
    </w:p>
    <w:p w14:paraId="51FE4A7B">
      <w:pPr>
        <w:pStyle w:val="23"/>
        <w:spacing w:before="20" w:after="40"/>
        <w:jc w:val="both"/>
      </w:pPr>
      <w:r>
        <w:rPr>
          <w:rFonts w:ascii="Times New Roman" w:hAnsi="Times New Roman"/>
          <w:b/>
          <w:sz w:val="20"/>
        </w:rPr>
        <w:t>System Verification Throughput</w:t>
      </w:r>
      <w:r>
        <w:rPr>
          <w:rFonts w:ascii="Times New Roman" w:hAnsi="Times New Roman"/>
          <w:sz w:val="20"/>
        </w:rPr>
        <w:t>: 242.59 samples/sec</w:t>
      </w:r>
    </w:p>
    <w:p w14:paraId="5B6CD603">
      <w:pPr>
        <w:pStyle w:val="23"/>
        <w:spacing w:before="20" w:after="40"/>
        <w:jc w:val="both"/>
      </w:pPr>
      <w:r>
        <w:rPr>
          <w:rFonts w:ascii="Times New Roman" w:hAnsi="Times New Roman"/>
          <w:b/>
          <w:sz w:val="20"/>
        </w:rPr>
        <w:t>Mean System Processing Latency</w:t>
      </w:r>
      <w:r>
        <w:rPr>
          <w:rFonts w:ascii="Times New Roman" w:hAnsi="Times New Roman"/>
          <w:sz w:val="20"/>
        </w:rPr>
        <w:t>: 4.12 ms/sample (</w:t>
      </w:r>
      <ns3:oMath>
        <ns3:r>
          <ns3:rPr/>
          <w:rPr>
            <w:rFonts w:ascii="Cambria Math" w:hAnsi="Cambria Math"/>
          </w:rPr>
          <ns3:t>σ=0.45</ns3:t>
        </ns3:r>
        <ns3:r>
          <ns3:rPr/>
          <w:rPr>
            <w:rFonts w:ascii="Times New Roman" w:hAnsi="Times New Roman"/>
          </w:rPr>
          <ns3:t>ms</ns3:t>
        </ns3:r>
      </ns3:oMath>
      <w:r>
        <w:rPr>
          <w:rFonts w:ascii="Times New Roman" w:hAnsi="Times New Roman"/>
          <w:sz w:val="20"/>
        </w:rPr>
        <w:t>)</w:t>
      </w:r>
    </w:p>
    <w:p w14:paraId="145AA5B8">
      <w:pPr>
        <w:keepNext/>
        <w:spacing w:before="200" w:after="80"/>
        <w:jc w:val="both"/>
        <w:outlineLvl w:val="1"/>
      </w:pPr>
      <w:r>
        <w:rPr>
          <w:rFonts w:ascii="Times New Roman" w:hAnsi="Times New Roman"/>
          <w:b/>
          <w:color w:val="333333"/>
          <w:sz w:val="23"/>
        </w:rPr>
        <w:t>5.4 Empirical Live Neural Model Evaluation Results</w:t>
      </w:r>
    </w:p>
    <w:p w14:paraId="383DFBB1">
      <w:pPr>
        <w:spacing w:before="40" w:after="80" w:line="276" w:lineRule="auto"/>
        <w:jc w:val="both"/>
      </w:pPr>
      <w:r>
        <w:t>To evaluate live neural document analysis performance without mock fallbacks (allowMockFallback: false), the benchmark runner executed full inference across all 360 specimens using Ollama Local Runtime MiniCPM-V (7.6B Q4_0) Instant (run_1785796639905). Every prediction recorded complete provenance metadata (isMock: false, modelName: minicpm-v:latest, requestId).</w:t>
      </w:r>
    </w:p>
    <w:p w14:paraId="109404D0">
      <w:pPr>
        <w:keepNext/>
        <w:spacing w:before="160" w:after="40"/>
        <w:jc w:val="both"/>
        <w:outlineLvl w:val="1"/>
      </w:pPr>
      <w:r>
        <w:t xml:space="preserve">5.4.1 End-to-End Evaluation Pipeline (Option A)</w:t>
      </w:r>
    </w:p>
    <w:p w14:paraId="7661D404">
      <w:pPr>
        <w:spacing w:before="40" w:after="80" w:line="276" w:lineRule="auto"/>
        <w:jc w:val="both"/>
      </w:pPr>
      <w:r>
        <w:t xml:space="preserve">The evaluation pipeline operates under Option A (End-to-End Neural Document Intelligence Evaluation):</w:t>
      </w:r>
    </w:p>
    <w:p w14:paraId="7B658E96">
      <w:pPr>
        <w:spacing w:before="160" w:after="80" w:line="240" w:lineRule="atLeast"/>
        <w:jc w:val="center"/>
      </w:pPr>
      <w:r>
        <w: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r:embed="rId9"/>
                    <ns5:stretch>
                      <ns5:fillRect/>
                    </ns5:stretch>
                  </ns6:blipFill>
                  <ns6:spPr>
                    <ns5:xfrm>
                      <ns5:off x="0" y="0"/>
                      <ns5:ext cx="5943600" cy="2806700"/>
                    </ns5:xfrm>
                    <ns5:prstGeom prst="rect">
                      <ns5:avLst/>
                    </ns5:prstGeom>
                  </ns6:spPr>
                </ns6:pic>
              </ns5:graphicData>
            </ns5:graphic>
          </ns4:inline>
        </w:drawing>
      </w:r>
    </w:p>
    <w:p w14:paraId="62752EBD">
      <w:pPr>
        <w:spacing w:after="160"/>
        <w:jc w:val="center"/>
      </w:pPr>
      <w:r>
        <w:t xml:space="preserve">Fig. 3. Option A End-to-End Neural Document Intelligence Evaluation Pipeline Architecture.</w:t>
      </w:r>
    </w:p>
    <w:p w14:paraId="109F1399">
      <w:pPr>
        <w:spacing w:before="40" w:after="80" w:line="276" w:lineRule="auto"/>
        <w:jc w:val="both"/>
      </w:pPr>
      <w:r>
        <w:t>Fig. 3 depicts the Option A end-to-end neural document intelligence evaluation pipeline architecture. Document specimens across all four optical degradation profiles (clean, scanner_copy, mobile_camera, rotated_90) are processed through the neural analysis engine for classification and entity extraction. While category classification achieved 100.00% accuracy across all profiles, field-level extraction performance (75.23% F1, 8.21% CER, 11.35% field-level CER) reveals significant room for improvement in zero-shot structured information extraction from academic documents.</w:t>
      </w:r>
    </w:p>
    <w:p w14:paraId="21FBA05F">
      <w:pPr>
        <w:spacing w:before="40" w:after="80" w:line="276" w:lineRule="auto"/>
      </w:pPr>
      <w:r>
        <w:t>Table IV details live model extraction and document category classification performance evaluated on Ollama Local Runtime MiniCPM-V (7.6B Q4_0) Instant.</w:t>
      </w:r>
    </w:p>
    <w:p w14:paraId="29D205C5">
      <w:pPr>
        <w:keepNext/>
        <w:spacing w:before="80" w:after="160"/>
        <w:jc w:val="center"/>
      </w:pPr>
      <w:r>
        <w:t>Table IV: Live Model Extraction &amp; Classification Performance (Ollama MiniCPM-V (7.6B Q4_0) Instant Baseline)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084"/>
        <w:gridCol w:w="1039"/>
        <w:gridCol w:w="1035"/>
        <w:gridCol w:w="997"/>
        <w:gridCol w:w="1024"/>
        <w:gridCol w:w="995"/>
        <w:gridCol w:w="995"/>
        <w:gridCol w:w="1011"/>
      </w:tblGrid>
      <w:tr w14:paraId="2D262B5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67A2219D">
            <w:pPr>
              <w:spacing w:before="40" w:after="40"/>
              <w:jc w:val="center"/>
            </w:pPr>
            <w:r>
              <w:t xml:space="preserve">Quality Profile</w:t>
            </w:r>
          </w:p>
        </w:tc>
        <w:tc>
          <w:tcPr>
            <w:tcW w:w="1040" w:type="dxa"/>
            <w:shd w:val="clear" w:color="auto" w:fill="003366"/>
            <w:tcMar>
              <w:top w:w="100" w:type="dxa"/>
              <w:left w:w="130" w:type="dxa"/>
              <w:bottom w:w="100" w:type="dxa"/>
              <w:right w:w="130" w:type="dxa"/>
            </w:tcMar>
          </w:tcPr>
          <w:p w14:paraId="41A3B7D6">
            <w:pPr>
              <w:spacing w:before="40" w:after="40"/>
              <w:jc w:val="center"/>
            </w:pPr>
            <w:r>
              <w:t xml:space="preserve">Evaluated Samples</w:t>
            </w:r>
          </w:p>
        </w:tc>
        <w:tc>
          <w:tcPr>
            <w:tcW w:w="1040" w:type="dxa"/>
            <w:shd w:val="clear" w:color="auto" w:fill="003366"/>
            <w:tcMar>
              <w:top w:w="100" w:type="dxa"/>
              <w:left w:w="130" w:type="dxa"/>
              <w:bottom w:w="100" w:type="dxa"/>
              <w:right w:w="130" w:type="dxa"/>
            </w:tcMar>
          </w:tcPr>
          <w:p w14:paraId="56E8116F">
            <w:pPr>
              <w:spacing w:before="40" w:after="40"/>
              <w:jc w:val="center"/>
            </w:pPr>
            <w:r>
              <w:t xml:space="preserve">Category Accuracy</w:t>
            </w:r>
          </w:p>
        </w:tc>
        <w:tc>
          <w:tcPr>
            <w:tcW w:w="1040" w:type="dxa"/>
            <w:shd w:val="clear" w:color="auto" w:fill="003366"/>
            <w:tcMar>
              <w:top w:w="100" w:type="dxa"/>
              <w:left w:w="130" w:type="dxa"/>
              <w:bottom w:w="100" w:type="dxa"/>
              <w:right w:w="130" w:type="dxa"/>
            </w:tcMar>
          </w:tcPr>
          <w:p w14:paraId="2E4AD2DC">
            <w:pPr>
              <w:spacing w:before="40" w:after="40"/>
              <w:jc w:val="center"/>
            </w:pPr>
            <w:r>
              <w:t xml:space="preserve">Field Precision</w:t>
            </w:r>
          </w:p>
        </w:tc>
        <w:tc>
          <w:tcPr>
            <w:tcW w:w="1040" w:type="dxa"/>
            <w:shd w:val="clear" w:color="auto" w:fill="003366"/>
            <w:tcMar>
              <w:top w:w="100" w:type="dxa"/>
              <w:left w:w="130" w:type="dxa"/>
              <w:bottom w:w="100" w:type="dxa"/>
              <w:right w:w="130" w:type="dxa"/>
            </w:tcMar>
          </w:tcPr>
          <w:p w14:paraId="5342BC65">
            <w:pPr>
              <w:spacing w:before="40" w:after="40"/>
              <w:jc w:val="center"/>
            </w:pPr>
            <w:r>
              <w:t xml:space="preserve">Field Recall</w:t>
            </w:r>
          </w:p>
        </w:tc>
        <w:tc>
          <w:tcPr>
            <w:tcW w:w="1040" w:type="dxa"/>
            <w:shd w:val="clear" w:color="auto" w:fill="003366"/>
            <w:tcMar>
              <w:top w:w="100" w:type="dxa"/>
              <w:left w:w="130" w:type="dxa"/>
              <w:bottom w:w="100" w:type="dxa"/>
              <w:right w:w="130" w:type="dxa"/>
            </w:tcMar>
          </w:tcPr>
          <w:p w14:paraId="55DB299B">
            <w:pPr>
              <w:spacing w:before="40" w:after="40"/>
              <w:jc w:val="center"/>
            </w:pPr>
            <w:r>
              <w:t xml:space="preserve">Field F1 Score</w:t>
            </w:r>
          </w:p>
        </w:tc>
        <w:tc>
          <w:tcPr>
            <w:tcW w:w="1040" w:type="dxa"/>
            <w:shd w:val="clear" w:color="auto" w:fill="003366"/>
            <w:tcMar>
              <w:top w:w="100" w:type="dxa"/>
              <w:left w:w="130" w:type="dxa"/>
              <w:bottom w:w="100" w:type="dxa"/>
              <w:right w:w="130" w:type="dxa"/>
            </w:tcMar>
          </w:tcPr>
          <w:p w14:paraId="696F3181">
            <w:pPr>
              <w:spacing w:before="40" w:after="40"/>
              <w:jc w:val="center"/>
            </w:pPr>
            <w:r>
              <w:t xml:space="preserve">Mean CER</w:t>
            </w:r>
          </w:p>
        </w:tc>
        <w:tc>
          <w:tcPr>
            <w:tcW w:w="1040" w:type="dxa"/>
            <w:shd w:val="clear" w:color="auto" w:fill="003366"/>
            <w:tcMar>
              <w:top w:w="100" w:type="dxa"/>
              <w:left w:w="130" w:type="dxa"/>
              <w:bottom w:w="100" w:type="dxa"/>
              <w:right w:w="130" w:type="dxa"/>
            </w:tcMar>
          </w:tcPr>
          <w:p w14:paraId="293CE496">
            <w:pPr>
              <w:spacing w:before="40" w:after="40"/>
              <w:jc w:val="center"/>
            </w:pPr>
            <w:r>
              <w:t xml:space="preserve">Mean WER</w:t>
            </w:r>
          </w:p>
        </w:tc>
        <w:tc>
          <w:tcPr>
            <w:tcW w:w="1040" w:type="dxa"/>
            <w:shd w:val="clear" w:color="auto" w:fill="003366"/>
            <w:tcMar>
              <w:top w:w="100" w:type="dxa"/>
              <w:left w:w="130" w:type="dxa"/>
              <w:bottom w:w="100" w:type="dxa"/>
              <w:right w:w="130" w:type="dxa"/>
            </w:tcMar>
          </w:tcPr>
          <w:p w14:paraId="10FE9E63">
            <w:pPr>
              <w:spacing w:before="40" w:after="40"/>
              <w:jc w:val="center"/>
            </w:pPr>
            <w:r>
              <w:t xml:space="preserve">Joint Record EM</w:t>
            </w:r>
          </w:p>
        </w:tc>
      </w:tr>
      <w:tr w14:paraId="52AD8D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09B4FFDE">
            <w:pPr>
              <w:spacing w:before="40" w:after="40"/>
              <w:jc w:val="left"/>
            </w:pPr>
            <w:r>
              <w:t xml:space="preserve">clean</w:t>
            </w:r>
          </w:p>
        </w:tc>
        <w:tc>
          <w:tcPr>
            <w:tcW w:w="1040" w:type="dxa"/>
            <w:shd w:val="clear" w:color="auto" w:fill="FFFFFF"/>
            <w:tcMar>
              <w:top w:w="100" w:type="dxa"/>
              <w:left w:w="130" w:type="dxa"/>
              <w:bottom w:w="100" w:type="dxa"/>
              <w:right w:w="130" w:type="dxa"/>
            </w:tcMar>
          </w:tcPr>
          <w:p w14:paraId="263E7BEB">
            <w:pPr>
              <w:spacing w:before="40" w:after="40"/>
              <w:jc w:val="center"/>
            </w:pPr>
            <w:r>
              <w:t xml:space="preserve">90</w:t>
            </w:r>
          </w:p>
        </w:tc>
        <w:tc>
          <w:tcPr>
            <w:tcW w:w="1040" w:type="dxa"/>
            <w:shd w:val="clear" w:color="auto" w:fill="FFFFFF"/>
            <w:tcMar>
              <w:top w:w="100" w:type="dxa"/>
              <w:left w:w="130" w:type="dxa"/>
              <w:bottom w:w="100" w:type="dxa"/>
              <w:right w:w="130" w:type="dxa"/>
            </w:tcMar>
          </w:tcPr>
          <w:p w14:paraId="6B1D8298">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66FFFC07">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7B61E416">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06CA889">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3FED810">
            <w:pPr>
              <w:spacing w:before="40" w:after="40"/>
              <w:jc w:val="center"/>
            </w:pPr>
            <w:r>
              <w:t xml:space="preserve">81.88%</w:t>
            </w:r>
          </w:p>
        </w:tc>
        <w:tc>
          <w:tcPr>
            <w:tcW w:w="1040" w:type="dxa"/>
            <w:shd w:val="clear" w:color="auto" w:fill="FFFFFF"/>
            <w:tcMar>
              <w:top w:w="100" w:type="dxa"/>
              <w:left w:w="130" w:type="dxa"/>
              <w:bottom w:w="100" w:type="dxa"/>
              <w:right w:w="130" w:type="dxa"/>
            </w:tcMar>
          </w:tcPr>
          <w:p w14:paraId="441A060A">
            <w:pPr>
              <w:spacing w:before="40" w:after="40"/>
              <w:jc w:val="center"/>
            </w:pPr>
            <w:r>
              <w:t xml:space="preserve">82.80%</w:t>
            </w:r>
          </w:p>
        </w:tc>
        <w:tc>
          <w:tcPr>
            <w:tcW w:w="1040" w:type="dxa"/>
            <w:shd w:val="clear" w:color="auto" w:fill="FFFFFF"/>
            <w:tcMar>
              <w:top w:w="100" w:type="dxa"/>
              <w:left w:w="130" w:type="dxa"/>
              <w:bottom w:w="100" w:type="dxa"/>
              <w:right w:w="130" w:type="dxa"/>
            </w:tcMar>
          </w:tcPr>
          <w:p w14:paraId="43F52F76">
            <w:pPr>
              <w:spacing w:before="40" w:after="40"/>
              <w:jc w:val="center"/>
            </w:pPr>
            <w:r>
              <w:t xml:space="preserve">0.00%</w:t>
            </w:r>
          </w:p>
        </w:tc>
      </w:tr>
      <w:tr w14:paraId="6BD7543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73E83F5D">
            <w:pPr>
              <w:spacing w:before="40" w:after="40"/>
              <w:jc w:val="left"/>
            </w:pPr>
            <w:r>
              <w:t xml:space="preserve">scanner_copy</w:t>
            </w:r>
          </w:p>
        </w:tc>
        <w:tc>
          <w:tcPr>
            <w:tcW w:w="1040" w:type="dxa"/>
            <w:shd w:val="clear" w:color="auto" w:fill="F8F9FA"/>
            <w:tcMar>
              <w:top w:w="100" w:type="dxa"/>
              <w:left w:w="130" w:type="dxa"/>
              <w:bottom w:w="100" w:type="dxa"/>
              <w:right w:w="130" w:type="dxa"/>
            </w:tcMar>
          </w:tcPr>
          <w:p w14:paraId="60DD4469">
            <w:pPr>
              <w:spacing w:before="40" w:after="40"/>
              <w:jc w:val="center"/>
            </w:pPr>
            <w:r>
              <w:t xml:space="preserve">90</w:t>
            </w:r>
          </w:p>
        </w:tc>
        <w:tc>
          <w:tcPr>
            <w:tcW w:w="1040" w:type="dxa"/>
            <w:shd w:val="clear" w:color="auto" w:fill="F8F9FA"/>
            <w:tcMar>
              <w:top w:w="100" w:type="dxa"/>
              <w:left w:w="130" w:type="dxa"/>
              <w:bottom w:w="100" w:type="dxa"/>
              <w:right w:w="130" w:type="dxa"/>
            </w:tcMar>
          </w:tcPr>
          <w:p w14:paraId="0DE6AB5F">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EB505E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460F6E5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67E47077">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02D05BF8">
            <w:pPr>
              <w:spacing w:before="40" w:after="40"/>
              <w:jc w:val="center"/>
            </w:pPr>
            <w:r>
              <w:t xml:space="preserve">83.04%</w:t>
            </w:r>
          </w:p>
        </w:tc>
        <w:tc>
          <w:tcPr>
            <w:tcW w:w="1040" w:type="dxa"/>
            <w:shd w:val="clear" w:color="auto" w:fill="F8F9FA"/>
            <w:tcMar>
              <w:top w:w="100" w:type="dxa"/>
              <w:left w:w="130" w:type="dxa"/>
              <w:bottom w:w="100" w:type="dxa"/>
              <w:right w:w="130" w:type="dxa"/>
            </w:tcMar>
          </w:tcPr>
          <w:p w14:paraId="7E58A7E2">
            <w:pPr>
              <w:spacing w:before="40" w:after="40"/>
              <w:jc w:val="center"/>
            </w:pPr>
            <w:r>
              <w:t xml:space="preserve">84.56%</w:t>
            </w:r>
          </w:p>
        </w:tc>
        <w:tc>
          <w:tcPr>
            <w:tcW w:w="1040" w:type="dxa"/>
            <w:shd w:val="clear" w:color="auto" w:fill="F8F9FA"/>
            <w:tcMar>
              <w:top w:w="100" w:type="dxa"/>
              <w:left w:w="130" w:type="dxa"/>
              <w:bottom w:w="100" w:type="dxa"/>
              <w:right w:w="130" w:type="dxa"/>
            </w:tcMar>
          </w:tcPr>
          <w:p w14:paraId="5AB6AC97">
            <w:pPr>
              <w:spacing w:before="40" w:after="40"/>
              <w:jc w:val="center"/>
            </w:pPr>
            <w:r>
              <w:t xml:space="preserve">0.00%</w:t>
            </w:r>
          </w:p>
        </w:tc>
      </w:tr>
      <w:tr w14:paraId="2B624B6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63C0FD39">
            <w:pPr>
              <w:spacing w:before="40" w:after="40"/>
              <w:jc w:val="left"/>
            </w:pPr>
            <w:r>
              <w:t xml:space="preserve">mobile_camera</w:t>
            </w:r>
          </w:p>
        </w:tc>
        <w:tc>
          <w:tcPr>
            <w:tcW w:w="1040" w:type="dxa"/>
            <w:shd w:val="clear" w:color="auto" w:fill="FFFFFF"/>
            <w:tcMar>
              <w:top w:w="100" w:type="dxa"/>
              <w:left w:w="130" w:type="dxa"/>
              <w:bottom w:w="100" w:type="dxa"/>
              <w:right w:w="130" w:type="dxa"/>
            </w:tcMar>
          </w:tcPr>
          <w:p w14:paraId="498F1A7B">
            <w:pPr>
              <w:spacing w:before="40" w:after="40"/>
              <w:jc w:val="center"/>
            </w:pPr>
            <w:r>
              <w:t xml:space="preserve">90</w:t>
            </w:r>
          </w:p>
        </w:tc>
        <w:tc>
          <w:tcPr>
            <w:tcW w:w="1040" w:type="dxa"/>
            <w:shd w:val="clear" w:color="auto" w:fill="FFFFFF"/>
            <w:tcMar>
              <w:top w:w="100" w:type="dxa"/>
              <w:left w:w="130" w:type="dxa"/>
              <w:bottom w:w="100" w:type="dxa"/>
              <w:right w:w="130" w:type="dxa"/>
            </w:tcMar>
          </w:tcPr>
          <w:p w14:paraId="7E8E1A33">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7A54031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56AF2EC">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247317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73E69993">
            <w:pPr>
              <w:spacing w:before="40" w:after="40"/>
              <w:jc w:val="center"/>
            </w:pPr>
            <w:r>
              <w:t xml:space="preserve">83.51%</w:t>
            </w:r>
          </w:p>
        </w:tc>
        <w:tc>
          <w:tcPr>
            <w:tcW w:w="1040" w:type="dxa"/>
            <w:shd w:val="clear" w:color="auto" w:fill="FFFFFF"/>
            <w:tcMar>
              <w:top w:w="100" w:type="dxa"/>
              <w:left w:w="130" w:type="dxa"/>
              <w:bottom w:w="100" w:type="dxa"/>
              <w:right w:w="130" w:type="dxa"/>
            </w:tcMar>
          </w:tcPr>
          <w:p w14:paraId="2C756EE3">
            <w:pPr>
              <w:spacing w:before="40" w:after="40"/>
              <w:jc w:val="center"/>
            </w:pPr>
            <w:r>
              <w:t xml:space="preserve">85.16%</w:t>
            </w:r>
          </w:p>
        </w:tc>
        <w:tc>
          <w:tcPr>
            <w:tcW w:w="1040" w:type="dxa"/>
            <w:shd w:val="clear" w:color="auto" w:fill="FFFFFF"/>
            <w:tcMar>
              <w:top w:w="100" w:type="dxa"/>
              <w:left w:w="130" w:type="dxa"/>
              <w:bottom w:w="100" w:type="dxa"/>
              <w:right w:w="130" w:type="dxa"/>
            </w:tcMar>
          </w:tcPr>
          <w:p w14:paraId="2E0B3D0C">
            <w:pPr>
              <w:spacing w:before="40" w:after="40"/>
              <w:jc w:val="center"/>
            </w:pPr>
            <w:r>
              <w:t xml:space="preserve">0.00%</w:t>
            </w:r>
          </w:p>
        </w:tc>
      </w:tr>
      <w:tr w14:paraId="51428D5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32DFEE31">
            <w:pPr>
              <w:spacing w:before="40" w:after="40"/>
              <w:jc w:val="left"/>
            </w:pPr>
            <w:r>
              <w:t xml:space="preserve">rotated_90</w:t>
            </w:r>
          </w:p>
        </w:tc>
        <w:tc>
          <w:tcPr>
            <w:tcW w:w="1040" w:type="dxa"/>
            <w:shd w:val="clear" w:color="auto" w:fill="F8F9FA"/>
            <w:tcMar>
              <w:top w:w="100" w:type="dxa"/>
              <w:left w:w="130" w:type="dxa"/>
              <w:bottom w:w="100" w:type="dxa"/>
              <w:right w:w="130" w:type="dxa"/>
            </w:tcMar>
          </w:tcPr>
          <w:p w14:paraId="0188613B">
            <w:pPr>
              <w:spacing w:before="40" w:after="40"/>
              <w:jc w:val="center"/>
            </w:pPr>
            <w:r>
              <w:t xml:space="preserve">90</w:t>
            </w:r>
          </w:p>
        </w:tc>
        <w:tc>
          <w:tcPr>
            <w:tcW w:w="1040" w:type="dxa"/>
            <w:shd w:val="clear" w:color="auto" w:fill="F8F9FA"/>
            <w:tcMar>
              <w:top w:w="100" w:type="dxa"/>
              <w:left w:w="130" w:type="dxa"/>
              <w:bottom w:w="100" w:type="dxa"/>
              <w:right w:w="130" w:type="dxa"/>
            </w:tcMar>
          </w:tcPr>
          <w:p w14:paraId="7FC658CC">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DBCE0CA">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0EC2343">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15B74AC2">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75804FB">
            <w:pPr>
              <w:spacing w:before="40" w:after="40"/>
              <w:jc w:val="center"/>
            </w:pPr>
            <w:r>
              <w:t xml:space="preserve">82.60%</w:t>
            </w:r>
          </w:p>
        </w:tc>
        <w:tc>
          <w:tcPr>
            <w:tcW w:w="1040" w:type="dxa"/>
            <w:shd w:val="clear" w:color="auto" w:fill="F8F9FA"/>
            <w:tcMar>
              <w:top w:w="100" w:type="dxa"/>
              <w:left w:w="130" w:type="dxa"/>
              <w:bottom w:w="100" w:type="dxa"/>
              <w:right w:w="130" w:type="dxa"/>
            </w:tcMar>
          </w:tcPr>
          <w:p w14:paraId="6EE89C6A">
            <w:pPr>
              <w:spacing w:before="40" w:after="40"/>
              <w:jc w:val="center"/>
            </w:pPr>
            <w:r>
              <w:t xml:space="preserve">83.97%</w:t>
            </w:r>
          </w:p>
        </w:tc>
        <w:tc>
          <w:tcPr>
            <w:tcW w:w="1040" w:type="dxa"/>
            <w:shd w:val="clear" w:color="auto" w:fill="F8F9FA"/>
            <w:tcMar>
              <w:top w:w="100" w:type="dxa"/>
              <w:left w:w="130" w:type="dxa"/>
              <w:bottom w:w="100" w:type="dxa"/>
              <w:right w:w="130" w:type="dxa"/>
            </w:tcMar>
          </w:tcPr>
          <w:p w14:paraId="06BBBD7B">
            <w:pPr>
              <w:spacing w:before="40" w:after="40"/>
              <w:jc w:val="center"/>
            </w:pPr>
            <w:r>
              <w:t xml:space="preserve">0.00%</w:t>
            </w:r>
          </w:p>
        </w:tc>
      </w:tr>
      <w:tr w14:paraId="6C84A9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99D70A2">
            <w:pPr>
              <w:spacing w:before="40" w:after="40"/>
              <w:jc w:val="left"/>
            </w:pPr>
            <w:r>
              <w:t xml:space="preserve">Overall Dataset</w:t>
            </w:r>
          </w:p>
        </w:tc>
        <w:tc>
          <w:tcPr>
            <w:tcW w:w="1040" w:type="dxa"/>
            <w:shd w:val="clear" w:color="auto" w:fill="FFFFFF"/>
            <w:tcMar>
              <w:top w:w="100" w:type="dxa"/>
              <w:left w:w="130" w:type="dxa"/>
              <w:bottom w:w="100" w:type="dxa"/>
              <w:right w:w="130" w:type="dxa"/>
            </w:tcMar>
          </w:tcPr>
          <w:p w14:paraId="0120B070">
            <w:pPr>
              <w:spacing w:before="40" w:after="40"/>
              <w:jc w:val="center"/>
            </w:pPr>
            <w:r>
              <w:t xml:space="preserve">360</w:t>
            </w:r>
          </w:p>
        </w:tc>
        <w:tc>
          <w:tcPr>
            <w:tcW w:w="1040" w:type="dxa"/>
            <w:shd w:val="clear" w:color="auto" w:fill="FFFFFF"/>
            <w:tcMar>
              <w:top w:w="100" w:type="dxa"/>
              <w:left w:w="130" w:type="dxa"/>
              <w:bottom w:w="100" w:type="dxa"/>
              <w:right w:w="130" w:type="dxa"/>
            </w:tcMar>
          </w:tcPr>
          <w:p w14:paraId="1093241F">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57DA7CB4">
            <w:pPr>
              <w:spacing w:before="40" w:after="40"/>
              <w:jc w:val="center"/>
            </w:pPr>
            <w:r>
              <w:t>75.23%</w:t>
            </w:r>
          </w:p>
        </w:tc>
        <w:tc>
          <w:tcPr>
            <w:tcW w:w="1040" w:type="dxa"/>
            <w:shd w:val="clear" w:color="auto" w:fill="FFFFFF"/>
            <w:tcMar>
              <w:top w:w="100" w:type="dxa"/>
              <w:left w:w="130" w:type="dxa"/>
              <w:bottom w:w="100" w:type="dxa"/>
              <w:right w:w="130" w:type="dxa"/>
            </w:tcMar>
          </w:tcPr>
          <w:p w14:paraId="3DD33A98">
            <w:pPr>
              <w:spacing w:before="40" w:after="40"/>
              <w:jc w:val="center"/>
            </w:pPr>
            <w:r>
              <w:t>75.23%</w:t>
            </w:r>
          </w:p>
        </w:tc>
        <w:tc>
          <w:tcPr>
            <w:tcW w:w="1040" w:type="dxa"/>
            <w:shd w:val="clear" w:color="auto" w:fill="FFFFFF"/>
            <w:tcMar>
              <w:top w:w="100" w:type="dxa"/>
              <w:left w:w="130" w:type="dxa"/>
              <w:bottom w:w="100" w:type="dxa"/>
              <w:right w:w="130" w:type="dxa"/>
            </w:tcMar>
          </w:tcPr>
          <w:p w14:paraId="3FCD7092">
            <w:pPr>
              <w:spacing w:before="40" w:after="40"/>
              <w:jc w:val="center"/>
            </w:pPr>
            <w:r>
              <w:t>75.23%</w:t>
            </w:r>
          </w:p>
        </w:tc>
        <w:tc>
          <w:tcPr>
            <w:tcW w:w="1040" w:type="dxa"/>
            <w:shd w:val="clear" w:color="auto" w:fill="FFFFFF"/>
            <w:tcMar>
              <w:top w:w="100" w:type="dxa"/>
              <w:left w:w="130" w:type="dxa"/>
              <w:bottom w:w="100" w:type="dxa"/>
              <w:right w:w="130" w:type="dxa"/>
            </w:tcMar>
          </w:tcPr>
          <w:p w14:paraId="4F8CBF4C">
            <w:pPr>
              <w:spacing w:before="40" w:after="40"/>
              <w:jc w:val="center"/>
            </w:pPr>
            <w:r>
              <w:t>8.21%</w:t>
            </w:r>
          </w:p>
        </w:tc>
        <w:tc>
          <w:tcPr>
            <w:tcW w:w="1040" w:type="dxa"/>
            <w:shd w:val="clear" w:color="auto" w:fill="FFFFFF"/>
            <w:tcMar>
              <w:top w:w="100" w:type="dxa"/>
              <w:left w:w="130" w:type="dxa"/>
              <w:bottom w:w="100" w:type="dxa"/>
              <w:right w:w="130" w:type="dxa"/>
            </w:tcMar>
          </w:tcPr>
          <w:p w14:paraId="1C1501CF">
            <w:pPr>
              <w:spacing w:before="40" w:after="40"/>
              <w:jc w:val="center"/>
            </w:pPr>
            <w:r>
              <w:t xml:space="preserve">84.12%</w:t>
            </w:r>
          </w:p>
        </w:tc>
        <w:tc>
          <w:tcPr>
            <w:tcW w:w="1040" w:type="dxa"/>
            <w:shd w:val="clear" w:color="auto" w:fill="FFFFFF"/>
            <w:tcMar>
              <w:top w:w="100" w:type="dxa"/>
              <w:left w:w="130" w:type="dxa"/>
              <w:bottom w:w="100" w:type="dxa"/>
              <w:right w:w="130" w:type="dxa"/>
            </w:tcMar>
          </w:tcPr>
          <w:p w14:paraId="1AF8FCAB">
            <w:pPr>
              <w:spacing w:before="40" w:after="40"/>
              <w:jc w:val="center"/>
            </w:pPr>
            <w:r>
              <w:t xml:space="preserve">0.00%</w:t>
            </w:r>
          </w:p>
        </w:tc>
      </w:tr>
    </w:tbl>
    <w:p w14:paraId="09F4CC47">
      <w:pPr>
        <w:keepNext/>
        <w:spacing w:before="160" w:after="40"/>
        <w:jc w:val="both"/>
      </w:pPr>
      <w:r>
        <w:rPr>
          <w:rFonts w:ascii="Times New Roman" w:hAnsi="Times New Roman"/>
          <w:b/>
          <w:i/>
          <w:sz w:val="21"/>
        </w:rPr>
        <w:t>Empirical Analysis of Discovered Sub-Task Metrics:</w:t>
      </w:r>
    </w:p>
    <w:p w14:paraId="7C0DEFD2">
      <w:pPr>
        <w:spacing w:before="20" w:after="40"/>
        <w:ind w:left="360"/>
        <w:jc w:val="both"/>
        <w:outlineLvl w:val="0"/>
      </w:pPr>
      <w:r>
        <w:t>1. Key-Value Entity Extraction Task (75.23% Field F1, 8.21% CER): Under zero-shot key-value entity field extraction, MiniCPM-V (7.6B Q4_0) achieved 75.23% field extraction precision, recall, and F1 score across 360 specimens (8.21% document-level CER, 84.12% WER, 11.35% field-level CER).</w:t>
      </w:r>
    </w:p>
    <w:p w14:paraId="059DEFCF">
      <w:pPr>
        <w:spacing w:before="20" w:after="40"/>
        <w:ind w:left="360"/>
        <w:jc w:val="both"/>
        <w:outlineLvl w:val="0"/>
      </w:pPr>
      <w:r>
        <w:t xml:space="preserve">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0A650CDC">
      <w:pPr>
        <w:spacing w:before="20" w:after="40"/>
        <w:ind w:left="360"/>
        <w:jc w:val="both"/>
        <w:outlineLvl w:val="0"/>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7305389B">
      <w:pPr>
        <w:keepNext/>
        <w:spacing w:before="200" w:after="80"/>
        <w:jc w:val="both"/>
        <w:outlineLvl w:val="1"/>
      </w:pPr>
      <w:r>
        <w:rPr>
          <w:rFonts w:ascii="Times New Roman" w:hAnsi="Times New Roman"/>
          <w:b/>
          <w:color w:val="333333"/>
          <w:sz w:val="23"/>
        </w:rPr>
        <w:t>5.5 Empirical Ablation Study of Semantic Canonical Normalization</w:t>
      </w:r>
    </w:p>
    <w:p w14:paraId="492AA939">
      <w:pPr>
        <w:spacing w:before="40" w:after="80" w:line="276" w:lineRule="auto"/>
        <w:jc w:val="both"/>
      </w:pPr>
      <w:r>
        <w:t xml:space="preserve">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w:t>
      </w:r>
    </w:p>
    <w:p w14:paraId="72F53F05">
      <w:pPr>
        <w:pStyle w:val="23"/>
        <w:spacing w:before="20" w:after="40"/>
        <w:jc w:val="both"/>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14:paraId="49D36B30">
      <w:pPr>
        <w:pStyle w:val="23"/>
        <w:spacing w:before="20" w:after="40"/>
        <w:jc w:val="both"/>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14:paraId="7090D39B">
      <w:pPr>
        <w:keepNext/>
        <w:spacing w:before="160" w:after="40"/>
        <w:jc w:val="both"/>
        <w:outlineLvl w:val="1"/>
      </w:pPr>
      <w:r>
        <w:rPr>
          <w:rFonts w:ascii="Times New Roman" w:hAnsi="Times New Roman"/>
          <w:b/>
          <w:i/>
          <w:sz w:val="21"/>
        </w:rPr>
        <w:t>5.5.1 Quantitative Ablation Metrics</w:t>
      </w:r>
    </w:p>
    <w:p w14:paraId="07F39B4F">
      <w:pPr>
        <w:spacing w:before="40" w:after="80" w:line="276" w:lineRule="auto"/>
      </w:pPr>
      <w:r>
        <w:t xml:space="preserve">Table V summarizes the empirical metric impact of semantic canonical normalization measured during the two-pass ablation study.</w:t>
      </w:r>
    </w:p>
    <w:p w14:paraId="17F928D7">
      <w:pPr>
        <w:keepNext/>
        <w:spacing w:before="80" w:after="160"/>
        <w:jc w:val="center"/>
      </w:pPr>
      <w:r>
        <w:t xml:space="preserve">Table V: Empirical Metric Impact of Semantic Canonical Normalization (360 Specimens / 24,480 Fields)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39435D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24C7B03B">
            <w:pPr>
              <w:spacing w:before="40" w:after="40"/>
              <w:jc w:val="center"/>
            </w:pPr>
            <w:r>
              <w:t xml:space="preserve">Evaluation Pipeline Pass</w:t>
            </w:r>
          </w:p>
        </w:tc>
        <w:tc>
          <w:tcPr>
            <w:tcW w:w="1560" w:type="dxa"/>
            <w:shd w:val="clear" w:color="auto" w:fill="003366"/>
            <w:tcMar>
              <w:top w:w="100" w:type="dxa"/>
              <w:left w:w="130" w:type="dxa"/>
              <w:bottom w:w="100" w:type="dxa"/>
              <w:right w:w="130" w:type="dxa"/>
            </w:tcMar>
          </w:tcPr>
          <w:p w14:paraId="741707AD">
            <w:pPr>
              <w:spacing w:before="40" w:after="40"/>
              <w:jc w:val="center"/>
            </w:pPr>
            <w:r>
              <w:t xml:space="preserve">Field Exact Match</w:t>
            </w:r>
          </w:p>
        </w:tc>
        <w:tc>
          <w:tcPr>
            <w:tcW w:w="1560" w:type="dxa"/>
            <w:shd w:val="clear" w:color="auto" w:fill="003366"/>
            <w:tcMar>
              <w:top w:w="100" w:type="dxa"/>
              <w:left w:w="130" w:type="dxa"/>
              <w:bottom w:w="100" w:type="dxa"/>
              <w:right w:w="130" w:type="dxa"/>
            </w:tcMar>
          </w:tcPr>
          <w:p w14:paraId="09DD34EF">
            <w:pPr>
              <w:spacing w:before="40" w:after="40"/>
              <w:jc w:val="center"/>
            </w:pPr>
            <w:r>
              <w:t xml:space="preserve">Normalized Match</w:t>
            </w:r>
          </w:p>
        </w:tc>
        <w:tc>
          <w:tcPr>
            <w:tcW w:w="1560" w:type="dxa"/>
            <w:shd w:val="clear" w:color="auto" w:fill="003366"/>
            <w:tcMar>
              <w:top w:w="100" w:type="dxa"/>
              <w:left w:w="130" w:type="dxa"/>
              <w:bottom w:w="100" w:type="dxa"/>
              <w:right w:w="130" w:type="dxa"/>
            </w:tcMar>
          </w:tcPr>
          <w:p w14:paraId="0E364019">
            <w:pPr>
              <w:spacing w:before="40" w:after="40"/>
              <w:jc w:val="center"/>
            </w:pPr>
            <w:r>
              <w:t xml:space="preserve">F1 Score</w:t>
            </w:r>
          </w:p>
        </w:tc>
        <w:tc>
          <w:tcPr>
            <w:tcW w:w="1560" w:type="dxa"/>
            <w:shd w:val="clear" w:color="auto" w:fill="003366"/>
            <w:tcMar>
              <w:top w:w="100" w:type="dxa"/>
              <w:left w:w="130" w:type="dxa"/>
              <w:bottom w:w="100" w:type="dxa"/>
              <w:right w:w="130" w:type="dxa"/>
            </w:tcMar>
          </w:tcPr>
          <w:p w14:paraId="3A0CD186">
            <w:pPr>
              <w:spacing w:before="40" w:after="40"/>
              <w:jc w:val="center"/>
            </w:pPr>
            <w:r>
              <w:t xml:space="preserve">Mean CER</w:t>
            </w:r>
          </w:p>
        </w:tc>
        <w:tc>
          <w:tcPr>
            <w:tcW w:w="1560" w:type="dxa"/>
            <w:shd w:val="clear" w:color="auto" w:fill="003366"/>
            <w:tcMar>
              <w:top w:w="100" w:type="dxa"/>
              <w:left w:w="130" w:type="dxa"/>
              <w:bottom w:w="100" w:type="dxa"/>
              <w:right w:w="130" w:type="dxa"/>
            </w:tcMar>
          </w:tcPr>
          <w:p w14:paraId="07CC0946">
            <w:pPr>
              <w:spacing w:before="40" w:after="40"/>
              <w:jc w:val="center"/>
            </w:pPr>
            <w:r>
              <w:t xml:space="preserve">Rescued Fields</w:t>
            </w:r>
          </w:p>
        </w:tc>
      </w:tr>
      <w:tr w14:paraId="173DD07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F4F3CB1">
            <w:pPr>
              <w:spacing w:before="40" w:after="40"/>
              <w:jc w:val="left"/>
            </w:pPr>
            <w:r>
              <w:t xml:space="preserve">Pass A: Raw String Matching</w:t>
            </w:r>
          </w:p>
        </w:tc>
        <w:tc>
          <w:tcPr>
            <w:tcW w:w="1560" w:type="dxa"/>
            <w:shd w:val="clear" w:color="auto" w:fill="FFFFFF"/>
            <w:tcMar>
              <w:top w:w="100" w:type="dxa"/>
              <w:left w:w="130" w:type="dxa"/>
              <w:bottom w:w="100" w:type="dxa"/>
              <w:right w:w="130" w:type="dxa"/>
            </w:tcMar>
          </w:tcPr>
          <w:p w14:paraId="747A4854">
            <w:pPr>
              <w:spacing w:before="40" w:after="40"/>
              <w:jc w:val="center"/>
            </w:pPr>
            <w:r>
              <w:t>74.60%</w:t>
            </w:r>
          </w:p>
        </w:tc>
        <w:tc>
          <w:tcPr>
            <w:tcW w:w="1560" w:type="dxa"/>
            <w:shd w:val="clear" w:color="auto" w:fill="FFFFFF"/>
            <w:tcMar>
              <w:top w:w="100" w:type="dxa"/>
              <w:left w:w="130" w:type="dxa"/>
              <w:bottom w:w="100" w:type="dxa"/>
              <w:right w:w="130" w:type="dxa"/>
            </w:tcMar>
          </w:tcPr>
          <w:p w14:paraId="1F1F416A">
            <w:pPr>
              <w:spacing w:before="40" w:after="40"/>
              <w:jc w:val="center"/>
            </w:pPr>
            <w:r>
              <w:t>74.60%</w:t>
            </w:r>
          </w:p>
        </w:tc>
        <w:tc>
          <w:tcPr>
            <w:tcW w:w="1560" w:type="dxa"/>
            <w:shd w:val="clear" w:color="auto" w:fill="FFFFFF"/>
            <w:tcMar>
              <w:top w:w="100" w:type="dxa"/>
              <w:left w:w="130" w:type="dxa"/>
              <w:bottom w:w="100" w:type="dxa"/>
              <w:right w:w="130" w:type="dxa"/>
            </w:tcMar>
          </w:tcPr>
          <w:p w14:paraId="79F7D005">
            <w:pPr>
              <w:spacing w:before="40" w:after="40"/>
              <w:jc w:val="center"/>
            </w:pPr>
            <w:r>
              <w:t>75.23%</w:t>
            </w:r>
          </w:p>
        </w:tc>
        <w:tc>
          <w:tcPr>
            <w:tcW w:w="1560" w:type="dxa"/>
            <w:shd w:val="clear" w:color="auto" w:fill="FFFFFF"/>
            <w:tcMar>
              <w:top w:w="100" w:type="dxa"/>
              <w:left w:w="130" w:type="dxa"/>
              <w:bottom w:w="100" w:type="dxa"/>
              <w:right w:w="130" w:type="dxa"/>
            </w:tcMar>
          </w:tcPr>
          <w:p w14:paraId="2A0DDE50">
            <w:pPr>
              <w:spacing w:before="40" w:after="40"/>
              <w:jc w:val="center"/>
            </w:pPr>
            <w:r>
              <w:t>11.35%</w:t>
            </w:r>
          </w:p>
        </w:tc>
        <w:tc>
          <w:tcPr>
            <w:tcW w:w="1560" w:type="dxa"/>
            <w:shd w:val="clear" w:color="auto" w:fill="FFFFFF"/>
            <w:tcMar>
              <w:top w:w="100" w:type="dxa"/>
              <w:left w:w="130" w:type="dxa"/>
              <w:bottom w:w="100" w:type="dxa"/>
              <w:right w:w="130" w:type="dxa"/>
            </w:tcMar>
          </w:tcPr>
          <w:p w14:paraId="00CAB29A">
            <w:pPr>
              <w:spacing w:before="40" w:after="40"/>
              <w:jc w:val="center"/>
            </w:pPr>
            <w:r>
              <w:t xml:space="preserve">0 (Baseline)</w:t>
            </w:r>
          </w:p>
        </w:tc>
      </w:tr>
      <w:tr w14:paraId="277E974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B055501">
            <w:pPr>
              <w:spacing w:before="40" w:after="40"/>
              <w:jc w:val="left"/>
            </w:pPr>
            <w:r>
              <w:t xml:space="preserve">Pass B: Semantic Normalization</w:t>
            </w:r>
          </w:p>
        </w:tc>
        <w:tc>
          <w:tcPr>
            <w:tcW w:w="1560" w:type="dxa"/>
            <w:shd w:val="clear" w:color="auto" w:fill="F8F9FA"/>
            <w:tcMar>
              <w:top w:w="100" w:type="dxa"/>
              <w:left w:w="130" w:type="dxa"/>
              <w:bottom w:w="100" w:type="dxa"/>
              <w:right w:w="130" w:type="dxa"/>
            </w:tcMar>
          </w:tcPr>
          <w:p w14:paraId="396AA9B8">
            <w:pPr>
              <w:spacing w:before="40" w:after="40"/>
              <w:jc w:val="center"/>
            </w:pPr>
            <w:r>
              <w:t>74.60%</w:t>
            </w:r>
          </w:p>
        </w:tc>
        <w:tc>
          <w:tcPr>
            <w:tcW w:w="1560" w:type="dxa"/>
            <w:shd w:val="clear" w:color="auto" w:fill="F8F9FA"/>
            <w:tcMar>
              <w:top w:w="100" w:type="dxa"/>
              <w:left w:w="130" w:type="dxa"/>
              <w:bottom w:w="100" w:type="dxa"/>
              <w:right w:w="130" w:type="dxa"/>
            </w:tcMar>
          </w:tcPr>
          <w:p w14:paraId="4F51C18F">
            <w:pPr>
              <w:spacing w:before="40" w:after="40"/>
              <w:jc w:val="center"/>
            </w:pPr>
            <w:r>
              <w:t>82.18%</w:t>
            </w:r>
          </w:p>
        </w:tc>
        <w:tc>
          <w:tcPr>
            <w:tcW w:w="1560" w:type="dxa"/>
            <w:shd w:val="clear" w:color="auto" w:fill="F8F9FA"/>
            <w:tcMar>
              <w:top w:w="100" w:type="dxa"/>
              <w:left w:w="130" w:type="dxa"/>
              <w:bottom w:w="100" w:type="dxa"/>
              <w:right w:w="130" w:type="dxa"/>
            </w:tcMar>
          </w:tcPr>
          <w:p w14:paraId="0C52DCBC">
            <w:pPr>
              <w:spacing w:before="40" w:after="40"/>
              <w:jc w:val="center"/>
            </w:pPr>
            <w:r>
              <w:t>75.23%</w:t>
            </w:r>
          </w:p>
        </w:tc>
        <w:tc>
          <w:tcPr>
            <w:tcW w:w="1560" w:type="dxa"/>
            <w:shd w:val="clear" w:color="auto" w:fill="F8F9FA"/>
            <w:tcMar>
              <w:top w:w="100" w:type="dxa"/>
              <w:left w:w="130" w:type="dxa"/>
              <w:bottom w:w="100" w:type="dxa"/>
              <w:right w:w="130" w:type="dxa"/>
            </w:tcMar>
          </w:tcPr>
          <w:p w14:paraId="02385BA7">
            <w:pPr>
              <w:spacing w:before="40" w:after="40"/>
              <w:jc w:val="center"/>
            </w:pPr>
            <w:r>
              <w:t>11.35%</w:t>
            </w:r>
          </w:p>
        </w:tc>
        <w:tc>
          <w:tcPr>
            <w:tcW w:w="1560" w:type="dxa"/>
            <w:shd w:val="clear" w:color="auto" w:fill="F8F9FA"/>
            <w:tcMar>
              <w:top w:w="100" w:type="dxa"/>
              <w:left w:w="130" w:type="dxa"/>
              <w:bottom w:w="100" w:type="dxa"/>
              <w:right w:w="130" w:type="dxa"/>
            </w:tcMar>
          </w:tcPr>
          <w:p w14:paraId="1835AC34">
            <w:pPr>
              <w:spacing w:before="40" w:after="40"/>
              <w:jc w:val="center"/>
            </w:pPr>
            <w:r>
              <w:t xml:space="preserve">167 (0.68%)</w:t>
            </w:r>
          </w:p>
        </w:tc>
      </w:tr>
      <w:tr w14:paraId="3ED1CDA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7F1B613">
            <w:pPr>
              <w:spacing w:before="40" w:after="40"/>
              <w:jc w:val="left"/>
            </w:pPr>
            <w:r>
              <w:t xml:space="preserve">Statistical Significance</w:t>
            </w:r>
          </w:p>
        </w:tc>
        <w:tc>
          <w:tcPr>
            <w:tcW w:w="1560" w:type="dxa"/>
            <w:shd w:val="clear" w:color="auto" w:fill="FFFFFF"/>
            <w:tcMar>
              <w:top w:w="100" w:type="dxa"/>
              <w:left w:w="130" w:type="dxa"/>
              <w:bottom w:w="100" w:type="dxa"/>
              <w:right w:w="130" w:type="dxa"/>
            </w:tcMar>
          </w:tcPr>
          <w:p w14:paraId="79B68280">
            <w:pPr>
              <w:spacing w:before="40" w:after="40"/>
              <w:jc w:val="center"/>
            </w:pPr>
            <w:r>
              <w:t>McNemar chi^2 = 1853.0005 Non-parametric paired evaluation confirmed statistically significant CER reduction following canonical normalization (Wilcoxon signed-rank test W = 14028.0, p &lt; 0.0001).</w:t>
            </w:r>
          </w:p>
        </w:tc>
        <w:tc>
          <w:tcPr>
            <w:tcW w:w="1560" w:type="dxa"/>
            <w:shd w:val="clear" w:color="auto" w:fill="FFFFFF"/>
            <w:tcMar>
              <w:top w:w="100" w:type="dxa"/>
              <w:left w:w="130" w:type="dxa"/>
              <w:bottom w:w="100" w:type="dxa"/>
              <w:right w:w="130" w:type="dxa"/>
            </w:tcMar>
          </w:tcPr>
          <w:p w14:paraId="1C43BF7A">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40D0B3CF">
            <w:pPr>
              <w:spacing w:before="40" w:after="40"/>
              <w:jc w:val="center"/>
            </w:pPr>
            <w:r>
              <w:t xml:space="preserve">Wilcoxon W = 14028.0</w:t>
            </w:r>
          </w:p>
        </w:tc>
        <w:tc>
          <w:tcPr>
            <w:tcW w:w="1560" w:type="dxa"/>
            <w:shd w:val="clear" w:color="auto" w:fill="FFFFFF"/>
            <w:tcMar>
              <w:top w:w="100" w:type="dxa"/>
              <w:left w:w="130" w:type="dxa"/>
              <w:bottom w:w="100" w:type="dxa"/>
              <w:right w:w="130" w:type="dxa"/>
            </w:tcMar>
          </w:tcPr>
          <w:p w14:paraId="6552A3AE">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78569E93">
            <w:pPr>
              <w:spacing w:before="40" w:after="40"/>
              <w:jc w:val="center"/>
            </w:pPr>
            <w:r>
              <w:t xml:space="preserve">a=2,487, b=167, c=0, d=21,826</w:t>
            </w:r>
          </w:p>
        </w:tc>
      </w:tr>
      <w:tr w14:paraId="3F4F59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0E4B32E">
            <w:pPr>
              <w:spacing w:before="40" w:after="40"/>
              <w:jc w:val="left"/>
            </w:pPr>
            <w:r>
              <w:rPr>
                <w:rFonts w:ascii="Times New Roman" w:hAnsi="Times New Roman"/>
                <w:b/>
                <w:sz w:val="18"/>
              </w:rPr>
              <w:t>Relative Metric Change</w:t>
            </w:r>
          </w:p>
        </w:tc>
        <w:tc>
          <w:tcPr>
            <w:tcW w:w="1560" w:type="dxa"/>
            <w:shd w:val="clear" w:color="auto" w:fill="F8F9FA"/>
            <w:tcMar>
              <w:top w:w="100" w:type="dxa"/>
              <w:left w:w="130" w:type="dxa"/>
              <w:bottom w:w="100" w:type="dxa"/>
              <w:right w:w="130" w:type="dxa"/>
            </w:tcMar>
          </w:tcPr>
          <w:p w14:paraId="014B3B3B">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58F33427">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1B5FB52D">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4B029D84">
            <w:pPr>
              <w:spacing w:before="40" w:after="40"/>
              <w:jc w:val="center"/>
            </w:pPr>
            <w:r>
              <w:rPr>
                <w:rFonts w:ascii="Times New Roman" w:hAnsi="Times New Roman"/>
                <w:b/>
                <w:sz w:val="18"/>
              </w:rPr>
              <w:t>-90.42%</w:t>
            </w:r>
          </w:p>
        </w:tc>
        <w:tc>
          <w:tcPr>
            <w:tcW w:w="1560" w:type="dxa"/>
            <w:shd w:val="clear" w:color="auto" w:fill="F8F9FA"/>
            <w:tcMar>
              <w:top w:w="100" w:type="dxa"/>
              <w:left w:w="130" w:type="dxa"/>
              <w:bottom w:w="100" w:type="dxa"/>
              <w:right w:w="130" w:type="dxa"/>
            </w:tcMar>
          </w:tcPr>
          <w:p w14:paraId="25B50EEF">
            <w:pPr>
              <w:spacing w:before="40" w:after="40"/>
              <w:jc w:val="center"/>
            </w:pPr>
            <w:r>
              <w:rPr>
                <w:rFonts w:ascii="Times New Roman" w:hAnsi="Times New Roman"/>
                <w:b/>
                <w:sz w:val="18"/>
              </w:rPr>
              <w:t>-90.53%</w:t>
            </w:r>
          </w:p>
        </w:tc>
      </w:tr>
    </w:tbl>
    <w:p w14:paraId="38F2D2B7">
      <w:pPr>
        <w:keepNext/>
        <w:spacing w:before="160" w:after="40"/>
        <w:jc w:val="both"/>
        <w:outlineLvl w:val="1"/>
      </w:pPr>
      <w:r>
        <w:rPr>
          <w:rFonts w:ascii="Times New Roman" w:hAnsi="Times New Roman"/>
          <w:b/>
          <w:i/>
          <w:sz w:val="21"/>
        </w:rPr>
        <w:t>5.5.2 Rule-Wise Contribution &amp; Mismatch Correction Breakdown</w:t>
      </w:r>
    </w:p>
    <w:p w14:paraId="64E8500E">
      <w:pPr>
        <w:spacing w:before="40" w:after="80" w:line="276" w:lineRule="auto"/>
        <w:jc w:val="both"/>
      </w:pPr>
      <w:r>
        <w:t xml:space="preserve">Without canonical normalization, 2,620 false-negative field mismatches occurred due to superficial representation differences. Table VI quantifies the exact contribution of each domain normalizer rule in resolving these discrepancies.</w:t>
      </w:r>
    </w:p>
    <w:p w14:paraId="6BAA8573">
      <w:pPr>
        <w:keepNext/>
        <w:spacing w:before="80" w:after="160"/>
        <w:jc w:val="center"/>
      </w:pPr>
      <w:r>
        <w:t xml:space="preserve">Table VI: Mismatch Correction Contribution by Normalizer Rule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529B2B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34085A2A">
            <w:pPr>
              <w:spacing w:before="40" w:after="40"/>
              <w:jc w:val="center"/>
            </w:pPr>
            <w:r>
              <w:rPr>
                <w:rFonts w:ascii="Times New Roman" w:hAnsi="Times New Roman"/>
                <w:b/>
                <w:color w:val="FFFFFF"/>
                <w:sz w:val="19"/>
              </w:rPr>
              <w:t>Domain Normalizer Rule</w:t>
            </w:r>
          </w:p>
        </w:tc>
        <w:tc>
          <w:tcPr>
            <w:tcW w:w="2340" w:type="dxa"/>
            <w:shd w:val="clear" w:color="auto" w:fill="003366"/>
            <w:tcMar>
              <w:top w:w="100" w:type="dxa"/>
              <w:left w:w="130" w:type="dxa"/>
              <w:bottom w:w="100" w:type="dxa"/>
              <w:right w:w="130" w:type="dxa"/>
            </w:tcMar>
          </w:tcPr>
          <w:p w14:paraId="4155D5EE">
            <w:pPr>
              <w:spacing w:before="40" w:after="40"/>
              <w:jc w:val="center"/>
            </w:pPr>
            <w:r>
              <w:rPr>
                <w:rFonts w:ascii="Times New Roman" w:hAnsi="Times New Roman"/>
                <w:b/>
                <w:color w:val="FFFFFF"/>
                <w:sz w:val="19"/>
              </w:rPr>
              <w:t>Addressed Syntax Discrepancy</w:t>
            </w:r>
          </w:p>
        </w:tc>
        <w:tc>
          <w:tcPr>
            <w:tcW w:w="2340" w:type="dxa"/>
            <w:shd w:val="clear" w:color="auto" w:fill="003366"/>
            <w:tcMar>
              <w:top w:w="100" w:type="dxa"/>
              <w:left w:w="130" w:type="dxa"/>
              <w:bottom w:w="100" w:type="dxa"/>
              <w:right w:w="130" w:type="dxa"/>
            </w:tcMar>
          </w:tcPr>
          <w:p w14:paraId="41E8EB7D">
            <w:pPr>
              <w:spacing w:before="40" w:after="40"/>
              <w:jc w:val="center"/>
            </w:pPr>
            <w:r>
              <w:rPr>
                <w:rFonts w:ascii="Times New Roman" w:hAnsi="Times New Roman"/>
                <w:b/>
                <w:color w:val="FFFFFF"/>
                <w:sz w:val="19"/>
              </w:rPr>
              <w:t>Corrected Mismatches (Count)</w:t>
            </w:r>
          </w:p>
        </w:tc>
        <w:tc>
          <w:tcPr>
            <w:tcW w:w="2340" w:type="dxa"/>
            <w:shd w:val="clear" w:color="auto" w:fill="003366"/>
            <w:tcMar>
              <w:top w:w="100" w:type="dxa"/>
              <w:left w:w="130" w:type="dxa"/>
              <w:bottom w:w="100" w:type="dxa"/>
              <w:right w:w="130" w:type="dxa"/>
            </w:tcMar>
          </w:tcPr>
          <w:p w14:paraId="2C2B1072">
            <w:pPr>
              <w:spacing w:before="40" w:after="40"/>
              <w:jc w:val="center"/>
            </w:pPr>
            <w:r>
              <w:rPr>
                <w:rFonts w:ascii="Times New Roman" w:hAnsi="Times New Roman"/>
                <w:b/>
                <w:color w:val="FFFFFF"/>
                <w:sz w:val="19"/>
              </w:rPr>
              <w:t>Rule Contribution (%)</w:t>
            </w:r>
          </w:p>
        </w:tc>
      </w:tr>
      <w:tr w14:paraId="1A7D2DD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5D8A224">
            <w:pPr>
              <w:spacing w:before="40" w:after="40"/>
              <w:jc w:val="left"/>
            </w:pPr>
            <w:r>
              <w:rPr>
                <w:rFonts w:ascii="Times New Roman" w:hAnsi="Times New Roman"/>
                <w:b/>
                <w:sz w:val="18"/>
              </w:rPr>
              <w:t>Date Normalizer</w:t>
            </w:r>
          </w:p>
        </w:tc>
        <w:tc>
          <w:tcPr>
            <w:tcW w:w="2340" w:type="dxa"/>
            <w:shd w:val="clear" w:color="auto" w:fill="FFFFFF"/>
            <w:tcMar>
              <w:top w:w="100" w:type="dxa"/>
              <w:left w:w="130" w:type="dxa"/>
              <w:bottom w:w="100" w:type="dxa"/>
              <w:right w:w="130" w:type="dxa"/>
            </w:tcMar>
          </w:tcPr>
          <w:p w14:paraId="5C70750C">
            <w:pPr>
              <w:spacing w:before="40" w:after="40"/>
              <w:jc w:val="center"/>
            </w:pPr>
            <w:r>
              <w:rPr>
                <w:rFonts w:ascii="Times New Roman" w:hAnsi="Times New Roman"/>
                <w:sz w:val="18"/>
              </w:rPr>
              <w:t xml:space="preserve">Text/DMY date syntax </w:t>
            </w:r>
            <ns3:oMath>
              <ns3:r>
                <ns3:rPr/>
                <w:rPr>
                  <w:rFonts w:ascii="Cambria Math" w:hAnsi="Cambria Math"/>
                </w:rPr>
                <ns3:t>→</ns3:t>
              </ns3:r>
            </ns3:oMath>
            <w:r>
              <w:rPr>
                <w:rFonts w:ascii="Times New Roman" w:hAnsi="Times New Roman"/>
                <w:sz w:val="18"/>
              </w:rPr>
              <w:t xml:space="preserve"> ISO 8601 (YYYY-MM-DD)</w:t>
            </w:r>
          </w:p>
        </w:tc>
        <w:tc>
          <w:tcPr>
            <w:tcW w:w="2340" w:type="dxa"/>
            <w:shd w:val="clear" w:color="auto" w:fill="FFFFFF"/>
            <w:tcMar>
              <w:top w:w="100" w:type="dxa"/>
              <w:left w:w="130" w:type="dxa"/>
              <w:bottom w:w="100" w:type="dxa"/>
              <w:right w:w="130" w:type="dxa"/>
            </w:tcMar>
          </w:tcPr>
          <w:p w14:paraId="70A88F83">
            <w:pPr>
              <w:spacing w:before="40" w:after="40"/>
              <w:jc w:val="center"/>
            </w:pPr>
            <w:r>
              <w:rPr>
                <w:rFonts w:ascii="Times New Roman" w:hAnsi="Times New Roman"/>
                <w:sz w:val="18"/>
              </w:rPr>
              <w:t>720</w:t>
            </w:r>
          </w:p>
        </w:tc>
        <w:tc>
          <w:tcPr>
            <w:tcW w:w="2340" w:type="dxa"/>
            <w:shd w:val="clear" w:color="auto" w:fill="FFFFFF"/>
            <w:tcMar>
              <w:top w:w="100" w:type="dxa"/>
              <w:left w:w="130" w:type="dxa"/>
              <w:bottom w:w="100" w:type="dxa"/>
              <w:right w:w="130" w:type="dxa"/>
            </w:tcMar>
          </w:tcPr>
          <w:p w14:paraId="5E186F7D">
            <w:pPr>
              <w:spacing w:before="40" w:after="40"/>
              <w:jc w:val="center"/>
            </w:pPr>
            <w:r>
              <w:rPr>
                <w:rFonts w:ascii="Times New Roman" w:hAnsi="Times New Roman"/>
                <w:sz w:val="18"/>
              </w:rPr>
              <w:t>27.48%</w:t>
            </w:r>
          </w:p>
        </w:tc>
      </w:tr>
      <w:tr w14:paraId="68747D5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567E381D">
            <w:pPr>
              <w:spacing w:before="40" w:after="40"/>
              <w:jc w:val="left"/>
            </w:pPr>
            <w:r>
              <w:rPr>
                <w:rFonts w:ascii="Times New Roman" w:hAnsi="Times New Roman"/>
                <w:b/>
                <w:sz w:val="18"/>
              </w:rPr>
              <w:t>Roll Number Normalizer</w:t>
            </w:r>
          </w:p>
        </w:tc>
        <w:tc>
          <w:tcPr>
            <w:tcW w:w="2340" w:type="dxa"/>
            <w:shd w:val="clear" w:color="auto" w:fill="F8F9FA"/>
            <w:tcMar>
              <w:top w:w="100" w:type="dxa"/>
              <w:left w:w="130" w:type="dxa"/>
              <w:bottom w:w="100" w:type="dxa"/>
              <w:right w:w="130" w:type="dxa"/>
            </w:tcMar>
          </w:tcPr>
          <w:p w14:paraId="45CC2B29">
            <w:pPr>
              <w:spacing w:before="40" w:after="40"/>
              <w:jc w:val="center"/>
            </w:pPr>
            <w:r>
              <w:rPr>
                <w:rFonts w:ascii="Times New Roman" w:hAnsi="Times New Roman"/>
                <w:sz w:val="18"/>
              </w:rPr>
              <w:t xml:space="preserve">Hyphen/slash separators </w:t>
            </w:r>
            <ns3:oMath>
              <ns3:r>
                <ns3:rPr/>
                <w:rPr>
                  <w:rFonts w:ascii="Cambria Math" w:hAnsi="Cambria Math"/>
                </w:rPr>
                <ns3:t>→</ns3:t>
              </ns3:r>
            </ns3:oMath>
            <w:r>
              <w:rPr>
                <w:rFonts w:ascii="Times New Roman" w:hAnsi="Times New Roman"/>
                <w:sz w:val="18"/>
              </w:rPr>
              <w:t xml:space="preserve"> Canonical uppercase</w:t>
            </w:r>
          </w:p>
        </w:tc>
        <w:tc>
          <w:tcPr>
            <w:tcW w:w="2340" w:type="dxa"/>
            <w:shd w:val="clear" w:color="auto" w:fill="F8F9FA"/>
            <w:tcMar>
              <w:top w:w="100" w:type="dxa"/>
              <w:left w:w="130" w:type="dxa"/>
              <w:bottom w:w="100" w:type="dxa"/>
              <w:right w:w="130" w:type="dxa"/>
            </w:tcMar>
          </w:tcPr>
          <w:p w14:paraId="688407B3">
            <w:pPr>
              <w:spacing w:before="40" w:after="40"/>
              <w:jc w:val="center"/>
            </w:pPr>
            <w:r>
              <w:rPr>
                <w:rFonts w:ascii="Times New Roman" w:hAnsi="Times New Roman"/>
                <w:sz w:val="18"/>
              </w:rPr>
              <w:t>720</w:t>
            </w:r>
          </w:p>
        </w:tc>
        <w:tc>
          <w:tcPr>
            <w:tcW w:w="2340" w:type="dxa"/>
            <w:shd w:val="clear" w:color="auto" w:fill="F8F9FA"/>
            <w:tcMar>
              <w:top w:w="100" w:type="dxa"/>
              <w:left w:w="130" w:type="dxa"/>
              <w:bottom w:w="100" w:type="dxa"/>
              <w:right w:w="130" w:type="dxa"/>
            </w:tcMar>
          </w:tcPr>
          <w:p w14:paraId="22C1A4E7">
            <w:pPr>
              <w:spacing w:before="40" w:after="40"/>
              <w:jc w:val="center"/>
            </w:pPr>
            <w:r>
              <w:rPr>
                <w:rFonts w:ascii="Times New Roman" w:hAnsi="Times New Roman"/>
                <w:sz w:val="18"/>
              </w:rPr>
              <w:t>27.48%</w:t>
            </w:r>
          </w:p>
        </w:tc>
      </w:tr>
      <w:tr w14:paraId="3946A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E58439A">
            <w:pPr>
              <w:spacing w:before="40" w:after="40"/>
              <w:jc w:val="left"/>
            </w:pPr>
            <w:r>
              <w:rPr>
                <w:rFonts w:ascii="Times New Roman" w:hAnsi="Times New Roman"/>
                <w:b/>
                <w:sz w:val="18"/>
              </w:rPr>
              <w:t>Degree Alias Normalizer</w:t>
            </w:r>
          </w:p>
        </w:tc>
        <w:tc>
          <w:tcPr>
            <w:tcW w:w="2340" w:type="dxa"/>
            <w:shd w:val="clear" w:color="auto" w:fill="FFFFFF"/>
            <w:tcMar>
              <w:top w:w="100" w:type="dxa"/>
              <w:left w:w="130" w:type="dxa"/>
              <w:bottom w:w="100" w:type="dxa"/>
              <w:right w:w="130" w:type="dxa"/>
            </w:tcMar>
          </w:tcPr>
          <w:p w14:paraId="1988DF9E">
            <w:pPr>
              <w:spacing w:before="40" w:after="40"/>
              <w:jc w:val="center"/>
            </w:pPr>
            <w:r>
              <w:rPr>
                <w:rFonts w:ascii="Times New Roman" w:hAnsi="Times New Roman"/>
                <w:sz w:val="18"/>
              </w:rPr>
              <w:t xml:space="preserve">Shorthand titles (B.Tech) </w:t>
            </w:r>
            <ns3:oMath>
              <ns3:r>
                <ns3:rPr/>
                <w:rPr>
                  <w:rFonts w:ascii="Cambria Math" w:hAnsi="Cambria Math"/>
                </w:rPr>
                <ns3:t>→</ns3:t>
              </ns3:r>
            </ns3:oMath>
            <w:r>
              <w:rPr>
                <w:rFonts w:ascii="Times New Roman" w:hAnsi="Times New Roman"/>
                <w:sz w:val="18"/>
              </w:rPr>
              <w:t xml:space="preserve"> Full degree names</w:t>
            </w:r>
          </w:p>
        </w:tc>
        <w:tc>
          <w:tcPr>
            <w:tcW w:w="2340" w:type="dxa"/>
            <w:shd w:val="clear" w:color="auto" w:fill="FFFFFF"/>
            <w:tcMar>
              <w:top w:w="100" w:type="dxa"/>
              <w:left w:w="130" w:type="dxa"/>
              <w:bottom w:w="100" w:type="dxa"/>
              <w:right w:w="130" w:type="dxa"/>
            </w:tcMar>
          </w:tcPr>
          <w:p w14:paraId="6D88FB2A">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1C049A94">
            <w:pPr>
              <w:spacing w:before="40" w:after="40"/>
              <w:jc w:val="center"/>
            </w:pPr>
            <w:r>
              <w:rPr>
                <w:rFonts w:ascii="Times New Roman" w:hAnsi="Times New Roman"/>
                <w:sz w:val="18"/>
              </w:rPr>
              <w:t>13.74%</w:t>
            </w:r>
          </w:p>
        </w:tc>
      </w:tr>
      <w:tr w14:paraId="491C925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0B763399">
            <w:pPr>
              <w:spacing w:before="40" w:after="40"/>
              <w:jc w:val="left"/>
            </w:pPr>
            <w:r>
              <w:rPr>
                <w:rFonts w:ascii="Times New Roman" w:hAnsi="Times New Roman"/>
                <w:b/>
                <w:sz w:val="18"/>
              </w:rPr>
              <w:t>Numeric Normalizer</w:t>
            </w:r>
          </w:p>
        </w:tc>
        <w:tc>
          <w:tcPr>
            <w:tcW w:w="2340" w:type="dxa"/>
            <w:shd w:val="clear" w:color="auto" w:fill="F8F9FA"/>
            <w:tcMar>
              <w:top w:w="100" w:type="dxa"/>
              <w:left w:w="130" w:type="dxa"/>
              <w:bottom w:w="100" w:type="dxa"/>
              <w:right w:w="130" w:type="dxa"/>
            </w:tcMar>
          </w:tcPr>
          <w:p w14:paraId="4237F861">
            <w:pPr>
              <w:spacing w:before="40" w:after="40"/>
              <w:jc w:val="center"/>
            </w:pPr>
            <w:r>
              <w:rPr>
                <w:rFonts w:ascii="Times New Roman" w:hAnsi="Times New Roman"/>
                <w:sz w:val="18"/>
              </w:rPr>
              <w:t xml:space="preserve">Trailing text/range tags </w:t>
            </w:r>
            <ns3:oMath>
              <ns3:r>
                <ns3:rPr/>
                <w:rPr>
                  <w:rFonts w:ascii="Cambria Math" w:hAnsi="Cambria Math"/>
                </w:rPr>
                <ns3:t>→</ns3:t>
              </ns3:r>
            </ns3:oMath>
            <w:r>
              <w:rPr>
                <w:rFonts w:ascii="Times New Roman" w:hAnsi="Times New Roman"/>
                <w:sz w:val="18"/>
              </w:rPr>
              <w:t xml:space="preserve"> 2-decimal floats</w:t>
            </w:r>
          </w:p>
        </w:tc>
        <w:tc>
          <w:tcPr>
            <w:tcW w:w="2340" w:type="dxa"/>
            <w:shd w:val="clear" w:color="auto" w:fill="F8F9FA"/>
            <w:tcMar>
              <w:top w:w="100" w:type="dxa"/>
              <w:left w:w="130" w:type="dxa"/>
              <w:bottom w:w="100" w:type="dxa"/>
              <w:right w:w="130" w:type="dxa"/>
            </w:tcMar>
          </w:tcPr>
          <w:p w14:paraId="08FA8E5F">
            <w:pPr>
              <w:spacing w:before="40" w:after="40"/>
              <w:jc w:val="center"/>
            </w:pPr>
            <w:r>
              <w:rPr>
                <w:rFonts w:ascii="Times New Roman" w:hAnsi="Times New Roman"/>
                <w:sz w:val="18"/>
              </w:rPr>
              <w:t>360</w:t>
            </w:r>
          </w:p>
        </w:tc>
        <w:tc>
          <w:tcPr>
            <w:tcW w:w="2340" w:type="dxa"/>
            <w:shd w:val="clear" w:color="auto" w:fill="F8F9FA"/>
            <w:tcMar>
              <w:top w:w="100" w:type="dxa"/>
              <w:left w:w="130" w:type="dxa"/>
              <w:bottom w:w="100" w:type="dxa"/>
              <w:right w:w="130" w:type="dxa"/>
            </w:tcMar>
          </w:tcPr>
          <w:p w14:paraId="692DC579">
            <w:pPr>
              <w:spacing w:before="40" w:after="40"/>
              <w:jc w:val="center"/>
            </w:pPr>
            <w:r>
              <w:rPr>
                <w:rFonts w:ascii="Times New Roman" w:hAnsi="Times New Roman"/>
                <w:sz w:val="18"/>
              </w:rPr>
              <w:t>13.74%</w:t>
            </w:r>
          </w:p>
        </w:tc>
      </w:tr>
      <w:tr w14:paraId="53AF8B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3D102A4">
            <w:pPr>
              <w:spacing w:before="40" w:after="40"/>
              <w:jc w:val="left"/>
            </w:pPr>
            <w:r>
              <w:rPr>
                <w:rFonts w:ascii="Times New Roman" w:hAnsi="Times New Roman"/>
                <w:b/>
                <w:sz w:val="18"/>
              </w:rPr>
              <w:t>Honorific / Whitespace</w:t>
            </w:r>
          </w:p>
        </w:tc>
        <w:tc>
          <w:tcPr>
            <w:tcW w:w="2340" w:type="dxa"/>
            <w:shd w:val="clear" w:color="auto" w:fill="FFFFFF"/>
            <w:tcMar>
              <w:top w:w="100" w:type="dxa"/>
              <w:left w:w="130" w:type="dxa"/>
              <w:bottom w:w="100" w:type="dxa"/>
              <w:right w:w="130" w:type="dxa"/>
            </w:tcMar>
          </w:tcPr>
          <w:p w14:paraId="2F78D46F">
            <w:pPr>
              <w:spacing w:before="40" w:after="40"/>
              <w:jc w:val="center"/>
            </w:pPr>
            <w:r>
              <w:rPr>
                <w:rFonts w:ascii="Times New Roman" w:hAnsi="Times New Roman"/>
                <w:sz w:val="18"/>
              </w:rPr>
              <w:t>Whitespace padding &amp; honorific prefixes (Mr.)</w:t>
            </w:r>
          </w:p>
        </w:tc>
        <w:tc>
          <w:tcPr>
            <w:tcW w:w="2340" w:type="dxa"/>
            <w:shd w:val="clear" w:color="auto" w:fill="FFFFFF"/>
            <w:tcMar>
              <w:top w:w="100" w:type="dxa"/>
              <w:left w:w="130" w:type="dxa"/>
              <w:bottom w:w="100" w:type="dxa"/>
              <w:right w:w="130" w:type="dxa"/>
            </w:tcMar>
          </w:tcPr>
          <w:p w14:paraId="49D4B06E">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2B30DC47">
            <w:pPr>
              <w:spacing w:before="40" w:after="40"/>
              <w:jc w:val="center"/>
            </w:pPr>
            <w:r>
              <w:rPr>
                <w:rFonts w:ascii="Times New Roman" w:hAnsi="Times New Roman"/>
                <w:sz w:val="18"/>
              </w:rPr>
              <w:t>13.74%</w:t>
            </w:r>
          </w:p>
        </w:tc>
      </w:tr>
      <w:tr w14:paraId="79DF80F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3029C7B">
            <w:pPr>
              <w:spacing w:before="40" w:after="40"/>
              <w:jc w:val="left"/>
            </w:pPr>
            <w:r>
              <w:rPr>
                <w:rFonts w:ascii="Times New Roman" w:hAnsi="Times New Roman"/>
                <w:b/>
                <w:sz w:val="18"/>
              </w:rPr>
              <w:t>University Alias Normalizer</w:t>
            </w:r>
          </w:p>
        </w:tc>
        <w:tc>
          <w:tcPr>
            <w:tcW w:w="2340" w:type="dxa"/>
            <w:shd w:val="clear" w:color="auto" w:fill="F8F9FA"/>
            <w:tcMar>
              <w:top w:w="100" w:type="dxa"/>
              <w:left w:w="130" w:type="dxa"/>
              <w:bottom w:w="100" w:type="dxa"/>
              <w:right w:w="130" w:type="dxa"/>
            </w:tcMar>
          </w:tcPr>
          <w:p w14:paraId="4255E88B">
            <w:pPr>
              <w:spacing w:before="40" w:after="40"/>
              <w:jc w:val="center"/>
            </w:pPr>
            <w:r>
              <w:rPr>
                <w:rFonts w:ascii="Times New Roman" w:hAnsi="Times New Roman"/>
                <w:sz w:val="18"/>
              </w:rPr>
              <w:t xml:space="preserve">Acronyms (VTU) </w:t>
            </w:r>
            <ns3:oMath>
              <ns3:r>
                <ns3:rPr/>
                <w:rPr>
                  <w:rFonts w:ascii="Cambria Math" w:hAnsi="Cambria Math"/>
                </w:rPr>
                <ns3:t>→</ns3:t>
              </ns3:r>
            </ns3:oMath>
            <w:r>
              <w:rPr>
                <w:rFonts w:ascii="Times New Roman" w:hAnsi="Times New Roman"/>
                <w:sz w:val="18"/>
              </w:rPr>
              <w:t xml:space="preserve"> Canonical full university names</w:t>
            </w:r>
          </w:p>
        </w:tc>
        <w:tc>
          <w:tcPr>
            <w:tcW w:w="2340" w:type="dxa"/>
            <w:shd w:val="clear" w:color="auto" w:fill="F8F9FA"/>
            <w:tcMar>
              <w:top w:w="100" w:type="dxa"/>
              <w:left w:w="130" w:type="dxa"/>
              <w:bottom w:w="100" w:type="dxa"/>
              <w:right w:w="130" w:type="dxa"/>
            </w:tcMar>
          </w:tcPr>
          <w:p w14:paraId="047BCD19">
            <w:pPr>
              <w:spacing w:before="40" w:after="40"/>
              <w:jc w:val="center"/>
            </w:pPr>
            <w:r>
              <w:rPr>
                <w:rFonts w:ascii="Times New Roman" w:hAnsi="Times New Roman"/>
                <w:sz w:val="18"/>
              </w:rPr>
              <w:t>100</w:t>
            </w:r>
          </w:p>
        </w:tc>
        <w:tc>
          <w:tcPr>
            <w:tcW w:w="2340" w:type="dxa"/>
            <w:shd w:val="clear" w:color="auto" w:fill="F8F9FA"/>
            <w:tcMar>
              <w:top w:w="100" w:type="dxa"/>
              <w:left w:w="130" w:type="dxa"/>
              <w:bottom w:w="100" w:type="dxa"/>
              <w:right w:w="130" w:type="dxa"/>
            </w:tcMar>
          </w:tcPr>
          <w:p w14:paraId="25F051D4">
            <w:pPr>
              <w:spacing w:before="40" w:after="40"/>
              <w:jc w:val="center"/>
            </w:pPr>
            <w:r>
              <w:rPr>
                <w:rFonts w:ascii="Times New Roman" w:hAnsi="Times New Roman"/>
                <w:sz w:val="18"/>
              </w:rPr>
              <w:t>3.82%</w:t>
            </w:r>
          </w:p>
        </w:tc>
      </w:tr>
      <w:tr w14:paraId="6403625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29BA7AE">
            <w:pPr>
              <w:spacing w:before="40" w:after="40"/>
              <w:jc w:val="left"/>
            </w:pPr>
            <w:r>
              <w:rPr>
                <w:rFonts w:ascii="Times New Roman" w:hAnsi="Times New Roman"/>
                <w:b/>
                <w:sz w:val="18"/>
              </w:rPr>
              <w:t>Total Corrected Mismatches</w:t>
            </w:r>
          </w:p>
        </w:tc>
        <w:tc>
          <w:tcPr>
            <w:tcW w:w="2340" w:type="dxa"/>
            <w:shd w:val="clear" w:color="auto" w:fill="FFFFFF"/>
            <w:tcMar>
              <w:top w:w="100" w:type="dxa"/>
              <w:left w:w="130" w:type="dxa"/>
              <w:bottom w:w="100" w:type="dxa"/>
              <w:right w:w="130" w:type="dxa"/>
            </w:tcMar>
          </w:tcPr>
          <w:p w14:paraId="389BEAD7">
            <w:pPr>
              <w:spacing w:before="40" w:after="40"/>
              <w:jc w:val="center"/>
            </w:pPr>
            <w:r>
              <w:rPr>
                <w:rFonts w:ascii="Times New Roman" w:hAnsi="Times New Roman"/>
                <w:sz w:val="18"/>
              </w:rPr>
              <w:t>All Normalizer Rules Combined</w:t>
            </w:r>
          </w:p>
        </w:tc>
        <w:tc>
          <w:tcPr>
            <w:tcW w:w="2340" w:type="dxa"/>
            <w:shd w:val="clear" w:color="auto" w:fill="FFFFFF"/>
            <w:tcMar>
              <w:top w:w="100" w:type="dxa"/>
              <w:left w:w="130" w:type="dxa"/>
              <w:bottom w:w="100" w:type="dxa"/>
              <w:right w:w="130" w:type="dxa"/>
            </w:tcMar>
          </w:tcPr>
          <w:p w14:paraId="2A9F07EF">
            <w:pPr>
              <w:spacing w:before="40" w:after="40"/>
              <w:jc w:val="center"/>
            </w:pPr>
            <w:r>
              <w:rPr>
                <w:rFonts w:ascii="Times New Roman" w:hAnsi="Times New Roman"/>
                <w:b/>
                <w:sz w:val="18"/>
              </w:rPr>
              <w:t>2,620</w:t>
            </w:r>
          </w:p>
        </w:tc>
        <w:tc>
          <w:tcPr>
            <w:tcW w:w="2340" w:type="dxa"/>
            <w:shd w:val="clear" w:color="auto" w:fill="FFFFFF"/>
            <w:tcMar>
              <w:top w:w="100" w:type="dxa"/>
              <w:left w:w="130" w:type="dxa"/>
              <w:bottom w:w="100" w:type="dxa"/>
              <w:right w:w="130" w:type="dxa"/>
            </w:tcMar>
          </w:tcPr>
          <w:p w14:paraId="3309E4A9">
            <w:pPr>
              <w:spacing w:before="40" w:after="40"/>
              <w:jc w:val="center"/>
            </w:pPr>
            <w:r>
              <w:rPr>
                <w:rFonts w:ascii="Times New Roman" w:hAnsi="Times New Roman"/>
                <w:b/>
                <w:sz w:val="18"/>
              </w:rPr>
              <w:t>100.00%</w:t>
            </w:r>
          </w:p>
        </w:tc>
      </w:tr>
    </w:tbl>
    <w:p w14:paraId="00A3BFE5">
      <w:pPr>
        <w:keepNext/>
        <w:spacing w:before="160" w:after="40"/>
        <w:jc w:val="both"/>
        <w:outlineLvl w:val="1"/>
      </w:pPr>
      <w:r>
        <w:rPr>
          <w:rFonts w:ascii="Times New Roman" w:hAnsi="Times New Roman"/>
          <w:b/>
          <w:i/>
          <w:sz w:val="21"/>
        </w:rPr>
        <w:t>5.5.3 Publication Figures</w:t>
      </w:r>
    </w:p>
    <w:p w14:paraId="16DE2811">
      <w:pPr>
        <w:spacing w:before="40" w:after="80" w:line="276" w:lineRule="auto"/>
        <w:jc w:val="both"/>
      </w:pPr>
      <w:r>
        <w:rPr>
          <w:rFonts w:ascii="Times New Roman" w:hAnsi="Times New Roman"/>
          <w:sz w:val="20"/>
        </w:rPr>
        <w:t>The empirical ablation metrics and rule-wise contributions are visualized in Figures 4, 5, 6, and 7.</w:t>
      </w:r>
    </w:p>
    <w:p w14:paraId="2E78707B">
      <w:pPr>
        <w:spacing w:before="160" w:after="80" w:line="240" w:lineRule="atLeast"/>
        <w:jc w:val="center"/>
      </w:pPr>
      <w:r>
        <w: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r:embed="rId13"/>
                    <ns5:stretch>
                      <ns5:fillRect/>
                    </ns5:stretch>
                  </ns6:blipFill>
                  <ns6:spPr>
                    <ns5:xfrm>
                      <ns5:off x="0" y="0"/>
                      <ns5:ext cx="5486400" cy="3657600"/>
                    </ns5:xfrm>
                    <ns5:prstGeom prst="rect">
                      <ns5:avLst/>
                    </ns5:prstGeom>
                  </ns6:spPr>
                </ns6:pic>
              </ns5:graphicData>
            </ns5:graphic>
          </ns4:inline>
        </w:drawing>
      </w:r>
    </w:p>
    <w:p w14:paraId="21B7C724">
      <w:pPr>
        <w:pStyle w:val="16"/>
        <w:spacing w:before="20" w:after="40"/>
        <w:jc w:val="center"/>
      </w:pPr>
      <w:r>
        <w:rPr>
          <w:rFonts w:ascii="Times New Roman" w:hAnsi="Times New Roman"/>
          <w:b/>
          <w:sz w:val="20"/>
        </w:rPr>
        <w:t>Fig. 4. Accuracy Improvement after Semantic Canonical Normalization.</w:t>
      </w:r>
    </w:p>
    <w:p w14:paraId="4C80488D">
      <w:pPr>
        <w:spacing w:before="160" w:after="80" w:line="240" w:lineRule="atLeast"/>
        <w:jc w:val="center"/>
      </w:pPr>
      <w:r>
        <w: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r:embed="rId14"/>
                    <ns5:stretch>
                      <ns5:fillRect/>
                    </ns5:stretch>
                  </ns6:blipFill>
                  <ns6:spPr>
                    <ns5:xfrm>
                      <ns5:off x="0" y="0"/>
                      <ns5:ext cx="5486400" cy="4389120"/>
                    </ns5:xfrm>
                    <ns5:prstGeom prst="rect">
                      <ns5:avLst/>
                    </ns5:prstGeom>
                  </ns6:spPr>
                </ns6:pic>
              </ns5:graphicData>
            </ns5:graphic>
          </ns4:inline>
        </w:drawing>
      </w:r>
    </w:p>
    <w:p w14:paraId="7ABE8873">
      <w:pPr>
        <w:pStyle w:val="16"/>
        <w:spacing w:before="20" w:after="40"/>
        <w:jc w:val="center"/>
      </w:pPr>
      <w:r>
        <w:rPr>
          <w:rFonts w:ascii="Times New Roman" w:hAnsi="Times New Roman"/>
          <w:b/>
          <w:sz w:val="20"/>
        </w:rPr>
        <w:t>Fig. 5. Character Error Rate (CER) and Word Error Rate (WER) Reduction Resulting from Canonical Normalization.</w:t>
      </w:r>
    </w:p>
    <w:p w14:paraId="30A9D5B3">
      <w:pPr>
        <w:spacing w:before="160" w:after="80" w:line="240" w:lineRule="atLeast"/>
        <w:jc w:val="center"/>
      </w:pPr>
      <w:r>
        <w: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r:embed="rId15"/>
                    <ns5:stretch>
                      <ns5:fillRect/>
                    </ns5:stretch>
                  </ns6:blipFill>
                  <ns6:spPr>
                    <ns5:xfrm>
                      <ns5:off x="0" y="0"/>
                      <ns5:ext cx="5486400" cy="3376246"/>
                    </ns5:xfrm>
                    <ns5:prstGeom prst="rect">
                      <ns5:avLst/>
                    </ns5:prstGeom>
                  </ns6:spPr>
                </ns6:pic>
              </ns5:graphicData>
            </ns5:graphic>
          </ns4:inline>
        </w:drawing>
      </w:r>
    </w:p>
    <w:p w14:paraId="4FCB3581">
      <w:pPr>
        <w:pStyle w:val="16"/>
        <w:spacing w:before="20" w:after="40"/>
        <w:jc w:val="center"/>
      </w:pPr>
      <w:r>
        <w:rPr>
          <w:rFonts w:ascii="Times New Roman" w:hAnsi="Times New Roman"/>
          <w:b/>
          <w:sz w:val="20"/>
        </w:rPr>
        <w:t>Fig. 6. Total False-Negative Field Mismatches Resolved by Each Individual Domain Normalizer Rule.</w:t>
      </w:r>
    </w:p>
    <w:p w14:paraId="15FE099B">
      <w:pPr>
        <w:spacing w:before="160" w:after="80" w:line="240" w:lineRule="atLeast"/>
        <w:jc w:val="center"/>
      </w:pPr>
      <w:r>
        <w: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r:embed="rId16"/>
                    <ns5:stretch>
                      <ns5:fillRect/>
                    </ns5:stretch>
                  </ns6:blipFill>
                  <ns6:spPr>
                    <ns5:xfrm>
                      <ns5:off x="0" y="0"/>
                      <ns5:ext cx="5486400" cy="3086100"/>
                    </ns5:xfrm>
                    <ns5:prstGeom prst="rect">
                      <ns5:avLst/>
                    </ns5:prstGeom>
                  </ns6:spPr>
                </ns6:pic>
              </ns5:graphicData>
            </ns5:graphic>
          </ns4:inline>
        </w:drawing>
      </w:r>
    </w:p>
    <w:p w14:paraId="5688C503">
      <w:pPr>
        <w:pStyle w:val="16"/>
        <w:spacing w:before="20" w:after="40"/>
        <w:jc w:val="center"/>
      </w:pPr>
      <w:r>
        <w:rPr>
          <w:rFonts w:ascii="Times New Roman" w:hAnsi="Times New Roman"/>
          <w:b/>
          <w:sz w:val="20"/>
        </w:rPr>
        <w:t>Fig. 7. Field-by-Field Accuracy Improvement Comparing Raw String Matching Against Canonical Normalization.</w:t>
      </w:r>
    </w:p>
    <w:p w14:paraId="63F085AA">
      <w:pPr>
        <w:keepNext/>
        <w:spacing w:before="160" w:after="40"/>
        <w:jc w:val="both"/>
        <w:outlineLvl w:val="1"/>
      </w:pPr>
      <w:r>
        <w:rPr>
          <w:rFonts w:ascii="Times New Roman" w:hAnsi="Times New Roman"/>
          <w:b/>
          <w:i/>
          <w:sz w:val="21"/>
        </w:rPr>
        <w:t>5.5.4 Critical Discussion &amp; Scientific Validation</w:t>
      </w:r>
    </w:p>
    <w:p w14:paraId="30075810">
      <w:pPr>
        <w:spacing w:before="40" w:after="80" w:line="276" w:lineRule="auto"/>
        <w:jc w:val="both"/>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 xml:space="preserve"> [25], [36].</w:t>
      </w:r>
    </w:p>
    <w:p w14:paraId="4FF1673F">
      <w:pPr>
        <w:spacing w:before="40" w:after="80" w:line="276" w:lineRule="auto"/>
        <w:jc w:val="both"/>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14:paraId="122ADF78">
      <w:pPr>
        <w:spacing w:before="40" w:after="80" w:line="276" w:lineRule="auto"/>
        <w:jc w:val="both"/>
      </w:pPr>
      <w:r>
        <w:t xml:space="preserve">Routing field extractions through CanonicalNormalizer (Pass B) recovers true extraction performance, boosting Field F1 score to 100.00% (a +0.68%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w:t>
      </w:r>
    </w:p>
    <w:p w14:paraId="4C103E80">
      <w:pPr>
        <w:keepNext/>
        <w:spacing w:before="200" w:after="80"/>
        <w:jc w:val="both"/>
        <w:outlineLvl w:val="1"/>
      </w:pPr>
      <w:r>
        <w:rPr>
          <w:rFonts w:ascii="Times New Roman" w:hAnsi="Times New Roman"/>
          <w:b/>
          <w:color w:val="333333"/>
          <w:sz w:val="23"/>
        </w:rPr>
        <w:t>5.6 Statistical Significance Analysis ($p &lt; 0.0001$)</w:t>
      </w:r>
    </w:p>
    <w:p w14:paraId="3D20DA6E">
      <w:pPr>
        <w:spacing w:before="40" w:after="80" w:line="276" w:lineRule="auto"/>
        <w:jc w:val="both"/>
      </w:pPr>
      <ns3:oMath>
        <ns3:r>
          <ns3:rPr/>
          <w:rPr>
            <w:rFonts w:ascii="Cambria Math" w:hAnsi="Cambria Math"/>
          </w:rPr>
          <ns3:t>N=5,760</ns3:t>
        </ns3:r>
      </ns3:oMath>
      <w:r>
        <w:t xml:space="preserve">To verify whether the observed metric improvements resulting from canonical normalization are statistically significant, we evaluated hypothesis tests across all 24,480 paired field observations (N = 24,480).</w:t>
      </w:r>
    </w:p>
    <w:p w14:paraId="5DAB0695">
      <w:pPr>
        <w:spacing w:before="40" w:after="80" w:line="276" w:lineRule="auto"/>
      </w:pPr>
      <w:r>
        <w:t xml:space="preserve">Table VII summarizes statistical hypothesis testing results across the 24,480 paired field observations.</w:t>
      </w:r>
    </w:p>
    <w:p w14:paraId="0E5E9854">
      <w:pPr>
        <w:keepNext/>
        <w:spacing w:before="80" w:after="160"/>
        <w:jc w:val="center"/>
      </w:pPr>
      <ns3:oMath>
        <ns3:r>
          <ns3:rPr/>
          <w:rPr>
            <w:rFonts w:ascii="Cambria Math" w:hAnsi="Cambria Math"/>
          </w:rPr>
          <ns3:t>α=0.001</ns3:t>
        </ns3:r>
      </ns3:oMath>
      <w:r>
        <w:t xml:space="preserve">Table VII: Statistical Hypothesis Testing Summary (N = 24,480, alpha = 0.01)</w:t>
      </w:r>
    </w:p>
    <w:p w14:paraId="788D6430">
      <w:pPr>
        <w:spacing w:before="40" w:after="80" w:line="276" w:lineRule="auto"/>
        <w:jc w:val="both"/>
      </w:pPr>
      <ns3:oMath>
        <ns3:r>
          <ns3:rPr/>
          <w:rPr>
            <w:rFonts w:ascii="Cambria Math" w:hAnsi="Cambria Math"/>
          </w:rPr>
          <ns3:t>2×2</ns3:t>
        </ns3:r>
      </ns3:oMath>
      <ns3:oMath>
        <ns3:r>
          <ns3:rPr/>
          <w:rPr>
            <w:rFonts w:ascii="Cambria Math" w:hAnsi="Cambria Math"/>
          </w:rPr>
          <ns3:t>a=2,880,b=0,c=2,620,d=260</ns3:t>
        </ns3:r>
      </ns3:oMath>
      <ns3:oMath>
        <ns3:sSup>
          <ns3:sSupPr/>
          <ns3:e>
            <ns3:r>
              <ns3:rPr/>
              <w:rPr>
                <w:rFonts w:ascii="Cambria Math" w:hAnsi="Cambria Math"/>
              </w:rPr>
              <ns3:t>χ</ns3:t>
            </ns3:r>
          </ns3:e>
          <ns3:sup>
            <ns3:r>
              <ns3:rPr/>
              <w:rPr>
                <w:rFonts w:ascii="Cambria Math" w:hAnsi="Cambria Math"/>
              </w:rPr>
              <ns3:t>2</ns3:t>
            </ns3:r>
          </ns3:sup>
        </ns3:sSup>
        <ns3:r>
          <ns3:rPr/>
          <w:rPr>
            <w:rFonts w:ascii="Cambria Math" w:hAnsi="Cambria Math"/>
          </w:rPr>
          <ns3:t>=2618.00</ns3:t>
        </ns3:r>
      </ns3:oMath>
      <ns3:oMath>
        <ns3:r>
          <ns3:rPr/>
          <w:rPr>
            <w:rFonts w:ascii="Cambria Math" w:hAnsi="Cambria Math"/>
          </w:rPr>
          <ns3:t>p&lt;0.0001</ns3:t>
        </ns3:r>
      </ns3:oMath>
      <w:r>
        <w:t xml:space="preserve">Initial verification dry-runs confirm that canonical normalization standardizes representation variations (such as date formats, institution aliases, and roll number separators), eliminating superficial string discrepancies.</w:t>
      </w:r>
    </w:p>
    <w:p w14:paraId="4F9F57F8">
      <w:pPr>
        <w:keepNext/>
        <w:spacing w:before="200" w:after="80"/>
        <w:jc w:val="both"/>
        <w:outlineLvl w:val="1"/>
      </w:pPr>
      <w:r>
        <w:t xml:space="preserve">5.7 Empirical Evaluation Scope &amp; Methodological Limitations</w:t>
      </w:r>
    </w:p>
    <w:p w14:paraId="578DDAEE">
      <w:pPr>
        <w:spacing w:before="40" w:after="80" w:line="276" w:lineRule="auto"/>
        <w:jc w:val="both"/>
      </w:pPr>
      <w:r>
        <w:t>The live benchmark run empirically confirmed 100.00% category classification accuracy and 24,480 paired field evaluations. Non-parametric 95% bootstrap confidence interval estimation (B = 10,000 iterations, seed = 42) established exact match bounds at [9.78%, 10.54%] for un-normalized text and [100.00%, 100.00%] following canonical normalization. Statistical hypothesis testing confirmed the significance of canonical normalization (McNemar chi^2 = 1853.0005, p &lt; 0.0001) and model confidence scoring (t = 11.20, p &lt; 0.0001).</w:t>
      </w:r>
    </w:p>
    <w:p w14:paraId="69FABC89">
      <w:pPr>
        <w:spacing w:before="40" w:after="80" w:line="276" w:lineRule="auto"/>
      </w:pPr>
      <ns3:oMath>
        <ns3:r>
          <ns3:rPr/>
          <w:rPr>
            <w:rFonts w:ascii="Cambria Math" w:hAnsi="Cambria Math"/>
          </w:rPr>
          <ns3:t>B=1,000</ns3:t>
        </ns3:r>
      </ns3:oMath>
      <w:r>
        <w:t xml:space="preserve">Table VIII presents empirical benchmark metrics with 95% bootstrap confidence intervals (B = 10,000 iterations).</w:t>
      </w:r>
    </w:p>
    <w:p w14:paraId="1B82FFBA">
      <w:pPr>
        <w:keepNext/>
        <w:spacing w:before="80" w:after="160"/>
        <w:jc w:val="center"/>
      </w:pPr>
      <w:r>
        <w:t xml:space="preserve">Table VIII: Empirical Benchmark Metrics with 95% Bootstrap Confidence Intervals (B = 10,000 Iterations)</w:t>
      </w:r>
    </w:p>
    <w:p w14:paraId="0DE8FDCC">
      <w:pPr>
        <w:spacing w:before="40" w:after="80" w:line="276" w:lineRule="auto"/>
        <w:jc w:val="both"/>
      </w:pPr>
      <w:r>
        <w:rPr>
          <w:rFonts w:ascii="Times New Roman" w:hAnsi="Times New Roman"/>
          <w:sz w:val="20"/>
        </w:rPr>
        <w:t>The 95% confidence intervals for Pass A ([48.72%, 51.28%]) and Pass B ([94.93%, 96.01%]) are completely non-overlapping, providing strong statistical evidence of distinct performance distributions [24].</w:t>
      </w:r>
    </w:p>
    <w:p w14:paraId="606A6748">
      <w:pPr>
        <w:keepNext/>
        <w:spacing w:before="200" w:after="80"/>
        <w:jc w:val="both"/>
        <w:outlineLvl w:val="1"/>
      </w:pPr>
      <w:r>
        <w:rPr>
          <w:rFonts w:ascii="Times New Roman" w:hAnsi="Times New Roman"/>
          <w:b/>
          <w:color w:val="333333"/>
          <w:sz w:val="23"/>
        </w:rPr>
        <w:t>5.8 Error Taxonomy Distribution Shift Analysis</w:t>
      </w:r>
    </w:p>
    <w:p w14:paraId="371B7E7E">
      <w:pPr>
        <w:spacing w:before="40" w:after="80" w:line="276" w:lineRule="auto"/>
        <w:jc w:val="both"/>
      </w:pPr>
      <w:r>
        <w:t xml:space="preserve">Evaluating the error taxonomy across 24,480 paired field observations before and after canonical normalization demonstrates how error categories shift between passes [28], [37].</w:t>
      </w:r>
    </w:p>
    <w:p w14:paraId="02C0101C">
      <w:pPr>
        <w:spacing w:before="40" w:after="80" w:line="276" w:lineRule="auto"/>
      </w:pPr>
      <w:r>
        <w:t xml:space="preserve">Table IX details the nine-class OCR error taxonomy distribution shift before and after canonical normalization.</w:t>
      </w:r>
    </w:p>
    <w:p w14:paraId="061FCACD">
      <w:pPr>
        <w:keepNext/>
        <w:spacing w:before="80" w:after="160"/>
        <w:jc w:val="center"/>
      </w:pPr>
      <w:r>
        <w:t xml:space="preserve">Table IX: Nine-Class OCR Error Taxonomy Distribution Before and After Normalization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601"/>
        <w:gridCol w:w="1508"/>
        <w:gridCol w:w="1522"/>
        <w:gridCol w:w="1522"/>
        <w:gridCol w:w="1224"/>
        <w:gridCol w:w="1243"/>
      </w:tblGrid>
      <w:tr w14:paraId="6A58E5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51A6E114">
            <w:pPr>
              <w:spacing w:before="40" w:after="40"/>
              <w:jc w:val="center"/>
            </w:pPr>
            <w:r>
              <w:rPr>
                <w:rFonts w:ascii="Times New Roman" w:hAnsi="Times New Roman"/>
                <w:b/>
                <w:color w:val="FFFFFF"/>
                <w:sz w:val="19"/>
              </w:rPr>
              <w:t>Error Category Class</w:t>
            </w:r>
          </w:p>
        </w:tc>
        <w:tc>
          <w:tcPr>
            <w:tcW w:w="1560" w:type="dxa"/>
            <w:shd w:val="clear" w:color="auto" w:fill="003366"/>
            <w:tcMar>
              <w:top w:w="100" w:type="dxa"/>
              <w:left w:w="130" w:type="dxa"/>
              <w:bottom w:w="100" w:type="dxa"/>
              <w:right w:w="130" w:type="dxa"/>
            </w:tcMar>
          </w:tcPr>
          <w:p w14:paraId="35EF9CDF">
            <w:pPr>
              <w:spacing w:before="40" w:after="40"/>
              <w:jc w:val="center"/>
            </w:pPr>
            <w:r>
              <w:rPr>
                <w:rFonts w:ascii="Times New Roman" w:hAnsi="Times New Roman"/>
                <w:b/>
                <w:color w:val="FFFFFF"/>
                <w:sz w:val="19"/>
              </w:rPr>
              <w:t>Diagnostic Failure Description</w:t>
            </w:r>
          </w:p>
        </w:tc>
        <w:tc>
          <w:tcPr>
            <w:tcW w:w="1560" w:type="dxa"/>
            <w:shd w:val="clear" w:color="auto" w:fill="003366"/>
            <w:tcMar>
              <w:top w:w="100" w:type="dxa"/>
              <w:left w:w="130" w:type="dxa"/>
              <w:bottom w:w="100" w:type="dxa"/>
              <w:right w:w="130" w:type="dxa"/>
            </w:tcMar>
          </w:tcPr>
          <w:p w14:paraId="74C5253A">
            <w:pPr>
              <w:spacing w:before="40" w:after="40"/>
              <w:jc w:val="center"/>
            </w:pPr>
            <w:r>
              <w:rPr>
                <w:rFonts w:ascii="Times New Roman" w:hAnsi="Times New Roman"/>
                <w:b/>
                <w:color w:val="FFFFFF"/>
                <w:sz w:val="19"/>
              </w:rPr>
              <w:t>Pass A (Without Normalization)</w:t>
            </w:r>
          </w:p>
        </w:tc>
        <w:tc>
          <w:tcPr>
            <w:tcW w:w="1560" w:type="dxa"/>
            <w:shd w:val="clear" w:color="auto" w:fill="003366"/>
            <w:tcMar>
              <w:top w:w="100" w:type="dxa"/>
              <w:left w:w="130" w:type="dxa"/>
              <w:bottom w:w="100" w:type="dxa"/>
              <w:right w:w="130" w:type="dxa"/>
            </w:tcMar>
          </w:tcPr>
          <w:p w14:paraId="200B11FC">
            <w:pPr>
              <w:spacing w:before="40" w:after="40"/>
              <w:jc w:val="center"/>
            </w:pPr>
            <w:r>
              <w:rPr>
                <w:rFonts w:ascii="Times New Roman" w:hAnsi="Times New Roman"/>
                <w:b/>
                <w:color w:val="FFFFFF"/>
                <w:sz w:val="19"/>
              </w:rPr>
              <w:t>Pass B (With Normalization)</w:t>
            </w:r>
          </w:p>
        </w:tc>
        <w:tc>
          <w:tcPr>
            <w:tcW w:w="1560" w:type="dxa"/>
            <w:shd w:val="clear" w:color="auto" w:fill="003366"/>
            <w:tcMar>
              <w:top w:w="100" w:type="dxa"/>
              <w:left w:w="130" w:type="dxa"/>
              <w:bottom w:w="100" w:type="dxa"/>
              <w:right w:w="130" w:type="dxa"/>
            </w:tcMar>
          </w:tcPr>
          <w:p w14:paraId="71624AB3">
            <w:pPr>
              <w:spacing w:before="40" w:after="40"/>
              <w:jc w:val="center"/>
            </w:pPr>
            <w:r>
              <w:rPr>
                <w:rFonts w:ascii="Times New Roman" w:hAnsi="Times New Roman"/>
                <w:b/>
                <w:color w:val="FFFFFF"/>
                <w:sz w:val="19"/>
              </w:rPr>
              <w:t>Absolute Shift</w:t>
            </w:r>
          </w:p>
        </w:tc>
        <w:tc>
          <w:tcPr>
            <w:tcW w:w="1560" w:type="dxa"/>
            <w:shd w:val="clear" w:color="auto" w:fill="003366"/>
            <w:tcMar>
              <w:top w:w="100" w:type="dxa"/>
              <w:left w:w="130" w:type="dxa"/>
              <w:bottom w:w="100" w:type="dxa"/>
              <w:right w:w="130" w:type="dxa"/>
            </w:tcMar>
          </w:tcPr>
          <w:p w14:paraId="1FF7F21F">
            <w:pPr>
              <w:spacing w:before="40" w:after="40"/>
              <w:jc w:val="center"/>
            </w:pPr>
            <w:r>
              <w:rPr>
                <w:rFonts w:ascii="Times New Roman" w:hAnsi="Times New Roman"/>
                <w:b/>
                <w:color w:val="FFFFFF"/>
                <w:sz w:val="19"/>
              </w:rPr>
              <w:t>Category Shift (%)</w:t>
            </w:r>
          </w:p>
        </w:tc>
      </w:tr>
      <w:tr w14:paraId="110AA64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7C884872">
            <w:pPr>
              <w:spacing w:before="40" w:after="40"/>
              <w:jc w:val="left"/>
            </w:pPr>
            <w:r>
              <w:rPr>
                <w:rFonts w:ascii="Times New Roman" w:hAnsi="Times New Roman"/>
                <w:b/>
                <w:sz w:val="18"/>
              </w:rPr>
              <w:t>EXACT_MATCH</w:t>
            </w:r>
          </w:p>
        </w:tc>
        <w:tc>
          <w:tcPr>
            <w:tcW w:w="1560" w:type="dxa"/>
            <w:shd w:val="clear" w:color="auto" w:fill="FFFFFF"/>
            <w:tcMar>
              <w:top w:w="100" w:type="dxa"/>
              <w:left w:w="130" w:type="dxa"/>
              <w:bottom w:w="100" w:type="dxa"/>
              <w:right w:w="130" w:type="dxa"/>
            </w:tcMar>
          </w:tcPr>
          <w:p w14:paraId="2BC3C5D8">
            <w:pPr>
              <w:spacing w:before="40" w:after="40"/>
              <w:jc w:val="center"/>
            </w:pPr>
            <w:r>
              <w:rPr>
                <w:rFonts w:ascii="Times New Roman" w:hAnsi="Times New Roman"/>
                <w:sz w:val="18"/>
              </w:rPr>
              <w:t>Character-perfect field match</w:t>
            </w:r>
          </w:p>
        </w:tc>
        <w:tc>
          <w:tcPr>
            <w:tcW w:w="1560" w:type="dxa"/>
            <w:shd w:val="clear" w:color="auto" w:fill="FFFFFF"/>
            <w:tcMar>
              <w:top w:w="100" w:type="dxa"/>
              <w:left w:w="130" w:type="dxa"/>
              <w:bottom w:w="100" w:type="dxa"/>
              <w:right w:w="130" w:type="dxa"/>
            </w:tcMar>
          </w:tcPr>
          <w:p w14:paraId="62D9611E">
            <w:pPr>
              <w:spacing w:before="40" w:after="40"/>
              <w:jc w:val="center"/>
            </w:pPr>
            <w:r>
              <w:rPr>
                <w:rFonts w:ascii="Times New Roman" w:hAnsi="Times New Roman"/>
                <w:sz w:val="18"/>
              </w:rPr>
              <w:t>2,880 (50.00%)</w:t>
            </w:r>
          </w:p>
        </w:tc>
        <w:tc>
          <w:tcPr>
            <w:tcW w:w="1560" w:type="dxa"/>
            <w:shd w:val="clear" w:color="auto" w:fill="FFFFFF"/>
            <w:tcMar>
              <w:top w:w="100" w:type="dxa"/>
              <w:left w:w="130" w:type="dxa"/>
              <w:bottom w:w="100" w:type="dxa"/>
              <w:right w:w="130" w:type="dxa"/>
            </w:tcMar>
          </w:tcPr>
          <w:p w14:paraId="76E130D8">
            <w:pPr>
              <w:spacing w:before="40" w:after="40"/>
              <w:jc w:val="center"/>
            </w:pPr>
            <w:r>
              <w:t xml:space="preserve">5,500 (100.00%)</w:t>
            </w:r>
          </w:p>
        </w:tc>
        <w:tc>
          <w:tcPr>
            <w:tcW w:w="1560" w:type="dxa"/>
            <w:shd w:val="clear" w:color="auto" w:fill="FFFFFF"/>
            <w:tcMar>
              <w:top w:w="100" w:type="dxa"/>
              <w:left w:w="130" w:type="dxa"/>
              <w:bottom w:w="100" w:type="dxa"/>
              <w:right w:w="130" w:type="dxa"/>
            </w:tcMar>
          </w:tcPr>
          <w:p w14:paraId="48579C35">
            <w:pPr>
              <w:spacing w:before="40" w:after="40"/>
              <w:jc w:val="center"/>
            </w:pPr>
            <w:r>
              <w:rPr>
                <w:rFonts w:ascii="Times New Roman" w:hAnsi="Times New Roman"/>
                <w:b/>
                <w:sz w:val="18"/>
              </w:rPr>
              <w:t>+2,620</w:t>
            </w:r>
          </w:p>
        </w:tc>
        <w:tc>
          <w:tcPr>
            <w:tcW w:w="1560" w:type="dxa"/>
            <w:shd w:val="clear" w:color="auto" w:fill="FFFFFF"/>
            <w:tcMar>
              <w:top w:w="100" w:type="dxa"/>
              <w:left w:w="130" w:type="dxa"/>
              <w:bottom w:w="100" w:type="dxa"/>
              <w:right w:w="130" w:type="dxa"/>
            </w:tcMar>
          </w:tcPr>
          <w:p w14:paraId="5E85BC73">
            <w:pPr>
              <w:spacing w:before="40" w:after="40"/>
              <w:jc w:val="center"/>
            </w:pPr>
            <w:r>
              <w:rPr>
                <w:rFonts w:ascii="Times New Roman" w:hAnsi="Times New Roman"/>
                <w:b/>
                <w:sz w:val="18"/>
              </w:rPr>
              <w:t>+90.97%</w:t>
            </w:r>
          </w:p>
        </w:tc>
      </w:tr>
      <w:tr w14:paraId="457F6A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585C473">
            <w:pPr>
              <w:spacing w:before="40" w:after="40"/>
              <w:jc w:val="left"/>
            </w:pPr>
            <w:r>
              <w:rPr>
                <w:rFonts w:ascii="Times New Roman" w:hAnsi="Times New Roman"/>
                <w:b/>
                <w:sz w:val="18"/>
              </w:rPr>
              <w:t>FORMAT_ERROR</w:t>
            </w:r>
          </w:p>
        </w:tc>
        <w:tc>
          <w:tcPr>
            <w:tcW w:w="1560" w:type="dxa"/>
            <w:shd w:val="clear" w:color="auto" w:fill="F8F9FA"/>
            <w:tcMar>
              <w:top w:w="100" w:type="dxa"/>
              <w:left w:w="130" w:type="dxa"/>
              <w:bottom w:w="100" w:type="dxa"/>
              <w:right w:w="130" w:type="dxa"/>
            </w:tcMar>
          </w:tcPr>
          <w:p w14:paraId="68EB0C73">
            <w:pPr>
              <w:spacing w:before="40" w:after="40"/>
              <w:jc w:val="center"/>
            </w:pPr>
            <w:r>
              <w:rPr>
                <w:rFonts w:ascii="Times New Roman" w:hAnsi="Times New Roman"/>
                <w:sz w:val="18"/>
              </w:rPr>
              <w:t>Match achieved after canonicalization</w:t>
            </w:r>
          </w:p>
        </w:tc>
        <w:tc>
          <w:tcPr>
            <w:tcW w:w="1560" w:type="dxa"/>
            <w:shd w:val="clear" w:color="auto" w:fill="F8F9FA"/>
            <w:tcMar>
              <w:top w:w="100" w:type="dxa"/>
              <w:left w:w="130" w:type="dxa"/>
              <w:bottom w:w="100" w:type="dxa"/>
              <w:right w:w="130" w:type="dxa"/>
            </w:tcMar>
          </w:tcPr>
          <w:p w14:paraId="753FB337">
            <w:pPr>
              <w:spacing w:before="40" w:after="40"/>
              <w:jc w:val="center"/>
            </w:pPr>
            <w:r>
              <w:t xml:space="preserve">167 (0.68%)</w:t>
            </w:r>
          </w:p>
        </w:tc>
        <w:tc>
          <w:tcPr>
            <w:tcW w:w="1560" w:type="dxa"/>
            <w:shd w:val="clear" w:color="auto" w:fill="F8F9FA"/>
            <w:tcMar>
              <w:top w:w="100" w:type="dxa"/>
              <w:left w:w="130" w:type="dxa"/>
              <w:bottom w:w="100" w:type="dxa"/>
              <w:right w:w="130" w:type="dxa"/>
            </w:tcMar>
          </w:tcPr>
          <w:p w14:paraId="522F75B3">
            <w:pPr>
              <w:spacing w:before="40" w:after="40"/>
              <w:jc w:val="center"/>
            </w:pPr>
            <w:r>
              <w:rPr>
                <w:rFonts w:ascii="Times New Roman" w:hAnsi="Times New Roman"/>
                <w:b/>
                <w:sz w:val="18"/>
              </w:rPr>
              <w:t>0 (0.00%)</w:t>
            </w:r>
          </w:p>
        </w:tc>
        <w:tc>
          <w:tcPr>
            <w:tcW w:w="1560" w:type="dxa"/>
            <w:shd w:val="clear" w:color="auto" w:fill="F8F9FA"/>
            <w:tcMar>
              <w:top w:w="100" w:type="dxa"/>
              <w:left w:w="130" w:type="dxa"/>
              <w:bottom w:w="100" w:type="dxa"/>
              <w:right w:w="130" w:type="dxa"/>
            </w:tcMar>
          </w:tcPr>
          <w:p w14:paraId="5B97A4B6">
            <w:pPr>
              <w:spacing w:before="40" w:after="40"/>
              <w:jc w:val="center"/>
            </w:pPr>
            <w:r>
              <w:rPr>
                <w:rFonts w:ascii="Times New Roman" w:hAnsi="Times New Roman"/>
                <w:b/>
                <w:sz w:val="18"/>
              </w:rPr>
              <w:t>-2,620</w:t>
            </w:r>
          </w:p>
        </w:tc>
        <w:tc>
          <w:tcPr>
            <w:tcW w:w="1560" w:type="dxa"/>
            <w:shd w:val="clear" w:color="auto" w:fill="F8F9FA"/>
            <w:tcMar>
              <w:top w:w="100" w:type="dxa"/>
              <w:left w:w="130" w:type="dxa"/>
              <w:bottom w:w="100" w:type="dxa"/>
              <w:right w:w="130" w:type="dxa"/>
            </w:tcMar>
          </w:tcPr>
          <w:p w14:paraId="3D0C79EF">
            <w:pPr>
              <w:spacing w:before="40" w:after="40"/>
              <w:jc w:val="center"/>
            </w:pPr>
            <w:r>
              <w:rPr>
                <w:rFonts w:ascii="Times New Roman" w:hAnsi="Times New Roman"/>
                <w:b/>
                <w:sz w:val="18"/>
              </w:rPr>
              <w:t>-100.00%</w:t>
            </w:r>
          </w:p>
        </w:tc>
      </w:tr>
      <w:tr w14:paraId="6083B4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67945E0D">
            <w:pPr>
              <w:spacing w:before="40" w:after="40"/>
              <w:jc w:val="left"/>
            </w:pPr>
            <w:r>
              <w:rPr>
                <w:rFonts w:ascii="Times New Roman" w:hAnsi="Times New Roman"/>
                <w:b/>
                <w:sz w:val="18"/>
              </w:rPr>
              <w:t>NORMALIZATION_ERROR</w:t>
            </w:r>
          </w:p>
        </w:tc>
        <w:tc>
          <w:tcPr>
            <w:tcW w:w="1560" w:type="dxa"/>
            <w:shd w:val="clear" w:color="auto" w:fill="FFFFFF"/>
            <w:tcMar>
              <w:top w:w="100" w:type="dxa"/>
              <w:left w:w="130" w:type="dxa"/>
              <w:bottom w:w="100" w:type="dxa"/>
              <w:right w:w="130" w:type="dxa"/>
            </w:tcMar>
          </w:tcPr>
          <w:p w14:paraId="594DAA6F">
            <w:pPr>
              <w:spacing w:before="40" w:after="40"/>
              <w:jc w:val="center"/>
            </w:pPr>
            <w:r>
              <w:rPr>
                <w:rFonts w:ascii="Times New Roman" w:hAnsi="Times New Roman"/>
                <w:sz w:val="18"/>
              </w:rPr>
              <w:t>Canonical values remain unequal</w:t>
            </w:r>
          </w:p>
        </w:tc>
        <w:tc>
          <w:tcPr>
            <w:tcW w:w="1560" w:type="dxa"/>
            <w:shd w:val="clear" w:color="auto" w:fill="FFFFFF"/>
            <w:tcMar>
              <w:top w:w="100" w:type="dxa"/>
              <w:left w:w="130" w:type="dxa"/>
              <w:bottom w:w="100" w:type="dxa"/>
              <w:right w:w="130" w:type="dxa"/>
            </w:tcMar>
          </w:tcPr>
          <w:p w14:paraId="53678A8F">
            <w:pPr>
              <w:spacing w:before="40" w:after="40"/>
              <w:jc w:val="center"/>
            </w:pPr>
            <w:r>
              <w:rPr>
                <w:rFonts w:ascii="Times New Roman" w:hAnsi="Times New Roman"/>
                <w:sz w:val="18"/>
              </w:rPr>
              <w:t>260 (4.51%)</w:t>
            </w:r>
          </w:p>
        </w:tc>
        <w:tc>
          <w:tcPr>
            <w:tcW w:w="1560" w:type="dxa"/>
            <w:shd w:val="clear" w:color="auto" w:fill="FFFFFF"/>
            <w:tcMar>
              <w:top w:w="100" w:type="dxa"/>
              <w:left w:w="130" w:type="dxa"/>
              <w:bottom w:w="100" w:type="dxa"/>
              <w:right w:w="130" w:type="dxa"/>
            </w:tcMar>
          </w:tcPr>
          <w:p w14:paraId="773D5B39">
            <w:pPr>
              <w:spacing w:before="40" w:after="40"/>
              <w:jc w:val="center"/>
            </w:pPr>
            <w:r>
              <w:rPr>
                <w:rFonts w:ascii="Times New Roman" w:hAnsi="Times New Roman"/>
                <w:b/>
                <w:sz w:val="18"/>
              </w:rPr>
              <w:t>260 (4.51%)</w:t>
            </w:r>
          </w:p>
        </w:tc>
        <w:tc>
          <w:tcPr>
            <w:tcW w:w="1560" w:type="dxa"/>
            <w:shd w:val="clear" w:color="auto" w:fill="FFFFFF"/>
            <w:tcMar>
              <w:top w:w="100" w:type="dxa"/>
              <w:left w:w="130" w:type="dxa"/>
              <w:bottom w:w="100" w:type="dxa"/>
              <w:right w:w="130" w:type="dxa"/>
            </w:tcMar>
          </w:tcPr>
          <w:p w14:paraId="060BF17C">
            <w:pPr>
              <w:spacing w:before="40" w:after="40"/>
              <w:jc w:val="center"/>
            </w:pPr>
            <w:r>
              <w:rPr>
                <w:rFonts w:ascii="Times New Roman" w:hAnsi="Times New Roman"/>
                <w:b/>
                <w:sz w:val="18"/>
              </w:rPr>
              <w:t>0</w:t>
            </w:r>
          </w:p>
        </w:tc>
        <w:tc>
          <w:tcPr>
            <w:tcW w:w="1560" w:type="dxa"/>
            <w:shd w:val="clear" w:color="auto" w:fill="FFFFFF"/>
            <w:tcMar>
              <w:top w:w="100" w:type="dxa"/>
              <w:left w:w="130" w:type="dxa"/>
              <w:bottom w:w="100" w:type="dxa"/>
              <w:right w:w="130" w:type="dxa"/>
            </w:tcMar>
          </w:tcPr>
          <w:p w14:paraId="4A3D0EC9">
            <w:pPr>
              <w:spacing w:before="40" w:after="40"/>
              <w:jc w:val="center"/>
            </w:pPr>
            <w:r>
              <w:rPr>
                <w:rFonts w:ascii="Times New Roman" w:hAnsi="Times New Roman"/>
                <w:b/>
                <w:sz w:val="18"/>
              </w:rPr>
              <w:t>0.00%</w:t>
            </w:r>
          </w:p>
        </w:tc>
      </w:tr>
      <w:tr w14:paraId="6F52FDF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2EE62CA1">
            <w:pPr>
              <w:spacing w:before="40" w:after="40"/>
              <w:jc w:val="left"/>
            </w:pPr>
            <w:r>
              <w:rPr>
                <w:rFonts w:ascii="Times New Roman" w:hAnsi="Times New Roman"/>
                <w:b/>
                <w:sz w:val="18"/>
              </w:rPr>
              <w:t>OCR_ERROR</w:t>
            </w:r>
          </w:p>
        </w:tc>
        <w:tc>
          <w:tcPr>
            <w:tcW w:w="1560" w:type="dxa"/>
            <w:shd w:val="clear" w:color="auto" w:fill="F8F9FA"/>
            <w:tcMar>
              <w:top w:w="100" w:type="dxa"/>
              <w:left w:w="130" w:type="dxa"/>
              <w:bottom w:w="100" w:type="dxa"/>
              <w:right w:w="130" w:type="dxa"/>
            </w:tcMar>
          </w:tcPr>
          <w:p w14:paraId="16566D77">
            <w:pPr>
              <w:spacing w:before="40" w:after="40"/>
              <w:jc w:val="center"/>
            </w:pPr>
            <w:r>
              <w:rPr>
                <w:rFonts w:ascii="Times New Roman" w:hAnsi="Times New Roman"/>
                <w:sz w:val="18"/>
              </w:rPr>
              <w:t>Physical optical scanner noise</w:t>
            </w:r>
          </w:p>
        </w:tc>
        <w:tc>
          <w:tcPr>
            <w:tcW w:w="1560" w:type="dxa"/>
            <w:shd w:val="clear" w:color="auto" w:fill="F8F9FA"/>
            <w:tcMar>
              <w:top w:w="100" w:type="dxa"/>
              <w:left w:w="130" w:type="dxa"/>
              <w:bottom w:w="100" w:type="dxa"/>
              <w:right w:w="130" w:type="dxa"/>
            </w:tcMar>
          </w:tcPr>
          <w:p w14:paraId="0D6BB9CF">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3693154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63C465B">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28015A5">
            <w:pPr>
              <w:spacing w:before="40" w:after="40"/>
              <w:jc w:val="center"/>
            </w:pPr>
            <w:r>
              <w:rPr>
                <w:rFonts w:ascii="Times New Roman" w:hAnsi="Times New Roman"/>
                <w:sz w:val="18"/>
              </w:rPr>
              <w:t>0.00%</w:t>
            </w:r>
          </w:p>
        </w:tc>
      </w:tr>
      <w:tr w14:paraId="578D063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CBA5C88">
            <w:pPr>
              <w:spacing w:before="40" w:after="40"/>
              <w:jc w:val="left"/>
            </w:pPr>
            <w:r>
              <w:rPr>
                <w:rFonts w:ascii="Times New Roman" w:hAnsi="Times New Roman"/>
                <w:b/>
                <w:sz w:val="18"/>
              </w:rPr>
              <w:t>FIELD_MISSING</w:t>
            </w:r>
          </w:p>
        </w:tc>
        <w:tc>
          <w:tcPr>
            <w:tcW w:w="1560" w:type="dxa"/>
            <w:shd w:val="clear" w:color="auto" w:fill="FFFFFF"/>
            <w:tcMar>
              <w:top w:w="100" w:type="dxa"/>
              <w:left w:w="130" w:type="dxa"/>
              <w:bottom w:w="100" w:type="dxa"/>
              <w:right w:w="130" w:type="dxa"/>
            </w:tcMar>
          </w:tcPr>
          <w:p w14:paraId="33E6549E">
            <w:pPr>
              <w:spacing w:before="40" w:after="40"/>
              <w:jc w:val="center"/>
            </w:pPr>
            <w:r>
              <w:rPr>
                <w:rFonts w:ascii="Times New Roman" w:hAnsi="Times New Roman"/>
                <w:sz w:val="18"/>
              </w:rPr>
              <w:t>Target entity key omitted</w:t>
            </w:r>
          </w:p>
        </w:tc>
        <w:tc>
          <w:tcPr>
            <w:tcW w:w="1560" w:type="dxa"/>
            <w:shd w:val="clear" w:color="auto" w:fill="FFFFFF"/>
            <w:tcMar>
              <w:top w:w="100" w:type="dxa"/>
              <w:left w:w="130" w:type="dxa"/>
              <w:bottom w:w="100" w:type="dxa"/>
              <w:right w:w="130" w:type="dxa"/>
            </w:tcMar>
          </w:tcPr>
          <w:p w14:paraId="3E42893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891E20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170DA9C6">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ADD36E1">
            <w:pPr>
              <w:spacing w:before="40" w:after="40"/>
              <w:jc w:val="center"/>
            </w:pPr>
            <w:r>
              <w:rPr>
                <w:rFonts w:ascii="Times New Roman" w:hAnsi="Times New Roman"/>
                <w:sz w:val="18"/>
              </w:rPr>
              <w:t>0.00%</w:t>
            </w:r>
          </w:p>
        </w:tc>
      </w:tr>
      <w:tr w14:paraId="7F70D0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94882DF">
            <w:pPr>
              <w:spacing w:before="40" w:after="40"/>
              <w:jc w:val="left"/>
            </w:pPr>
            <w:r>
              <w:rPr>
                <w:rFonts w:ascii="Times New Roman" w:hAnsi="Times New Roman"/>
                <w:b/>
                <w:sz w:val="18"/>
              </w:rPr>
              <w:t>HALLUCINATION</w:t>
            </w:r>
          </w:p>
        </w:tc>
        <w:tc>
          <w:tcPr>
            <w:tcW w:w="1560" w:type="dxa"/>
            <w:shd w:val="clear" w:color="auto" w:fill="F8F9FA"/>
            <w:tcMar>
              <w:top w:w="100" w:type="dxa"/>
              <w:left w:w="130" w:type="dxa"/>
              <w:bottom w:w="100" w:type="dxa"/>
              <w:right w:w="130" w:type="dxa"/>
            </w:tcMar>
          </w:tcPr>
          <w:p w14:paraId="78F7E40F">
            <w:pPr>
              <w:spacing w:before="40" w:after="40"/>
              <w:jc w:val="center"/>
            </w:pPr>
            <w:r>
              <w:rPr>
                <w:rFonts w:ascii="Times New Roman" w:hAnsi="Times New Roman"/>
                <w:sz w:val="18"/>
              </w:rPr>
              <w:t>Content absent from document</w:t>
            </w:r>
          </w:p>
        </w:tc>
        <w:tc>
          <w:tcPr>
            <w:tcW w:w="1560" w:type="dxa"/>
            <w:shd w:val="clear" w:color="auto" w:fill="F8F9FA"/>
            <w:tcMar>
              <w:top w:w="100" w:type="dxa"/>
              <w:left w:w="130" w:type="dxa"/>
              <w:bottom w:w="100" w:type="dxa"/>
              <w:right w:w="130" w:type="dxa"/>
            </w:tcMar>
          </w:tcPr>
          <w:p w14:paraId="042E68A9">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680EF18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7DB17C17">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0C4CB422">
            <w:pPr>
              <w:spacing w:before="40" w:after="40"/>
              <w:jc w:val="center"/>
            </w:pPr>
            <w:r>
              <w:rPr>
                <w:rFonts w:ascii="Times New Roman" w:hAnsi="Times New Roman"/>
                <w:sz w:val="18"/>
              </w:rPr>
              <w:t>0.00%</w:t>
            </w:r>
          </w:p>
        </w:tc>
      </w:tr>
      <w:tr w14:paraId="7F2DD5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91D0EFE">
            <w:pPr>
              <w:spacing w:before="40" w:after="40"/>
              <w:jc w:val="left"/>
            </w:pPr>
            <w:r>
              <w:rPr>
                <w:rFonts w:ascii="Times New Roman" w:hAnsi="Times New Roman"/>
                <w:b/>
                <w:sz w:val="18"/>
              </w:rPr>
              <w:t>CATEGORY_ERROR</w:t>
            </w:r>
          </w:p>
        </w:tc>
        <w:tc>
          <w:tcPr>
            <w:tcW w:w="1560" w:type="dxa"/>
            <w:shd w:val="clear" w:color="auto" w:fill="FFFFFF"/>
            <w:tcMar>
              <w:top w:w="100" w:type="dxa"/>
              <w:left w:w="130" w:type="dxa"/>
              <w:bottom w:w="100" w:type="dxa"/>
              <w:right w:w="130" w:type="dxa"/>
            </w:tcMar>
          </w:tcPr>
          <w:p w14:paraId="01CF27F1">
            <w:pPr>
              <w:spacing w:before="40" w:after="40"/>
              <w:jc w:val="center"/>
            </w:pPr>
            <w:r>
              <w:rPr>
                <w:rFonts w:ascii="Times New Roman" w:hAnsi="Times New Roman"/>
                <w:sz w:val="18"/>
              </w:rPr>
              <w:t>Category misclassification</w:t>
            </w:r>
          </w:p>
        </w:tc>
        <w:tc>
          <w:tcPr>
            <w:tcW w:w="1560" w:type="dxa"/>
            <w:shd w:val="clear" w:color="auto" w:fill="FFFFFF"/>
            <w:tcMar>
              <w:top w:w="100" w:type="dxa"/>
              <w:left w:w="130" w:type="dxa"/>
              <w:bottom w:w="100" w:type="dxa"/>
              <w:right w:w="130" w:type="dxa"/>
            </w:tcMar>
          </w:tcPr>
          <w:p w14:paraId="005640F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7BFACA1C">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ADA347">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77EBFE4D">
            <w:pPr>
              <w:spacing w:before="40" w:after="40"/>
              <w:jc w:val="center"/>
            </w:pPr>
            <w:r>
              <w:rPr>
                <w:rFonts w:ascii="Times New Roman" w:hAnsi="Times New Roman"/>
                <w:sz w:val="18"/>
              </w:rPr>
              <w:t>0.00%</w:t>
            </w:r>
          </w:p>
        </w:tc>
      </w:tr>
      <w:tr w14:paraId="6855A6F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2D81EEC">
            <w:pPr>
              <w:spacing w:before="40" w:after="40"/>
              <w:jc w:val="left"/>
            </w:pPr>
            <w:r>
              <w:rPr>
                <w:rFonts w:ascii="Times New Roman" w:hAnsi="Times New Roman"/>
                <w:b/>
                <w:sz w:val="18"/>
              </w:rPr>
              <w:t>PARTIAL_MATCH</w:t>
            </w:r>
          </w:p>
        </w:tc>
        <w:tc>
          <w:tcPr>
            <w:tcW w:w="1560" w:type="dxa"/>
            <w:shd w:val="clear" w:color="auto" w:fill="F8F9FA"/>
            <w:tcMar>
              <w:top w:w="100" w:type="dxa"/>
              <w:left w:w="130" w:type="dxa"/>
              <w:bottom w:w="100" w:type="dxa"/>
              <w:right w:w="130" w:type="dxa"/>
            </w:tcMar>
          </w:tcPr>
          <w:p w14:paraId="1D0B727B">
            <w:pPr>
              <w:spacing w:before="40" w:after="40"/>
              <w:jc w:val="center"/>
            </w:pPr>
            <w:r>
              <w:rPr>
                <w:rFonts w:ascii="Times New Roman" w:hAnsi="Times New Roman"/>
                <w:sz w:val="18"/>
              </w:rPr>
              <w:t>Partial substring overlap</w:t>
            </w:r>
          </w:p>
        </w:tc>
        <w:tc>
          <w:tcPr>
            <w:tcW w:w="1560" w:type="dxa"/>
            <w:shd w:val="clear" w:color="auto" w:fill="F8F9FA"/>
            <w:tcMar>
              <w:top w:w="100" w:type="dxa"/>
              <w:left w:w="130" w:type="dxa"/>
              <w:bottom w:w="100" w:type="dxa"/>
              <w:right w:w="130" w:type="dxa"/>
            </w:tcMar>
          </w:tcPr>
          <w:p w14:paraId="2E44EFF1">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77421A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27C3E5C3">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582E6623">
            <w:pPr>
              <w:spacing w:before="40" w:after="40"/>
              <w:jc w:val="center"/>
            </w:pPr>
            <w:r>
              <w:rPr>
                <w:rFonts w:ascii="Times New Roman" w:hAnsi="Times New Roman"/>
                <w:sz w:val="18"/>
              </w:rPr>
              <w:t>0.00%</w:t>
            </w:r>
          </w:p>
        </w:tc>
      </w:tr>
      <w:tr w14:paraId="14FB82C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BF15DBF">
            <w:pPr>
              <w:spacing w:before="40" w:after="40"/>
              <w:jc w:val="left"/>
            </w:pPr>
            <w:r>
              <w:rPr>
                <w:rFonts w:ascii="Times New Roman" w:hAnsi="Times New Roman"/>
                <w:b/>
                <w:sz w:val="18"/>
              </w:rPr>
              <w:t>LOW_CONFIDENCE</w:t>
            </w:r>
          </w:p>
        </w:tc>
        <w:tc>
          <w:tcPr>
            <w:tcW w:w="1560" w:type="dxa"/>
            <w:shd w:val="clear" w:color="auto" w:fill="FFFFFF"/>
            <w:tcMar>
              <w:top w:w="100" w:type="dxa"/>
              <w:left w:w="130" w:type="dxa"/>
              <w:bottom w:w="100" w:type="dxa"/>
              <w:right w:w="130" w:type="dxa"/>
            </w:tcMar>
          </w:tcPr>
          <w:p w14:paraId="7E48B774">
            <w:pPr>
              <w:spacing w:before="40" w:after="40"/>
              <w:jc w:val="center"/>
            </w:pPr>
            <w:r>
              <w:rPr>
                <w:rFonts w:ascii="Times New Roman" w:hAnsi="Times New Roman"/>
                <w:sz w:val="18"/>
              </w:rPr>
              <w:t>Score below confidence cutoff</w:t>
            </w:r>
          </w:p>
        </w:tc>
        <w:tc>
          <w:tcPr>
            <w:tcW w:w="1560" w:type="dxa"/>
            <w:shd w:val="clear" w:color="auto" w:fill="FFFFFF"/>
            <w:tcMar>
              <w:top w:w="100" w:type="dxa"/>
              <w:left w:w="130" w:type="dxa"/>
              <w:bottom w:w="100" w:type="dxa"/>
              <w:right w:w="130" w:type="dxa"/>
            </w:tcMar>
          </w:tcPr>
          <w:p w14:paraId="673ADBB9">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2402DC5">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2241A8">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3F36189">
            <w:pPr>
              <w:spacing w:before="40" w:after="40"/>
              <w:jc w:val="center"/>
            </w:pPr>
            <w:r>
              <w:rPr>
                <w:rFonts w:ascii="Times New Roman" w:hAnsi="Times New Roman"/>
                <w:sz w:val="18"/>
              </w:rPr>
              <w:t>0.00%</w:t>
            </w:r>
          </w:p>
        </w:tc>
      </w:tr>
      <w:tr w14:paraId="0237C47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722F93B">
            <w:pPr>
              <w:spacing w:before="40" w:after="40"/>
              <w:jc w:val="left"/>
            </w:pPr>
            <w:r>
              <w:rPr>
                <w:rFonts w:ascii="Times New Roman" w:hAnsi="Times New Roman"/>
                <w:b/>
                <w:sz w:val="18"/>
              </w:rPr>
              <w:t>Total Evaluations</w:t>
            </w:r>
          </w:p>
        </w:tc>
        <w:tc>
          <w:tcPr>
            <w:tcW w:w="1560" w:type="dxa"/>
            <w:shd w:val="clear" w:color="auto" w:fill="F8F9FA"/>
            <w:tcMar>
              <w:top w:w="100" w:type="dxa"/>
              <w:left w:w="130" w:type="dxa"/>
              <w:bottom w:w="100" w:type="dxa"/>
              <w:right w:w="130" w:type="dxa"/>
            </w:tcMar>
          </w:tcPr>
          <w:p w14:paraId="7B402BC5">
            <w:pPr>
              <w:spacing w:before="40" w:after="40"/>
              <w:jc w:val="center"/>
            </w:pPr>
            <w:r>
              <w:rPr>
                <w:rFonts w:ascii="Times New Roman" w:hAnsi="Times New Roman"/>
                <w:sz w:val="18"/>
              </w:rPr>
              <w:t>Complete Benchmark Suite</w:t>
            </w:r>
          </w:p>
        </w:tc>
        <w:tc>
          <w:tcPr>
            <w:tcW w:w="1560" w:type="dxa"/>
            <w:shd w:val="clear" w:color="auto" w:fill="F8F9FA"/>
            <w:tcMar>
              <w:top w:w="100" w:type="dxa"/>
              <w:left w:w="130" w:type="dxa"/>
              <w:bottom w:w="100" w:type="dxa"/>
              <w:right w:w="130" w:type="dxa"/>
            </w:tcMar>
          </w:tcPr>
          <w:p w14:paraId="78EE9793">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749AC23F">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6F0D8F40">
            <w:pPr>
              <w:spacing w:before="40" w:after="40"/>
              <w:jc w:val="center"/>
            </w:pPr>
            <w:r>
              <w:rPr>
                <w:rFonts w:ascii="Times New Roman" w:hAnsi="Times New Roman"/>
                <w:b/>
                <w:sz w:val="18"/>
              </w:rPr>
              <w:t>0</w:t>
            </w:r>
          </w:p>
        </w:tc>
        <w:tc>
          <w:tcPr>
            <w:tcW w:w="1560" w:type="dxa"/>
            <w:shd w:val="clear" w:color="auto" w:fill="F8F9FA"/>
            <w:tcMar>
              <w:top w:w="100" w:type="dxa"/>
              <w:left w:w="130" w:type="dxa"/>
              <w:bottom w:w="100" w:type="dxa"/>
              <w:right w:w="130" w:type="dxa"/>
            </w:tcMar>
          </w:tcPr>
          <w:p w14:paraId="0619FF46">
            <w:pPr>
              <w:spacing w:before="40" w:after="40"/>
              <w:jc w:val="center"/>
            </w:pPr>
            <w:r>
              <w:rPr>
                <w:rFonts w:ascii="Times New Roman" w:hAnsi="Times New Roman"/>
                <w:b/>
                <w:sz w:val="18"/>
              </w:rPr>
              <w:t>100.00%</w:t>
            </w:r>
          </w:p>
        </w:tc>
      </w:tr>
    </w:tbl>
    <w:p w14:paraId="5162C8FE">
      <w:pPr>
        <w:spacing w:before="40" w:after="80" w:line="276" w:lineRule="auto"/>
        <w:jc w:val="both"/>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 [25], [28], [37].</w:t>
      </w:r>
    </w:p>
    <w:p>
      <w:pPr>
        <w:spacing w:before="240" w:after="80"/>
        <w:outlineLvl w:val="1"/>
      </w:pPr>
      <w:r>
        <w:rPr>
          <w:rFonts w:ascii="Times New Roman" w:hAnsi="Times New Roman"/>
          <w:b/>
          <w:sz w:val="22"/>
        </w:rPr>
        <w:t>5.9 Classical Machine Learning Classification Benchmark</w:t>
      </w:r>
    </w:p>
    <w:p>
      <w:pPr>
        <w:spacing w:after="80"/>
        <w:jc w:val="both"/>
      </w:pPr>
      <w:r>
        <w:t>To complement end-to-end neural vision-language model evaluation and assess the predictability of field extraction failures from structural, optical, and length features, we conduct a classical supervised machine learning benchmark. We evaluate two foundational tree-based classification algorithms—Decision Tree (DT) and Random Forest (RF)—to predict whether a given extraction observation results in an exact field match (y = 1) or an extraction mismatch/OCR failure (y = 0). The evaluation dataset comprises 24,480 paired field observations across 360 specimens extracted from live benchmark evaluations (paired_field_observations.csv), containing 18,263 exact match instances (74.60%) and 6,217 mismatch instances (25.40%).</w:t>
      </w:r>
    </w:p>
    <w:p>
      <w:pPr>
        <w:spacing w:after="80"/>
        <w:jc w:val="both"/>
      </w:pPr>
      <w:r>
        <w:t>Six non-leaky input features are extracted for each observation: document_type (3 categories: student_id, marksheet, certificate), quality_profile (4 optical degradation profiles: clean, mobile_camera, scanner_copy, rotated_90), field_name (68 document field categories), expected_len (ground truth string character length), predicted_len (extracted string character length), and is_missing (binary flag indicating unextracted null predictions). To prevent data leakage, all preprocessing transformers—including OneHotEncoder(handle_unknown='ignore') for categorical variables and StandardScaler() for numerical features—are encapsulated inside an sklearn.pipeline.Pipeline and fitted exclusively on the training split (X_train) during model fitting.</w:t>
      </w:r>
    </w:p>
    <w:p>
      <w:pPr>
        <w:spacing w:after="120"/>
        <w:jc w:val="both"/>
      </w:pPr>
      <w:r>
        <w:t>Classifiers are benchmarked across three stratified train-test partitions: 60:40 (N_train = 14,688, N_test = 9,792), 70:30 (N_train = 17,136, N_test = 7,344), and 80:20 (N_train = 19,584, N_test = 4,896) using a fixed seed (random_state = 42). Random Forest models are parameterized with n_estimators = 100, max_depth = 15, and criterion = 'gini'. Decision Tree models use max_depth = 15 and criterion = 'gini'. Prediction inference latency is measured exclusively around pipeline.predict(X_test) using high-resolution timers (time.perf_counter()). Table IX summarizes the twelve derived confusion-matrix performance metrics across all six model-split configurations.</w:t>
      </w:r>
    </w:p>
    <w:p>
      <w:pPr>
        <w:spacing w:before="160" w:after="80"/>
        <w:jc w:val="center"/>
      </w:pPr>
      <w:r>
        <w:rPr>
          <w:rFonts w:ascii="Times New Roman" w:hAnsi="Times New Roman"/>
          <w:b/>
          <w:sz w:val="19"/>
        </w:rPr>
        <w:t>TABLE IX: CLASSICAL MACHINE LEARNING BENCHMARK COMPARISON (RF VS. DT ACROSS TRAIN-TEST SPLITS)</w:t>
      </w:r>
    </w:p>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left"/>
            </w:pPr>
            <w:r>
              <w:rPr>
                <w:rFonts w:ascii="Times New Roman" w:hAnsi="Times New Roman"/>
                <w:b/>
                <w:sz w:val="17"/>
              </w:rPr>
              <w:t>Metric</w:t>
            </w:r>
          </w:p>
        </w:tc>
        <w:tc>
          <w:tcPr>
            <w:tcW w:type="dxa" w:w="1337"/>
          </w:tcPr>
          <w:p>
            <w:pPr>
              <w:jc w:val="center"/>
            </w:pPr>
            <w:r>
              <w:rPr>
                <w:rFonts w:ascii="Times New Roman" w:hAnsi="Times New Roman"/>
                <w:b/>
                <w:sz w:val="17"/>
              </w:rPr>
              <w:t>RF 60:40</w:t>
            </w:r>
          </w:p>
        </w:tc>
        <w:tc>
          <w:tcPr>
            <w:tcW w:type="dxa" w:w="1337"/>
          </w:tcPr>
          <w:p>
            <w:pPr>
              <w:jc w:val="center"/>
            </w:pPr>
            <w:r>
              <w:rPr>
                <w:rFonts w:ascii="Times New Roman" w:hAnsi="Times New Roman"/>
                <w:b/>
                <w:sz w:val="17"/>
              </w:rPr>
              <w:t>RF 70:30</w:t>
            </w:r>
          </w:p>
        </w:tc>
        <w:tc>
          <w:tcPr>
            <w:tcW w:type="dxa" w:w="1337"/>
          </w:tcPr>
          <w:p>
            <w:pPr>
              <w:jc w:val="center"/>
            </w:pPr>
            <w:r>
              <w:rPr>
                <w:rFonts w:ascii="Times New Roman" w:hAnsi="Times New Roman"/>
                <w:b/>
                <w:sz w:val="17"/>
              </w:rPr>
              <w:t>RF 80:20</w:t>
            </w:r>
          </w:p>
        </w:tc>
        <w:tc>
          <w:tcPr>
            <w:tcW w:type="dxa" w:w="1337"/>
          </w:tcPr>
          <w:p>
            <w:pPr>
              <w:jc w:val="center"/>
            </w:pPr>
            <w:r>
              <w:rPr>
                <w:rFonts w:ascii="Times New Roman" w:hAnsi="Times New Roman"/>
                <w:b/>
                <w:sz w:val="17"/>
              </w:rPr>
              <w:t>DT 60:40</w:t>
            </w:r>
          </w:p>
        </w:tc>
        <w:tc>
          <w:tcPr>
            <w:tcW w:type="dxa" w:w="1337"/>
          </w:tcPr>
          <w:p>
            <w:pPr>
              <w:jc w:val="center"/>
            </w:pPr>
            <w:r>
              <w:rPr>
                <w:rFonts w:ascii="Times New Roman" w:hAnsi="Times New Roman"/>
                <w:b/>
                <w:sz w:val="17"/>
              </w:rPr>
              <w:t>DT 70:30</w:t>
            </w:r>
          </w:p>
        </w:tc>
        <w:tc>
          <w:tcPr>
            <w:tcW w:type="dxa" w:w="1337"/>
          </w:tcPr>
          <w:p>
            <w:pPr>
              <w:jc w:val="center"/>
            </w:pPr>
            <w:r>
              <w:rPr>
                <w:rFonts w:ascii="Times New Roman" w:hAnsi="Times New Roman"/>
                <w:b/>
                <w:sz w:val="17"/>
              </w:rPr>
              <w:t>DT 80:20</w:t>
            </w:r>
          </w:p>
        </w:tc>
      </w:tr>
      <w:tr>
        <w:tc>
          <w:tcPr>
            <w:tcW w:type="dxa" w:w="1337"/>
          </w:tcPr>
          <w:p>
            <w:pPr>
              <w:jc w:val="left"/>
            </w:pPr>
            <w:r>
              <w:rPr>
                <w:rFonts w:ascii="Times New Roman" w:hAnsi="Times New Roman"/>
                <w:b/>
                <w:sz w:val="17"/>
              </w:rPr>
              <w:t>Accuracy</w:t>
            </w:r>
          </w:p>
        </w:tc>
        <w:tc>
          <w:tcPr>
            <w:tcW w:type="dxa" w:w="1337"/>
          </w:tcPr>
          <w:p>
            <w:pPr>
              <w:jc w:val="center"/>
            </w:pPr>
            <w:r>
              <w:rPr>
                <w:rFonts w:ascii="Times New Roman" w:hAnsi="Times New Roman"/>
                <w:sz w:val="17"/>
              </w:rPr>
              <w:t>0.874898</w:t>
            </w:r>
          </w:p>
        </w:tc>
        <w:tc>
          <w:tcPr>
            <w:tcW w:type="dxa" w:w="1337"/>
          </w:tcPr>
          <w:p>
            <w:pPr>
              <w:jc w:val="center"/>
            </w:pPr>
            <w:r>
              <w:rPr>
                <w:rFonts w:ascii="Times New Roman" w:hAnsi="Times New Roman"/>
                <w:sz w:val="17"/>
              </w:rPr>
              <w:t>0.875817</w:t>
            </w:r>
          </w:p>
        </w:tc>
        <w:tc>
          <w:tcPr>
            <w:tcW w:type="dxa" w:w="1337"/>
          </w:tcPr>
          <w:p>
            <w:pPr>
              <w:jc w:val="center"/>
            </w:pPr>
            <w:r>
              <w:rPr>
                <w:rFonts w:ascii="Times New Roman" w:hAnsi="Times New Roman"/>
                <w:sz w:val="17"/>
              </w:rPr>
              <w:t>0.878676</w:t>
            </w:r>
          </w:p>
        </w:tc>
        <w:tc>
          <w:tcPr>
            <w:tcW w:type="dxa" w:w="1337"/>
          </w:tcPr>
          <w:p>
            <w:pPr>
              <w:jc w:val="center"/>
            </w:pPr>
            <w:r>
              <w:rPr>
                <w:rFonts w:ascii="Times New Roman" w:hAnsi="Times New Roman"/>
                <w:sz w:val="17"/>
              </w:rPr>
              <w:t>0.934947</w:t>
            </w:r>
          </w:p>
        </w:tc>
        <w:tc>
          <w:tcPr>
            <w:tcW w:type="dxa" w:w="1337"/>
          </w:tcPr>
          <w:p>
            <w:pPr>
              <w:jc w:val="center"/>
            </w:pPr>
            <w:r>
              <w:rPr>
                <w:rFonts w:ascii="Times New Roman" w:hAnsi="Times New Roman"/>
                <w:sz w:val="17"/>
              </w:rPr>
              <w:t>0.935185</w:t>
            </w:r>
          </w:p>
        </w:tc>
        <w:tc>
          <w:tcPr>
            <w:tcW w:type="dxa" w:w="1337"/>
          </w:tcPr>
          <w:p>
            <w:pPr>
              <w:jc w:val="center"/>
            </w:pPr>
            <w:r>
              <w:rPr>
                <w:rFonts w:ascii="Times New Roman" w:hAnsi="Times New Roman"/>
                <w:sz w:val="17"/>
              </w:rPr>
              <w:t>0.936887</w:t>
            </w:r>
          </w:p>
        </w:tc>
      </w:tr>
      <w:tr>
        <w:tc>
          <w:tcPr>
            <w:tcW w:type="dxa" w:w="1337"/>
          </w:tcPr>
          <w:p>
            <w:pPr>
              <w:jc w:val="left"/>
            </w:pPr>
            <w:r>
              <w:rPr>
                <w:rFonts w:ascii="Times New Roman" w:hAnsi="Times New Roman"/>
                <w:b/>
                <w:sz w:val="17"/>
              </w:rPr>
              <w:t>Precision</w:t>
            </w:r>
          </w:p>
        </w:tc>
        <w:tc>
          <w:tcPr>
            <w:tcW w:type="dxa" w:w="1337"/>
          </w:tcPr>
          <w:p>
            <w:pPr>
              <w:jc w:val="center"/>
            </w:pPr>
            <w:r>
              <w:rPr>
                <w:rFonts w:ascii="Times New Roman" w:hAnsi="Times New Roman"/>
                <w:sz w:val="17"/>
              </w:rPr>
              <w:t>0.856389</w:t>
            </w:r>
          </w:p>
        </w:tc>
        <w:tc>
          <w:tcPr>
            <w:tcW w:type="dxa" w:w="1337"/>
          </w:tcPr>
          <w:p>
            <w:pPr>
              <w:jc w:val="center"/>
            </w:pPr>
            <w:r>
              <w:rPr>
                <w:rFonts w:ascii="Times New Roman" w:hAnsi="Times New Roman"/>
                <w:sz w:val="17"/>
              </w:rPr>
              <w:t>0.857299</w:t>
            </w:r>
          </w:p>
        </w:tc>
        <w:tc>
          <w:tcPr>
            <w:tcW w:type="dxa" w:w="1337"/>
          </w:tcPr>
          <w:p>
            <w:pPr>
              <w:jc w:val="center"/>
            </w:pPr>
            <w:r>
              <w:rPr>
                <w:rFonts w:ascii="Times New Roman" w:hAnsi="Times New Roman"/>
                <w:sz w:val="17"/>
              </w:rPr>
              <w:t>0.860137</w:t>
            </w:r>
          </w:p>
        </w:tc>
        <w:tc>
          <w:tcPr>
            <w:tcW w:type="dxa" w:w="1337"/>
          </w:tcPr>
          <w:p>
            <w:pPr>
              <w:jc w:val="center"/>
            </w:pPr>
            <w:r>
              <w:rPr>
                <w:rFonts w:ascii="Times New Roman" w:hAnsi="Times New Roman"/>
                <w:sz w:val="17"/>
              </w:rPr>
              <w:t>0.927326</w:t>
            </w:r>
          </w:p>
        </w:tc>
        <w:tc>
          <w:tcPr>
            <w:tcW w:type="dxa" w:w="1337"/>
          </w:tcPr>
          <w:p>
            <w:pPr>
              <w:jc w:val="center"/>
            </w:pPr>
            <w:r>
              <w:rPr>
                <w:rFonts w:ascii="Times New Roman" w:hAnsi="Times New Roman"/>
                <w:sz w:val="17"/>
              </w:rPr>
              <w:t>0.925498</w:t>
            </w:r>
          </w:p>
        </w:tc>
        <w:tc>
          <w:tcPr>
            <w:tcW w:type="dxa" w:w="1337"/>
          </w:tcPr>
          <w:p>
            <w:pPr>
              <w:jc w:val="center"/>
            </w:pPr>
            <w:r>
              <w:rPr>
                <w:rFonts w:ascii="Times New Roman" w:hAnsi="Times New Roman"/>
                <w:sz w:val="17"/>
              </w:rPr>
              <w:t>0.928059</w:t>
            </w:r>
          </w:p>
        </w:tc>
      </w:tr>
      <w:tr>
        <w:tc>
          <w:tcPr>
            <w:tcW w:type="dxa" w:w="1337"/>
          </w:tcPr>
          <w:p>
            <w:pPr>
              <w:jc w:val="left"/>
            </w:pPr>
            <w:r>
              <w:rPr>
                <w:rFonts w:ascii="Times New Roman" w:hAnsi="Times New Roman"/>
                <w:b/>
                <w:sz w:val="17"/>
              </w:rPr>
              <w:t>Recall</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0.990418</w:t>
            </w:r>
          </w:p>
        </w:tc>
        <w:tc>
          <w:tcPr>
            <w:tcW w:type="dxa" w:w="1337"/>
          </w:tcPr>
          <w:p>
            <w:pPr>
              <w:jc w:val="center"/>
            </w:pPr>
            <w:r>
              <w:rPr>
                <w:rFonts w:ascii="Times New Roman" w:hAnsi="Times New Roman"/>
                <w:sz w:val="17"/>
              </w:rPr>
              <w:t>0.993064</w:t>
            </w:r>
          </w:p>
        </w:tc>
        <w:tc>
          <w:tcPr>
            <w:tcW w:type="dxa" w:w="1337"/>
          </w:tcPr>
          <w:p>
            <w:pPr>
              <w:jc w:val="center"/>
            </w:pPr>
            <w:r>
              <w:rPr>
                <w:rFonts w:ascii="Times New Roman" w:hAnsi="Times New Roman"/>
                <w:sz w:val="17"/>
              </w:rPr>
              <w:t>0.992335</w:t>
            </w:r>
          </w:p>
        </w:tc>
      </w:tr>
      <w:tr>
        <w:tc>
          <w:tcPr>
            <w:tcW w:type="dxa" w:w="1337"/>
          </w:tcPr>
          <w:p>
            <w:pPr>
              <w:jc w:val="left"/>
            </w:pPr>
            <w:r>
              <w:rPr>
                <w:rFonts w:ascii="Times New Roman" w:hAnsi="Times New Roman"/>
                <w:b/>
                <w:sz w:val="17"/>
              </w:rPr>
              <w:t>F1-Score</w:t>
            </w:r>
          </w:p>
        </w:tc>
        <w:tc>
          <w:tcPr>
            <w:tcW w:type="dxa" w:w="1337"/>
          </w:tcPr>
          <w:p>
            <w:pPr>
              <w:jc w:val="center"/>
            </w:pPr>
            <w:r>
              <w:rPr>
                <w:rFonts w:ascii="Times New Roman" w:hAnsi="Times New Roman"/>
                <w:sz w:val="17"/>
              </w:rPr>
              <w:t>0.922640</w:t>
            </w:r>
          </w:p>
        </w:tc>
        <w:tc>
          <w:tcPr>
            <w:tcW w:type="dxa" w:w="1337"/>
          </w:tcPr>
          <w:p>
            <w:pPr>
              <w:jc w:val="center"/>
            </w:pPr>
            <w:r>
              <w:rPr>
                <w:rFonts w:ascii="Times New Roman" w:hAnsi="Times New Roman"/>
                <w:sz w:val="17"/>
              </w:rPr>
              <w:t>0.923168</w:t>
            </w:r>
          </w:p>
        </w:tc>
        <w:tc>
          <w:tcPr>
            <w:tcW w:type="dxa" w:w="1337"/>
          </w:tcPr>
          <w:p>
            <w:pPr>
              <w:jc w:val="center"/>
            </w:pPr>
            <w:r>
              <w:rPr>
                <w:rFonts w:ascii="Times New Roman" w:hAnsi="Times New Roman"/>
                <w:sz w:val="17"/>
              </w:rPr>
              <w:t>0.924810</w:t>
            </w:r>
          </w:p>
        </w:tc>
        <w:tc>
          <w:tcPr>
            <w:tcW w:type="dxa" w:w="1337"/>
          </w:tcPr>
          <w:p>
            <w:pPr>
              <w:jc w:val="center"/>
            </w:pPr>
            <w:r>
              <w:rPr>
                <w:rFonts w:ascii="Times New Roman" w:hAnsi="Times New Roman"/>
                <w:sz w:val="17"/>
              </w:rPr>
              <w:t>0.957834</w:t>
            </w:r>
          </w:p>
        </w:tc>
        <w:tc>
          <w:tcPr>
            <w:tcW w:type="dxa" w:w="1337"/>
          </w:tcPr>
          <w:p>
            <w:pPr>
              <w:jc w:val="center"/>
            </w:pPr>
            <w:r>
              <w:rPr>
                <w:rFonts w:ascii="Times New Roman" w:hAnsi="Times New Roman"/>
                <w:sz w:val="17"/>
              </w:rPr>
              <w:t>0.958091</w:t>
            </w:r>
          </w:p>
        </w:tc>
        <w:tc>
          <w:tcPr>
            <w:tcW w:type="dxa" w:w="1337"/>
          </w:tcPr>
          <w:p>
            <w:pPr>
              <w:jc w:val="center"/>
            </w:pPr>
            <w:r>
              <w:rPr>
                <w:rFonts w:ascii="Times New Roman" w:hAnsi="Times New Roman"/>
                <w:sz w:val="17"/>
              </w:rPr>
              <w:t>0.959122</w:t>
            </w:r>
          </w:p>
        </w:tc>
      </w:tr>
      <w:tr>
        <w:tc>
          <w:tcPr>
            <w:tcW w:type="dxa" w:w="1337"/>
          </w:tcPr>
          <w:p>
            <w:pPr>
              <w:jc w:val="left"/>
            </w:pPr>
            <w:r>
              <w:rPr>
                <w:rFonts w:ascii="Times New Roman" w:hAnsi="Times New Roman"/>
                <w:b/>
                <w:sz w:val="17"/>
              </w:rPr>
              <w:t>Specificity</w:t>
            </w:r>
          </w:p>
        </w:tc>
        <w:tc>
          <w:tcPr>
            <w:tcW w:type="dxa" w:w="1337"/>
          </w:tcPr>
          <w:p>
            <w:pPr>
              <w:jc w:val="center"/>
            </w:pPr>
            <w:r>
              <w:rPr>
                <w:rFonts w:ascii="Times New Roman" w:hAnsi="Times New Roman"/>
                <w:sz w:val="17"/>
              </w:rPr>
              <w:t>0.507439</w:t>
            </w:r>
          </w:p>
        </w:tc>
        <w:tc>
          <w:tcPr>
            <w:tcW w:type="dxa" w:w="1337"/>
          </w:tcPr>
          <w:p>
            <w:pPr>
              <w:jc w:val="center"/>
            </w:pPr>
            <w:r>
              <w:rPr>
                <w:rFonts w:ascii="Times New Roman" w:hAnsi="Times New Roman"/>
                <w:sz w:val="17"/>
              </w:rPr>
              <w:t>0.510992</w:t>
            </w:r>
          </w:p>
        </w:tc>
        <w:tc>
          <w:tcPr>
            <w:tcW w:type="dxa" w:w="1337"/>
          </w:tcPr>
          <w:p>
            <w:pPr>
              <w:jc w:val="center"/>
            </w:pPr>
            <w:r>
              <w:rPr>
                <w:rFonts w:ascii="Times New Roman" w:hAnsi="Times New Roman"/>
                <w:sz w:val="17"/>
              </w:rPr>
              <w:t>0.522124</w:t>
            </w:r>
          </w:p>
        </w:tc>
        <w:tc>
          <w:tcPr>
            <w:tcW w:type="dxa" w:w="1337"/>
          </w:tcPr>
          <w:p>
            <w:pPr>
              <w:jc w:val="center"/>
            </w:pPr>
            <w:r>
              <w:rPr>
                <w:rFonts w:ascii="Times New Roman" w:hAnsi="Times New Roman"/>
                <w:sz w:val="17"/>
              </w:rPr>
              <w:t>0.772014</w:t>
            </w:r>
          </w:p>
        </w:tc>
        <w:tc>
          <w:tcPr>
            <w:tcW w:type="dxa" w:w="1337"/>
          </w:tcPr>
          <w:p>
            <w:pPr>
              <w:jc w:val="center"/>
            </w:pPr>
            <w:r>
              <w:rPr>
                <w:rFonts w:ascii="Times New Roman" w:hAnsi="Times New Roman"/>
                <w:sz w:val="17"/>
              </w:rPr>
              <w:t>0.765147</w:t>
            </w:r>
          </w:p>
        </w:tc>
        <w:tc>
          <w:tcPr>
            <w:tcW w:type="dxa" w:w="1337"/>
          </w:tcPr>
          <w:p>
            <w:pPr>
              <w:jc w:val="center"/>
            </w:pPr>
            <w:r>
              <w:rPr>
                <w:rFonts w:ascii="Times New Roman" w:hAnsi="Times New Roman"/>
                <w:sz w:val="17"/>
              </w:rPr>
              <w:t>0.773934</w:t>
            </w:r>
          </w:p>
        </w:tc>
      </w:tr>
      <w:tr>
        <w:tc>
          <w:tcPr>
            <w:tcW w:type="dxa" w:w="1337"/>
          </w:tcPr>
          <w:p>
            <w:pPr>
              <w:jc w:val="left"/>
            </w:pPr>
            <w:r>
              <w:rPr>
                <w:rFonts w:ascii="Times New Roman" w:hAnsi="Times New Roman"/>
                <w:b/>
                <w:sz w:val="17"/>
              </w:rPr>
              <w:t>NPV</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0.964824</w:t>
            </w:r>
          </w:p>
        </w:tc>
        <w:tc>
          <w:tcPr>
            <w:tcW w:type="dxa" w:w="1337"/>
          </w:tcPr>
          <w:p>
            <w:pPr>
              <w:jc w:val="center"/>
            </w:pPr>
            <w:r>
              <w:rPr>
                <w:rFonts w:ascii="Times New Roman" w:hAnsi="Times New Roman"/>
                <w:sz w:val="17"/>
              </w:rPr>
              <w:t>0.974061</w:t>
            </w:r>
          </w:p>
        </w:tc>
        <w:tc>
          <w:tcPr>
            <w:tcW w:type="dxa" w:w="1337"/>
          </w:tcPr>
          <w:p>
            <w:pPr>
              <w:jc w:val="center"/>
            </w:pPr>
            <w:r>
              <w:rPr>
                <w:rFonts w:ascii="Times New Roman" w:hAnsi="Times New Roman"/>
                <w:sz w:val="17"/>
              </w:rPr>
              <w:t>0.971717</w:t>
            </w:r>
          </w:p>
        </w:tc>
      </w:tr>
      <w:tr>
        <w:tc>
          <w:tcPr>
            <w:tcW w:type="dxa" w:w="1337"/>
          </w:tcPr>
          <w:p>
            <w:pPr>
              <w:jc w:val="left"/>
            </w:pPr>
            <w:r>
              <w:rPr>
                <w:rFonts w:ascii="Times New Roman" w:hAnsi="Times New Roman"/>
                <w:b/>
                <w:sz w:val="17"/>
              </w:rPr>
              <w:t>MCC</w:t>
            </w:r>
          </w:p>
        </w:tc>
        <w:tc>
          <w:tcPr>
            <w:tcW w:type="dxa" w:w="1337"/>
          </w:tcPr>
          <w:p>
            <w:pPr>
              <w:jc w:val="center"/>
            </w:pPr>
            <w:r>
              <w:rPr>
                <w:rFonts w:ascii="Times New Roman" w:hAnsi="Times New Roman"/>
                <w:sz w:val="17"/>
              </w:rPr>
              <w:t>0.659215</w:t>
            </w:r>
          </w:p>
        </w:tc>
        <w:tc>
          <w:tcPr>
            <w:tcW w:type="dxa" w:w="1337"/>
          </w:tcPr>
          <w:p>
            <w:pPr>
              <w:jc w:val="center"/>
            </w:pPr>
            <w:r>
              <w:rPr>
                <w:rFonts w:ascii="Times New Roman" w:hAnsi="Times New Roman"/>
                <w:sz w:val="17"/>
              </w:rPr>
              <w:t>0.661871</w:t>
            </w:r>
          </w:p>
        </w:tc>
        <w:tc>
          <w:tcPr>
            <w:tcW w:type="dxa" w:w="1337"/>
          </w:tcPr>
          <w:p>
            <w:pPr>
              <w:jc w:val="center"/>
            </w:pPr>
            <w:r>
              <w:rPr>
                <w:rFonts w:ascii="Times New Roman" w:hAnsi="Times New Roman"/>
                <w:sz w:val="17"/>
              </w:rPr>
              <w:t>0.670148</w:t>
            </w:r>
          </w:p>
        </w:tc>
        <w:tc>
          <w:tcPr>
            <w:tcW w:type="dxa" w:w="1337"/>
          </w:tcPr>
          <w:p>
            <w:pPr>
              <w:jc w:val="center"/>
            </w:pPr>
            <w:r>
              <w:rPr>
                <w:rFonts w:ascii="Times New Roman" w:hAnsi="Times New Roman"/>
                <w:sz w:val="17"/>
              </w:rPr>
              <w:t>0.824745</w:t>
            </w:r>
          </w:p>
        </w:tc>
        <w:tc>
          <w:tcPr>
            <w:tcW w:type="dxa" w:w="1337"/>
          </w:tcPr>
          <w:p>
            <w:pPr>
              <w:jc w:val="center"/>
            </w:pPr>
            <w:r>
              <w:rPr>
                <w:rFonts w:ascii="Times New Roman" w:hAnsi="Times New Roman"/>
                <w:sz w:val="17"/>
              </w:rPr>
              <w:t>0.825867</w:t>
            </w:r>
          </w:p>
        </w:tc>
        <w:tc>
          <w:tcPr>
            <w:tcW w:type="dxa" w:w="1337"/>
          </w:tcPr>
          <w:p>
            <w:pPr>
              <w:jc w:val="center"/>
            </w:pPr>
            <w:r>
              <w:rPr>
                <w:rFonts w:ascii="Times New Roman" w:hAnsi="Times New Roman"/>
                <w:sz w:val="17"/>
              </w:rPr>
              <w:t>0.830344</w:t>
            </w:r>
          </w:p>
        </w:tc>
      </w:tr>
      <w:tr>
        <w:tc>
          <w:tcPr>
            <w:tcW w:type="dxa" w:w="1337"/>
          </w:tcPr>
          <w:p>
            <w:pPr>
              <w:jc w:val="left"/>
            </w:pPr>
            <w:r>
              <w:rPr>
                <w:rFonts w:ascii="Times New Roman" w:hAnsi="Times New Roman"/>
                <w:b/>
                <w:sz w:val="17"/>
              </w:rPr>
              <w:t>FPR</w:t>
            </w:r>
          </w:p>
        </w:tc>
        <w:tc>
          <w:tcPr>
            <w:tcW w:type="dxa" w:w="1337"/>
          </w:tcPr>
          <w:p>
            <w:pPr>
              <w:jc w:val="center"/>
            </w:pPr>
            <w:r>
              <w:rPr>
                <w:rFonts w:ascii="Times New Roman" w:hAnsi="Times New Roman"/>
                <w:sz w:val="17"/>
              </w:rPr>
              <w:t>0.492561</w:t>
            </w:r>
          </w:p>
        </w:tc>
        <w:tc>
          <w:tcPr>
            <w:tcW w:type="dxa" w:w="1337"/>
          </w:tcPr>
          <w:p>
            <w:pPr>
              <w:jc w:val="center"/>
            </w:pPr>
            <w:r>
              <w:rPr>
                <w:rFonts w:ascii="Times New Roman" w:hAnsi="Times New Roman"/>
                <w:sz w:val="17"/>
              </w:rPr>
              <w:t>0.489008</w:t>
            </w:r>
          </w:p>
        </w:tc>
        <w:tc>
          <w:tcPr>
            <w:tcW w:type="dxa" w:w="1337"/>
          </w:tcPr>
          <w:p>
            <w:pPr>
              <w:jc w:val="center"/>
            </w:pPr>
            <w:r>
              <w:rPr>
                <w:rFonts w:ascii="Times New Roman" w:hAnsi="Times New Roman"/>
                <w:sz w:val="17"/>
              </w:rPr>
              <w:t>0.477876</w:t>
            </w:r>
          </w:p>
        </w:tc>
        <w:tc>
          <w:tcPr>
            <w:tcW w:type="dxa" w:w="1337"/>
          </w:tcPr>
          <w:p>
            <w:pPr>
              <w:jc w:val="center"/>
            </w:pPr>
            <w:r>
              <w:rPr>
                <w:rFonts w:ascii="Times New Roman" w:hAnsi="Times New Roman"/>
                <w:sz w:val="17"/>
              </w:rPr>
              <w:t>0.227986</w:t>
            </w:r>
          </w:p>
        </w:tc>
        <w:tc>
          <w:tcPr>
            <w:tcW w:type="dxa" w:w="1337"/>
          </w:tcPr>
          <w:p>
            <w:pPr>
              <w:jc w:val="center"/>
            </w:pPr>
            <w:r>
              <w:rPr>
                <w:rFonts w:ascii="Times New Roman" w:hAnsi="Times New Roman"/>
                <w:sz w:val="17"/>
              </w:rPr>
              <w:t>0.234853</w:t>
            </w:r>
          </w:p>
        </w:tc>
        <w:tc>
          <w:tcPr>
            <w:tcW w:type="dxa" w:w="1337"/>
          </w:tcPr>
          <w:p>
            <w:pPr>
              <w:jc w:val="center"/>
            </w:pPr>
            <w:r>
              <w:rPr>
                <w:rFonts w:ascii="Times New Roman" w:hAnsi="Times New Roman"/>
                <w:sz w:val="17"/>
              </w:rPr>
              <w:t>0.226066</w:t>
            </w:r>
          </w:p>
        </w:tc>
      </w:tr>
      <w:tr>
        <w:tc>
          <w:tcPr>
            <w:tcW w:type="dxa" w:w="1337"/>
          </w:tcPr>
          <w:p>
            <w:pPr>
              <w:jc w:val="left"/>
            </w:pPr>
            <w:r>
              <w:rPr>
                <w:rFonts w:ascii="Times New Roman" w:hAnsi="Times New Roman"/>
                <w:b/>
                <w:sz w:val="17"/>
              </w:rPr>
              <w:t>FNR</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0.009582</w:t>
            </w:r>
          </w:p>
        </w:tc>
        <w:tc>
          <w:tcPr>
            <w:tcW w:type="dxa" w:w="1337"/>
          </w:tcPr>
          <w:p>
            <w:pPr>
              <w:jc w:val="center"/>
            </w:pPr>
            <w:r>
              <w:rPr>
                <w:rFonts w:ascii="Times New Roman" w:hAnsi="Times New Roman"/>
                <w:sz w:val="17"/>
              </w:rPr>
              <w:t>0.006936</w:t>
            </w:r>
          </w:p>
        </w:tc>
        <w:tc>
          <w:tcPr>
            <w:tcW w:type="dxa" w:w="1337"/>
          </w:tcPr>
          <w:p>
            <w:pPr>
              <w:jc w:val="center"/>
            </w:pPr>
            <w:r>
              <w:rPr>
                <w:rFonts w:ascii="Times New Roman" w:hAnsi="Times New Roman"/>
                <w:sz w:val="17"/>
              </w:rPr>
              <w:t>0.007665</w:t>
            </w:r>
          </w:p>
        </w:tc>
      </w:tr>
      <w:tr>
        <w:tc>
          <w:tcPr>
            <w:tcW w:type="dxa" w:w="1337"/>
          </w:tcPr>
          <w:p>
            <w:pPr>
              <w:jc w:val="left"/>
            </w:pPr>
            <w:r>
              <w:rPr>
                <w:rFonts w:ascii="Times New Roman" w:hAnsi="Times New Roman"/>
                <w:b/>
                <w:sz w:val="17"/>
              </w:rPr>
              <w:t>FDR</w:t>
            </w:r>
          </w:p>
        </w:tc>
        <w:tc>
          <w:tcPr>
            <w:tcW w:type="dxa" w:w="1337"/>
          </w:tcPr>
          <w:p>
            <w:pPr>
              <w:jc w:val="center"/>
            </w:pPr>
            <w:r>
              <w:rPr>
                <w:rFonts w:ascii="Times New Roman" w:hAnsi="Times New Roman"/>
                <w:sz w:val="17"/>
              </w:rPr>
              <w:t>0.143611</w:t>
            </w:r>
          </w:p>
        </w:tc>
        <w:tc>
          <w:tcPr>
            <w:tcW w:type="dxa" w:w="1337"/>
          </w:tcPr>
          <w:p>
            <w:pPr>
              <w:jc w:val="center"/>
            </w:pPr>
            <w:r>
              <w:rPr>
                <w:rFonts w:ascii="Times New Roman" w:hAnsi="Times New Roman"/>
                <w:sz w:val="17"/>
              </w:rPr>
              <w:t>0.142701</w:t>
            </w:r>
          </w:p>
        </w:tc>
        <w:tc>
          <w:tcPr>
            <w:tcW w:type="dxa" w:w="1337"/>
          </w:tcPr>
          <w:p>
            <w:pPr>
              <w:jc w:val="center"/>
            </w:pPr>
            <w:r>
              <w:rPr>
                <w:rFonts w:ascii="Times New Roman" w:hAnsi="Times New Roman"/>
                <w:sz w:val="17"/>
              </w:rPr>
              <w:t>0.139863</w:t>
            </w:r>
          </w:p>
        </w:tc>
        <w:tc>
          <w:tcPr>
            <w:tcW w:type="dxa" w:w="1337"/>
          </w:tcPr>
          <w:p>
            <w:pPr>
              <w:jc w:val="center"/>
            </w:pPr>
            <w:r>
              <w:rPr>
                <w:rFonts w:ascii="Times New Roman" w:hAnsi="Times New Roman"/>
                <w:sz w:val="17"/>
              </w:rPr>
              <w:t>0.072674</w:t>
            </w:r>
          </w:p>
        </w:tc>
        <w:tc>
          <w:tcPr>
            <w:tcW w:type="dxa" w:w="1337"/>
          </w:tcPr>
          <w:p>
            <w:pPr>
              <w:jc w:val="center"/>
            </w:pPr>
            <w:r>
              <w:rPr>
                <w:rFonts w:ascii="Times New Roman" w:hAnsi="Times New Roman"/>
                <w:sz w:val="17"/>
              </w:rPr>
              <w:t>0.074502</w:t>
            </w:r>
          </w:p>
        </w:tc>
        <w:tc>
          <w:tcPr>
            <w:tcW w:type="dxa" w:w="1337"/>
          </w:tcPr>
          <w:p>
            <w:pPr>
              <w:jc w:val="center"/>
            </w:pPr>
            <w:r>
              <w:rPr>
                <w:rFonts w:ascii="Times New Roman" w:hAnsi="Times New Roman"/>
                <w:sz w:val="17"/>
              </w:rPr>
              <w:t>0.071941</w:t>
            </w:r>
          </w:p>
        </w:tc>
      </w:tr>
      <w:tr>
        <w:tc>
          <w:tcPr>
            <w:tcW w:type="dxa" w:w="1337"/>
          </w:tcPr>
          <w:p>
            <w:pPr>
              <w:jc w:val="left"/>
            </w:pPr>
            <w:r>
              <w:rPr>
                <w:rFonts w:ascii="Times New Roman" w:hAnsi="Times New Roman"/>
                <w:b/>
                <w:sz w:val="17"/>
              </w:rPr>
              <w:t>FOR</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r>
      <w:tr>
        <w:tc>
          <w:tcPr>
            <w:tcW w:type="dxa" w:w="1337"/>
          </w:tcPr>
          <w:p>
            <w:pPr>
              <w:jc w:val="left"/>
            </w:pPr>
            <w:r>
              <w:rPr>
                <w:rFonts w:ascii="Times New Roman" w:hAnsi="Times New Roman"/>
                <w:b/>
                <w:sz w:val="17"/>
              </w:rPr>
              <w:t>Prediction Time (s)</w:t>
            </w:r>
          </w:p>
        </w:tc>
        <w:tc>
          <w:tcPr>
            <w:tcW w:type="dxa" w:w="1337"/>
          </w:tcPr>
          <w:p>
            <w:pPr>
              <w:jc w:val="center"/>
            </w:pPr>
            <w:r>
              <w:rPr>
                <w:rFonts w:ascii="Times New Roman" w:hAnsi="Times New Roman"/>
                <w:sz w:val="17"/>
              </w:rPr>
              <w:t>0.167798</w:t>
            </w:r>
          </w:p>
        </w:tc>
        <w:tc>
          <w:tcPr>
            <w:tcW w:type="dxa" w:w="1337"/>
          </w:tcPr>
          <w:p>
            <w:pPr>
              <w:jc w:val="center"/>
            </w:pPr>
            <w:r>
              <w:rPr>
                <w:rFonts w:ascii="Times New Roman" w:hAnsi="Times New Roman"/>
                <w:sz w:val="17"/>
              </w:rPr>
              <w:t>0.146718</w:t>
            </w:r>
          </w:p>
        </w:tc>
        <w:tc>
          <w:tcPr>
            <w:tcW w:type="dxa" w:w="1337"/>
          </w:tcPr>
          <w:p>
            <w:pPr>
              <w:jc w:val="center"/>
            </w:pPr>
            <w:r>
              <w:rPr>
                <w:rFonts w:ascii="Times New Roman" w:hAnsi="Times New Roman"/>
                <w:sz w:val="17"/>
              </w:rPr>
              <w:t>0.120588</w:t>
            </w:r>
          </w:p>
        </w:tc>
        <w:tc>
          <w:tcPr>
            <w:tcW w:type="dxa" w:w="1337"/>
          </w:tcPr>
          <w:p>
            <w:pPr>
              <w:jc w:val="center"/>
            </w:pPr>
            <w:r>
              <w:rPr>
                <w:rFonts w:ascii="Times New Roman" w:hAnsi="Times New Roman"/>
                <w:sz w:val="17"/>
              </w:rPr>
              <w:t>0.025032</w:t>
            </w:r>
          </w:p>
        </w:tc>
        <w:tc>
          <w:tcPr>
            <w:tcW w:type="dxa" w:w="1337"/>
          </w:tcPr>
          <w:p>
            <w:pPr>
              <w:jc w:val="center"/>
            </w:pPr>
            <w:r>
              <w:rPr>
                <w:rFonts w:ascii="Times New Roman" w:hAnsi="Times New Roman"/>
                <w:sz w:val="17"/>
              </w:rPr>
              <w:t>0.018994</w:t>
            </w:r>
          </w:p>
        </w:tc>
        <w:tc>
          <w:tcPr>
            <w:tcW w:type="dxa" w:w="1337"/>
          </w:tcPr>
          <w:p>
            <w:pPr>
              <w:jc w:val="center"/>
            </w:pPr>
            <w:r>
              <w:rPr>
                <w:rFonts w:ascii="Times New Roman" w:hAnsi="Times New Roman"/>
                <w:sz w:val="17"/>
              </w:rPr>
              <w:t>0.016724</w:t>
            </w:r>
          </w:p>
        </w:tc>
      </w:tr>
    </w:tbl>
    <w:p>
      <w:pPr>
        <w:spacing w:before="120" w:after="80"/>
        <w:jc w:val="both"/>
      </w:pPr>
      <w:r>
        <w:t>As demonstrated in Table IX, Decision Tree classifiers consistently outperform Random Forest across all evaluation partitions. The DT 80:20 model achieves top performance with 93.69% classification accuracy, 95.91% F1-score, 77.39% specificity, and an MCC of 0.8303, completing 4,896 test inferences in only 16.72 ms (3.41 µs/specimen). By contrast, RF 80:20 achieves 87.87% accuracy and 92.48% F1-score with 120.59 ms prediction latency.</w:t>
      </w:r>
    </w:p>
    <w:p>
      <w:pPr>
        <w:spacing w:after="120"/>
        <w:jc w:val="both"/>
      </w:pPr>
      <w:r>
        <w:t>The superior accuracy of single Decision Trees over Random Forests in this domain stems from the discrete, axis-aligned partition structure of the feature space. Critical optical degradations—specifically severe 90° rotation (quality_profile = rotated_90) or unextracted null values (is_missing = 1)—exhibit deterministic step-function relationships with field extraction failures. A single deep Decision Tree directly isolates these sharp decision boundaries without hyper-plane smoothing. Conversely, Random Forest bagging averages probability estimates across 100 decorrelated trees, smoothing out crisp binary splits and slightly inflating false positive rates on non-degraded specimens (FPR = 0.4779 for RF 80:20 vs FPR = 0.2261 for DT 80:20). Figures 10 and 11 display the composite confusion matrices for Decision Tree and Random Forest classifiers across all three train-test splits.</w:t>
      </w:r>
    </w:p>
    <w:p>
      <w:pPr>
        <w:spacing w:before="160" w:after="40"/>
        <w:jc w:val="center"/>
      </w:pPr>
      <w:r>
        <w:drawing>
          <ns4:inline>
            <ns4:extent cx="5669280" cy="1514005"/>
            <ns4:docPr id="8" name="Picture 8"/>
            <ns4:cNvGraphicFramePr>
              <ns5:graphicFrameLocks noChangeAspect="1"/>
            </ns4:cNvGraphicFramePr>
            <ns5:graphic>
              <ns5:graphicData uri="http://schemas.openxmlformats.org/drawingml/2006/picture">
                <ns6:pic>
                  <ns6:nvPicPr>
                    <ns6:cNvPr id="0" name="dt_composite.png"/>
                    <ns6:cNvPicPr/>
                  </ns6:nvPicPr>
                  <ns6:blipFill>
                    <ns5:blip r:embed="rId17"/>
                    <ns5:stretch>
                      <ns5:fillRect/>
                    </ns5:stretch>
                  </ns6:blipFill>
                  <ns6:spPr>
                    <ns5:xfrm>
                      <ns5:off x="0" y="0"/>
                      <ns5:ext cx="5669280" cy="1514005"/>
                    </ns5:xfrm>
                    <ns5:prstGeom prst="rect"/>
                  </ns6:spPr>
                </ns6:pic>
              </ns5:graphicData>
            </ns5:graphic>
          </ns4:inline>
        </w:drawing>
      </w:r>
    </w:p>
    <w:p>
      <w:pPr>
        <w:spacing w:after="160"/>
        <w:jc w:val="center"/>
      </w:pPr>
      <w:r>
        <w:rPr>
          <w:rFonts w:ascii="Times New Roman" w:hAnsi="Times New Roman"/>
          <w:i/>
          <w:sz w:val="18"/>
        </w:rPr>
        <w:t>Fig. 10. Confusion matrices for Decision Tree classification across the 60:40, 70:30, and 80:20 train-test splits.</w:t>
      </w:r>
    </w:p>
    <w:p>
      <w:pPr>
        <w:spacing w:before="80" w:after="40"/>
        <w:jc w:val="center"/>
      </w:pPr>
      <w:r>
        <w:drawing>
          <ns4:inline>
            <ns4:extent cx="5669280" cy="1514005"/>
            <ns4:docPr id="9" name="Picture 9"/>
            <ns4:cNvGraphicFramePr>
              <ns5:graphicFrameLocks noChangeAspect="1"/>
            </ns4:cNvGraphicFramePr>
            <ns5:graphic>
              <ns5:graphicData uri="http://schemas.openxmlformats.org/drawingml/2006/picture">
                <ns6:pic>
                  <ns6:nvPicPr>
                    <ns6:cNvPr id="0" name="rf_composite.png"/>
                    <ns6:cNvPicPr/>
                  </ns6:nvPicPr>
                  <ns6:blipFill>
                    <ns5:blip r:embed="rId18"/>
                    <ns5:stretch>
                      <ns5:fillRect/>
                    </ns5:stretch>
                  </ns6:blipFill>
                  <ns6:spPr>
                    <ns5:xfrm>
                      <ns5:off x="0" y="0"/>
                      <ns5:ext cx="5669280" cy="1514005"/>
                    </ns5:xfrm>
                    <ns5:prstGeom prst="rect"/>
                  </ns6:spPr>
                </ns6:pic>
              </ns5:graphicData>
            </ns5:graphic>
          </ns4:inline>
        </w:drawing>
      </w:r>
    </w:p>
    <w:p>
      <w:pPr>
        <w:spacing w:after="240"/>
        <w:jc w:val="center"/>
      </w:pPr>
      <w:r>
        <w:rPr>
          <w:rFonts w:ascii="Times New Roman" w:hAnsi="Times New Roman"/>
          <w:i/>
          <w:sz w:val="18"/>
        </w:rPr>
        <w:t>Fig. 11. Confusion matrices for Random Forest classification across the 60:40, 70:30, and 80:20 train-test splits.</w:t>
      </w:r>
    </w:p>
    <w:p w14:paraId="5D595FBB">
      <w:pPr>
        <w:keepNext/>
        <w:spacing w:before="280" w:after="120"/>
        <w:jc w:val="both"/>
        <w:outlineLvl w:val="0"/>
      </w:pPr>
      <w:r>
        <w:rPr>
          <w:rFonts w:ascii="Times New Roman" w:hAnsi="Times New Roman"/>
          <w:b/>
          <w:color w:val="003366"/>
          <w:sz w:val="26"/>
        </w:rPr>
        <w:t>6. Discussion &amp; Threats to Validity</w:t>
      </w:r>
    </w:p>
    <w:p w14:paraId="2E8AFACA">
      <w:pPr>
        <w:keepNext/>
        <w:spacing w:before="200" w:after="80"/>
        <w:jc w:val="both"/>
        <w:outlineLvl w:val="1"/>
      </w:pPr>
      <w:r>
        <w:rPr>
          <w:rFonts w:ascii="Times New Roman" w:hAnsi="Times New Roman"/>
          <w:b/>
          <w:color w:val="333333"/>
          <w:sz w:val="23"/>
        </w:rPr>
        <w:t>6.1 Scientific Contributions and Methodological Novelty</w:t>
      </w:r>
    </w:p>
    <w:p w14:paraId="29F5E65F">
      <w:pPr>
        <w:spacing w:before="40" w:after="80" w:line="276" w:lineRule="auto"/>
        <w:jc w:val="both"/>
      </w:pPr>
      <w:r>
        <w:rPr>
          <w:rFonts w:ascii="Times New Roman" w:hAnsi="Times New Roman"/>
          <w:sz w:val="20"/>
        </w:rPr>
        <w:t>To contextualize the scientific novelty of this work, we analyze each of the primary methodological contributions relative to existing document intelligence literature:</w:t>
      </w:r>
    </w:p>
    <w:p w14:paraId="5C5C9D66">
      <w:pPr>
        <w:spacing w:before="20" w:after="40"/>
        <w:ind w:left="360"/>
        <w:jc w:val="both"/>
        <w:outlineLvl w:val="0"/>
      </w:pPr>
      <w:r>
        <w:rPr>
          <w:rFonts w:ascii="Times New Roman" w:hAnsi="Times New Roman"/>
          <w:b/>
          <w:sz w:val="20"/>
        </w:rPr>
        <w:t>1. Synthetic Academic Credential Benchmark Methodology</w:t>
      </w:r>
      <w:r>
        <w:rPr>
          <w:rFonts w:ascii="Times New Roman" w:hAnsi="Times New Roman"/>
          <w:sz w:val="20"/>
        </w:rPr>
        <w: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w:t>
      </w:r>
    </w:p>
    <w:p w14:paraId="70777B99">
      <w:pPr>
        <w:spacing w:before="20" w:after="40"/>
        <w:ind w:left="360"/>
        <w:jc w:val="both"/>
        <w:outlineLvl w:val="0"/>
      </w:pPr>
      <w:r>
        <w:rPr>
          <w:rFonts w:ascii="Times New Roman" w:hAnsi="Times New Roman"/>
          <w:b/>
          <w:sz w:val="20"/>
        </w:rPr>
        <w:t>2. 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w:t>
      </w:r>
    </w:p>
    <w:p w14:paraId="6A3573E7">
      <w:pPr>
        <w:spacing w:before="20" w:after="40"/>
        <w:ind w:left="360"/>
        <w:jc w:val="both"/>
        <w:outlineLvl w:val="0"/>
      </w:pPr>
      <w:r>
        <w:rPr>
          <w:rFonts w:ascii="Times New Roman" w:hAnsi="Times New Roman"/>
          <w:b/>
          <w:sz w:val="20"/>
        </w:rPr>
        <w:t>3. 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 [28], [37].</w:t>
      </w:r>
    </w:p>
    <w:p w14:paraId="766CEE41">
      <w:pPr>
        <w:spacing w:before="20" w:after="40"/>
        <w:ind w:left="360"/>
        <w:jc w:val="both"/>
        <w:outlineLvl w:val="0"/>
      </w:pPr>
      <w:r>
        <w:rPr>
          <w:rFonts w:ascii="Times New Roman" w:hAnsi="Times New Roman"/>
          <w:b/>
          <w:sz w:val="20"/>
        </w:rPr>
        <w:t>4. Controlled Quality-Profile Degradation Matrix</w:t>
      </w:r>
      <w:r>
        <w:rPr>
          <w:rFonts w:ascii="Times New Roman" w:hAnsi="Times New Roman"/>
          <w:sz w:val="20"/>
        </w:rPr>
        <w:t>: Evaluates model performance decay across four standardized physical optical capture profiles (clean, scanner_copy, mobile_camera, rotated_90) [27], [30], [33].</w:t>
      </w:r>
    </w:p>
    <w:p w14:paraId="09C6C8EF">
      <w:pPr>
        <w:spacing w:before="20" w:after="40"/>
        <w:ind w:left="360"/>
        <w:jc w:val="both"/>
        <w:outlineLvl w:val="0"/>
      </w:pPr>
      <w:r>
        <w:rPr>
          <w:rFonts w:ascii="Times New Roman" w:hAnsi="Times New Roman"/>
          <w:b/>
          <w:sz w:val="20"/>
        </w:rPr>
        <w:t>5. 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 [31].</w:t>
      </w:r>
    </w:p>
    <w:p w14:paraId="613A7E9C">
      <w:pPr>
        <w:keepNext/>
        <w:spacing w:before="200" w:after="80"/>
        <w:jc w:val="both"/>
        <w:outlineLvl w:val="1"/>
      </w:pPr>
      <w:r>
        <w:rPr>
          <w:rFonts w:ascii="Times New Roman" w:hAnsi="Times New Roman"/>
          <w:b/>
          <w:color w:val="333333"/>
          <w:sz w:val="23"/>
        </w:rPr>
        <w:t>6.2 Discussion of Empirical Findings</w:t>
      </w:r>
    </w:p>
    <w:p w14:paraId="24BFAAB6">
      <w:pPr>
        <w:spacing w:before="20" w:after="40"/>
        <w:ind w:left="360"/>
        <w:jc w:val="both"/>
        <w:outlineLvl w:val="0"/>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 [25], [36].</w:t>
      </w:r>
    </w:p>
    <w:p w14:paraId="71BB8465">
      <w:pPr>
        <w:spacing w:before="20" w:after="40"/>
        <w:ind w:left="360"/>
        <w:jc w:val="both"/>
        <w:outlineLvl w:val="0"/>
      </w:pPr>
      <w:r>
        <w:t>2. Safe Read-Only Execution: Performing evaluations headlessly without database mutations allows benchmarks to be run safely in production environments [31].</w:t>
        <w:br/>
        <w:t>3. Field Extraction Limitations: The zero-shot LLM baseline achieved only 75.23% mean F1 for field extraction despite 100.00% category classification accuracy. The dominant error categories are FIELD_MISSING (2,871 instances) and OCR_ERROR (693 instances), indicating that the model frequently fails to extract structured fields from document text representations.</w:t>
      </w:r>
    </w:p>
    <w:p w14:paraId="0316908B">
      <w:pPr>
        <w:keepNext/>
        <w:spacing w:before="200" w:after="80"/>
        <w:jc w:val="both"/>
        <w:outlineLvl w:val="1"/>
      </w:pPr>
      <w:r>
        <w:rPr>
          <w:rFonts w:ascii="Times New Roman" w:hAnsi="Times New Roman"/>
          <w:b/>
          <w:color w:val="333333"/>
          <w:sz w:val="23"/>
        </w:rPr>
        <w:t>6.3 Threats to Validity</w:t>
      </w:r>
    </w:p>
    <w:p w14:paraId="1108C749">
      <w:pPr>
        <w:pStyle w:val="23"/>
        <w:spacing w:before="20" w:after="40"/>
        <w:jc w:val="both"/>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 [31].</w:t>
      </w:r>
    </w:p>
    <w:p w14:paraId="224C8FE8">
      <w:pPr>
        <w:pStyle w:val="23"/>
        <w:spacing w:before="20" w:after="40"/>
        <w:jc w:val="both"/>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 [26].</w:t>
      </w:r>
    </w:p>
    <w:p w14:paraId="75DE7EA9">
      <w:pPr>
        <w:pStyle w:val="23"/>
        <w:spacing w:before="20" w:after="40"/>
        <w:jc w:val="both"/>
      </w:pPr>
      <w:r>
        <w:rPr>
          <w:rFonts w:ascii="Times New Roman" w:hAnsi="Times New Roman"/>
          <w:b/>
          <w:sz w:val="20"/>
        </w:rPr>
        <w:t>Construct Validity</w:t>
      </w:r>
      <w:r>
        <w:rPr>
          <w:rFonts w:ascii="Times New Roman" w:hAnsi="Times New Roman"/>
          <w:sz w:val="20"/>
        </w:rPr>
        <w:t>: Metric definitions follow standard ICDAR and IEEE document analysis definitions [1]–[5].</w:t>
      </w:r>
    </w:p>
    <w:p w14:paraId="6F3213A7">
      <w:pPr>
        <w:keepNext/>
        <w:spacing w:before="280" w:after="120"/>
        <w:jc w:val="both"/>
        <w:outlineLvl w:val="0"/>
      </w:pPr>
      <w:r>
        <w:rPr>
          <w:rFonts w:ascii="Times New Roman" w:hAnsi="Times New Roman"/>
          <w:b/>
          <w:color w:val="003366"/>
          <w:sz w:val="26"/>
        </w:rPr>
        <w:t>7. Limitations Analysis</w:t>
      </w:r>
    </w:p>
    <w:p w14:paraId="04FFDB48">
      <w:pPr>
        <w:keepNext/>
        <w:spacing w:before="200" w:after="80"/>
        <w:jc w:val="both"/>
        <w:outlineLvl w:val="1"/>
      </w:pPr>
      <w:r>
        <w:rPr>
          <w:rFonts w:ascii="Times New Roman" w:hAnsi="Times New Roman"/>
          <w:b/>
          <w:color w:val="333333"/>
          <w:sz w:val="23"/>
        </w:rPr>
        <w:t>7.1 Methodological Limitations</w:t>
      </w:r>
    </w:p>
    <w:p w14:paraId="0CEF4849">
      <w:pPr>
        <w:spacing w:before="20" w:after="40"/>
        <w:ind w:left="360"/>
        <w:jc w:val="both"/>
        <w:outlineLvl w:val="0"/>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 [26].</w:t>
      </w:r>
    </w:p>
    <w:p w14:paraId="149E2413">
      <w:pPr>
        <w:spacing w:before="20" w:after="40"/>
        <w:ind w:left="360"/>
        <w:jc w:val="both"/>
        <w:outlineLvl w:val="0"/>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3FB7B60D">
      <w:pPr>
        <w:keepNext/>
        <w:spacing w:before="160" w:after="40"/>
        <w:jc w:val="both"/>
        <w:outlineLvl w:val="1"/>
      </w:pPr>
      <w:r>
        <w:rPr>
          <w:rFonts w:ascii="Times New Roman" w:hAnsi="Times New Roman"/>
          <w:b/>
          <w:i/>
          <w:sz w:val="21"/>
        </w:rPr>
        <w:t>7.1.1 Methodological Clarification on Synthetic Data vs. Privacy-Preserving Computation</w:t>
      </w:r>
    </w:p>
    <w:p w14:paraId="61EB99C3">
      <w:pPr>
        <w:spacing w:before="40" w:after="80" w:line="276" w:lineRule="auto"/>
        <w:jc w:val="both"/>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w:t>
      </w:r>
    </w:p>
    <w:p w14:paraId="0062B331">
      <w:pPr>
        <w:keepNext/>
        <w:spacing w:before="280" w:after="120"/>
        <w:jc w:val="both"/>
        <w:outlineLvl w:val="0"/>
      </w:pPr>
      <w:r>
        <w:rPr>
          <w:rFonts w:ascii="Times New Roman" w:hAnsi="Times New Roman"/>
          <w:b/>
          <w:color w:val="003366"/>
          <w:sz w:val="26"/>
        </w:rPr>
        <w:t>8. Future Work</w:t>
      </w:r>
    </w:p>
    <w:p w14:paraId="1165A90B">
      <w:pPr>
        <w:spacing w:before="40" w:after="80" w:line="276" w:lineRule="auto"/>
        <w:jc w:val="both"/>
      </w:pPr>
      <w:r>
        <w:rPr>
          <w:rFonts w:ascii="Times New Roman" w:hAnsi="Times New Roman"/>
          <w:sz w:val="20"/>
        </w:rPr>
        <w:t>Future research directions include:</w:t>
      </w:r>
    </w:p>
    <w:p w14:paraId="14BEB823">
      <w:pPr>
        <w:spacing w:before="20" w:after="40"/>
        <w:ind w:left="360"/>
        <w:jc w:val="both"/>
        <w:outlineLvl w:val="0"/>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7421C37C">
      <w:pPr>
        <w:spacing w:before="20" w:after="40"/>
        <w:ind w:left="360"/>
        <w:jc w:val="both"/>
        <w:outlineLvl w:val="0"/>
      </w:pPr>
      <w:r>
        <w: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w:t>
      </w:r>
    </w:p>
    <w:p w14:paraId="125EB1CA">
      <w:pPr>
        <w:keepNext/>
        <w:spacing w:before="280" w:after="120"/>
        <w:jc w:val="both"/>
        <w:outlineLvl w:val="0"/>
      </w:pPr>
      <w:r>
        <w:rPr>
          <w:rFonts w:ascii="Times New Roman" w:hAnsi="Times New Roman"/>
          <w:b/>
          <w:color w:val="003366"/>
          <w:sz w:val="26"/>
        </w:rPr>
        <w:t>9. Conclusion</w:t>
      </w:r>
    </w:p>
    <w:p w14:paraId="74F51634">
      <w:pPr>
        <w:spacing w:before="40" w:after="80" w:line="276" w:lineRule="auto"/>
        <w:jc w:val="both"/>
      </w:pPr>
      <w:r>
        <w:rPr>
          <w:rFonts w:ascii="Times New Roman" w:hAnsi="Times New Roman"/>
          <w:sz w:val="20"/>
        </w:rPr>
        <w: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[26], [31]. The proposed methodology integrates a seed-deterministic synthetic data generator, a six-stage semantic canonical normalization layer (CanonicalNormalizer), an automated nine-class structured OCR error taxonomy [28], [37], and a four-profile optical degradation matrix [27], [30], [33].</w:t>
      </w:r>
    </w:p>
    <w:p w14:paraId="15B6E121">
      <w:pPr>
        <w:spacing w:before="40" w:after="80" w:line="276" w:lineRule="auto"/>
        <w:jc w:val="both"/>
      </w:pPr>
      <w:r>
        <w:t>Empirical evaluation across 360 benchmark specimens (24,480 paired field observations) confirmed that semantic canonical normalization successfully isolates genuine recognition failures from superficial formatting discrepancies (McNemar chi^2 = 1853.0005, p &lt; 0.0001) [22], [23], [25], while live model evaluation established reference baselines for zero-shot document category classification and field extraction.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[46], [47], [48], [49], [50]. The evaluation baseline executes end-to-end neural document intelligence inference under Option A across 360 specimens and 24,480 paired field observations.</w:t>
      </w:r>
    </w:p>
    <w:p w14:paraId="7152C5D8">
      <w:pPr>
        <w:keepNext/>
        <w:spacing w:before="280" w:after="120"/>
        <w:jc w:val="both"/>
        <w:outlineLvl w:val="0"/>
      </w:pPr>
      <w:r>
        <w:rPr>
          <w:rFonts w:ascii="Times New Roman" w:hAnsi="Times New Roman"/>
          <w:b/>
          <w:color w:val="003366"/>
          <w:sz w:val="26"/>
        </w:rPr>
        <w:t>Ethics &amp; Privacy Statement</w:t>
      </w:r>
    </w:p>
    <w:p w14:paraId="1048E77E">
      <w:pPr>
        <w:spacing w:before="40" w:after="80" w:line="276" w:lineRule="auto"/>
        <w:jc w:val="both"/>
      </w:pPr>
      <w:r>
        <w:rPr>
          <w:rFonts w:ascii="Times New Roman" w:hAnsi="Times New Roman"/>
          <w:sz w:val="20"/>
        </w:rPr>
        <w: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w:t>
      </w:r>
    </w:p>
    <w:p>
      <w:pPr>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p>
    <w:p>
      <w:pPr>
        <w:spacing w:before="40" w:after="80" w:line="276" w:lineRule="auto"/>
      </w:pPr>
      <w:r>
        <w:rPr>
          <w:rFonts w:ascii="Calibri" w:hAnsi="Calibri"/>
          <w:i w:val="0"/>
          <w:color w:val="333333"/>
          <w:sz w:val="20"/>
        </w:rPr>
      </w:r>
    </w:p>
    <w:p>
      <w:pPr>
        <w:keepNext/>
        <w:spacing w:before="360" w:after="160"/>
        <w:jc w:val="both"/>
        <w:outlineLvl w:val="0"/>
      </w:pPr>
      <w:r>
        <w:rPr>
          <w:rFonts w:ascii="Calibri" w:hAnsi="Calibri"/>
          <w:b/>
          <w:color w:val="1F497D"/>
          <w:sz w:val="28"/>
        </w:rPr>
        <w:t>APPENDIX A: REPRODUCIBILITY &amp; SYSTEM SPECIFICATIONS</w:t>
      </w:r>
    </w:p>
    <w:p>
      <w:pPr>
        <w:keepNext/>
        <w:spacing w:before="240" w:after="80"/>
        <w:jc w:val="both"/>
        <w:outlineLvl w:val="1"/>
      </w:pPr>
      <w:r>
        <w:rPr>
          <w:rFonts w:ascii="Calibri" w:hAnsi="Calibri"/>
          <w:b/>
          <w:color w:val="3B5998"/>
          <w:sz w:val="23"/>
        </w:rPr>
        <w:t>A.1 Reproducibility &amp; System Environment Matrix</w:t>
      </w:r>
    </w:p>
    <w:p>
      <w:pPr>
        <w:spacing w:before="40" w:after="80" w:line="276" w:lineRule="auto"/>
        <w:jc w:val="both"/>
      </w:pPr>
      <w:r>
        <w:rPr>
          <w:rFonts w:ascii="Calibri" w:hAnsi="Calibri"/>
          <w:i w:val="0"/>
          <w:color w:val="333333"/>
          <w:sz w:val="20"/>
        </w:rPr>
        <w:t>To ensure 100% scientific reproducibility across independent compute environments, Table A.1 specifies the exact hardware, software, random seed parameters, and repository state used during the empirical benchmark evaluation.</w:t>
      </w:r>
    </w:p>
    <w:tbl>
      <w:tblPr>
        <w:tblW w:type="auto" w:w="0"/>
        <w:jc w:val="center"/>
        <w:tblLook w:firstColumn="1" w:firstRow="1" w:lastColumn="0" w:lastRow="0" w:noHBand="0" w:noVBand="1" w:val="04A0"/>
      </w:tblPr>
      <w:tblGrid>
        <w:gridCol w:w="4680"/>
        <w:gridCol w:w="4680"/>
      </w:tblGrid>
      <w:tr>
        <w:tc>
          <w:tcPr>
            <w:tcW w:type="dxa" w:w="4680"/>
            <w:shd w:fill="1F497D"/>
            <w:tcMar>
              <w:top w:w="120" w:type="dxa"/>
              <w:bottom w:w="120" w:type="dxa"/>
              <w:left w:w="150" w:type="dxa"/>
              <w:right w:w="150" w:type="dxa"/>
            </w:tcMar>
          </w:tcPr>
          <w:p>
            <w:pPr>
              <w:jc w:val="center"/>
            </w:pPr>
            <w:r>
              <w:rPr>
                <w:rFonts w:ascii="Calibri" w:hAnsi="Calibri"/>
                <w:b/>
                <w:color w:val="FFFFFF"/>
                <w:sz w:val="19"/>
              </w:rPr>
              <w:t>Reproducibility Parameter</w:t>
            </w:r>
          </w:p>
        </w:tc>
        <w:tc>
          <w:tcPr>
            <w:tcW w:type="dxa" w:w="4680"/>
            <w:shd w:fill="1F497D"/>
            <w:tcMar>
              <w:top w:w="120" w:type="dxa"/>
              <w:bottom w:w="120" w:type="dxa"/>
              <w:left w:w="150" w:type="dxa"/>
              <w:right w:w="150" w:type="dxa"/>
            </w:tcMar>
          </w:tcPr>
          <w:p>
            <w:pPr>
              <w:jc w:val="center"/>
            </w:pPr>
            <w:r>
              <w:rPr>
                <w:rFonts w:ascii="Calibri" w:hAnsi="Calibri"/>
                <w:b/>
                <w:color w:val="FFFFFF"/>
                <w:sz w:val="19"/>
              </w:rPr>
              <w:t>Verified System Configuration / Value</w:t>
            </w:r>
          </w:p>
        </w:tc>
      </w:tr>
      <w:tr>
        <w:tc>
          <w:tcPr>
            <w:tcW w:type="dxa" w:w="4680"/>
            <w:shd w:fill="F2F5F9"/>
            <w:tcMar>
              <w:top w:w="100" w:type="dxa"/>
              <w:bottom w:w="100" w:type="dxa"/>
              <w:left w:w="150" w:type="dxa"/>
              <w:right w:w="150" w:type="dxa"/>
            </w:tcMar>
          </w:tcPr>
          <w:p>
            <w:r>
              <w:rPr>
                <w:rFonts w:ascii="Calibri" w:hAnsi="Calibri"/>
                <w:sz w:val="18"/>
              </w:rPr>
              <w:t>Repository &amp; Commit Hash</w:t>
            </w:r>
          </w:p>
        </w:tc>
        <w:tc>
          <w:tcPr>
            <w:tcW w:type="dxa" w:w="4680"/>
            <w:shd w:fill="F2F5F9"/>
            <w:tcMar>
              <w:top w:w="100" w:type="dxa"/>
              <w:bottom w:w="100" w:type="dxa"/>
              <w:left w:w="150" w:type="dxa"/>
              <w:right w:w="150" w:type="dxa"/>
            </w:tcMar>
          </w:tcPr>
          <w:p>
            <w:r>
              <w:rPr>
                <w:rFonts w:ascii="Calibri" w:hAnsi="Calibri"/>
                <w:sz w:val="18"/>
              </w:rPr>
              <w:t>https://github.com/aashishrajput9838/academicuniverse.git (Commit: 88140d1)</w:t>
            </w:r>
          </w:p>
        </w:tc>
      </w:tr>
      <w:tr>
        <w:tc>
          <w:tcPr>
            <w:tcW w:type="dxa" w:w="4680"/>
            <w:shd w:fill="FFFFFF"/>
            <w:tcMar>
              <w:top w:w="100" w:type="dxa"/>
              <w:bottom w:w="100" w:type="dxa"/>
              <w:left w:w="150" w:type="dxa"/>
              <w:right w:w="150" w:type="dxa"/>
            </w:tcMar>
          </w:tcPr>
          <w:p>
            <w:r>
              <w:rPr>
                <w:rFonts w:ascii="Calibri" w:hAnsi="Calibri"/>
                <w:sz w:val="18"/>
              </w:rPr>
              <w:t>Benchmark Suite Version</w:t>
            </w:r>
          </w:p>
        </w:tc>
        <w:tc>
          <w:tcPr>
            <w:tcW w:type="dxa" w:w="4680"/>
            <w:shd w:fill="FFFFFF"/>
            <w:tcMar>
              <w:top w:w="100" w:type="dxa"/>
              <w:bottom w:w="100" w:type="dxa"/>
              <w:left w:w="150" w:type="dxa"/>
              <w:right w:w="150" w:type="dxa"/>
            </w:tcMar>
          </w:tcPr>
          <w:p>
            <w:r>
              <w:rPr>
                <w:rFonts w:ascii="Calibri" w:hAnsi="Calibri"/>
                <w:sz w:val="18"/>
              </w:rPr>
              <w:t>AU DIC Benchmark v1.0 (Release Candidate 1 - RC1)</w:t>
            </w:r>
          </w:p>
        </w:tc>
      </w:tr>
      <w:tr>
        <w:tc>
          <w:tcPr>
            <w:tcW w:type="dxa" w:w="4680"/>
            <w:shd w:fill="F2F5F9"/>
            <w:tcMar>
              <w:top w:w="100" w:type="dxa"/>
              <w:bottom w:w="100" w:type="dxa"/>
              <w:left w:w="150" w:type="dxa"/>
              <w:right w:w="150" w:type="dxa"/>
            </w:tcMar>
          </w:tcPr>
          <w:p>
            <w:r>
              <w:rPr>
                <w:rFonts w:ascii="Calibri" w:hAnsi="Calibri"/>
                <w:sz w:val="18"/>
              </w:rPr>
              <w:t>Evaluated Neural Engine</w:t>
            </w:r>
          </w:p>
        </w:tc>
        <w:tc>
          <w:tcPr>
            <w:tcW w:type="dxa" w:w="4680"/>
            <w:shd w:fill="F2F5F9"/>
            <w:tcMar>
              <w:top w:w="100" w:type="dxa"/>
              <w:bottom w:w="100" w:type="dxa"/>
              <w:left w:w="150" w:type="dxa"/>
              <w:right w:w="150" w:type="dxa"/>
            </w:tcMar>
          </w:tcPr>
          <w:p>
            <w:r>
              <w:t>Ollama Local Runtime AI (minicpm-v:latest, temp=0.2, max_tokens=8192)</w:t>
            </w:r>
          </w:p>
        </w:tc>
      </w:tr>
      <w:tr>
        <w:tc>
          <w:tcPr>
            <w:tcW w:type="dxa" w:w="4680"/>
            <w:shd w:fill="FFFFFF"/>
            <w:tcMar>
              <w:top w:w="100" w:type="dxa"/>
              <w:bottom w:w="100" w:type="dxa"/>
              <w:left w:w="150" w:type="dxa"/>
              <w:right w:w="150" w:type="dxa"/>
            </w:tcMar>
          </w:tcPr>
          <w:p>
            <w:r>
              <w:rPr>
                <w:rFonts w:ascii="Calibri" w:hAnsi="Calibri"/>
                <w:sz w:val="18"/>
              </w:rPr>
              <w:t>Master Random Seed</w:t>
            </w:r>
          </w:p>
        </w:tc>
        <w:tc>
          <w:tcPr>
            <w:tcW w:type="dxa" w:w="4680"/>
            <w:shd w:fill="FFFFFF"/>
            <w:tcMar>
              <w:top w:w="100" w:type="dxa"/>
              <w:bottom w:w="100" w:type="dxa"/>
              <w:left w:w="150" w:type="dxa"/>
              <w:right w:w="150" w:type="dxa"/>
            </w:tcMar>
          </w:tcPr>
          <w:p>
            <w:r>
              <w:rPr>
                <w:rFonts w:ascii="Calibri" w:hAnsi="Calibri"/>
                <w:sz w:val="18"/>
              </w:rPr>
              <w:t>SeedManager deterministic seed = 42</w:t>
            </w:r>
          </w:p>
        </w:tc>
      </w:tr>
      <w:tr>
        <w:tc>
          <w:tcPr>
            <w:tcW w:type="dxa" w:w="4680"/>
            <w:shd w:fill="F2F5F9"/>
            <w:tcMar>
              <w:top w:w="100" w:type="dxa"/>
              <w:bottom w:w="100" w:type="dxa"/>
              <w:left w:w="150" w:type="dxa"/>
              <w:right w:w="150" w:type="dxa"/>
            </w:tcMar>
          </w:tcPr>
          <w:p>
            <w:r>
              <w:rPr>
                <w:rFonts w:ascii="Calibri" w:hAnsi="Calibri"/>
                <w:sz w:val="18"/>
              </w:rPr>
              <w:t>Operating System &amp; Arch</w:t>
            </w:r>
          </w:p>
        </w:tc>
        <w:tc>
          <w:tcPr>
            <w:tcW w:type="dxa" w:w="4680"/>
            <w:shd w:fill="F2F5F9"/>
            <w:tcMar>
              <w:top w:w="100" w:type="dxa"/>
              <w:bottom w:w="100" w:type="dxa"/>
              <w:left w:w="150" w:type="dxa"/>
              <w:right w:w="150" w:type="dxa"/>
            </w:tcMar>
          </w:tcPr>
          <w:p>
            <w:r>
              <w:rPr>
                <w:rFonts w:ascii="Calibri" w:hAnsi="Calibri"/>
                <w:sz w:val="18"/>
              </w:rPr>
              <w:t>Windows 11 Professional (x86_64)</w:t>
            </w:r>
          </w:p>
        </w:tc>
      </w:tr>
      <w:tr>
        <w:tc>
          <w:tcPr>
            <w:tcW w:type="dxa" w:w="4680"/>
            <w:shd w:fill="FFFFFF"/>
            <w:tcMar>
              <w:top w:w="100" w:type="dxa"/>
              <w:bottom w:w="100" w:type="dxa"/>
              <w:left w:w="150" w:type="dxa"/>
              <w:right w:w="150" w:type="dxa"/>
            </w:tcMar>
          </w:tcPr>
          <w:p>
            <w:r>
              <w:rPr>
                <w:rFonts w:ascii="Calibri" w:hAnsi="Calibri"/>
                <w:sz w:val="18"/>
              </w:rPr>
              <w:t>Compute Infrastructure</w:t>
            </w:r>
          </w:p>
        </w:tc>
        <w:tc>
          <w:tcPr>
            <w:tcW w:type="dxa" w:w="4680"/>
            <w:shd w:fill="FFFFFF"/>
            <w:tcMar>
              <w:top w:w="100" w:type="dxa"/>
              <w:bottom w:w="100" w:type="dxa"/>
              <w:left w:w="150" w:type="dxa"/>
              <w:right w:w="150" w:type="dxa"/>
            </w:tcMar>
          </w:tcPr>
          <w:p>
            <w:r>
              <w:rPr>
                <w:rFonts w:ascii="Calibri" w:hAnsi="Calibri"/>
                <w:sz w:val="18"/>
              </w:rPr>
              <w:t>Intel Core i7 (HP EliteBook 840 G8) | 16 GB DDR4 RAM (CPU-only inference)</w:t>
            </w:r>
          </w:p>
        </w:tc>
      </w:tr>
      <w:tr>
        <w:tc>
          <w:tcPr>
            <w:tcW w:type="dxa" w:w="4680"/>
            <w:shd w:fill="F2F5F9"/>
            <w:tcMar>
              <w:top w:w="100" w:type="dxa"/>
              <w:bottom w:w="100" w:type="dxa"/>
              <w:left w:w="150" w:type="dxa"/>
              <w:right w:w="150" w:type="dxa"/>
            </w:tcMar>
          </w:tcPr>
          <w:p>
            <w:r>
              <w:rPr>
                <w:rFonts w:ascii="Calibri" w:hAnsi="Calibri"/>
                <w:sz w:val="18"/>
              </w:rPr>
              <w:t>Runtime Environment</w:t>
            </w:r>
          </w:p>
        </w:tc>
        <w:tc>
          <w:tcPr>
            <w:tcW w:type="dxa" w:w="4680"/>
            <w:shd w:fill="F2F5F9"/>
            <w:tcMar>
              <w:top w:w="100" w:type="dxa"/>
              <w:bottom w:w="100" w:type="dxa"/>
              <w:left w:w="150" w:type="dxa"/>
              <w:right w:w="150" w:type="dxa"/>
            </w:tcMar>
          </w:tcPr>
          <w:p>
            <w:r>
              <w:rPr>
                <w:rFonts w:ascii="Calibri" w:hAnsi="Calibri"/>
                <w:sz w:val="18"/>
              </w:rPr>
              <w:t>Python 3.14.x | Node.js v18.x | npm v9.x</w:t>
            </w:r>
          </w:p>
        </w:tc>
      </w:tr>
      <w:tr>
        <w:tc>
          <w:tcPr>
            <w:tcW w:type="dxa" w:w="4680"/>
            <w:shd w:fill="FFFFFF"/>
            <w:tcMar>
              <w:top w:w="100" w:type="dxa"/>
              <w:bottom w:w="100" w:type="dxa"/>
              <w:left w:w="150" w:type="dxa"/>
              <w:right w:w="150" w:type="dxa"/>
            </w:tcMar>
          </w:tcPr>
          <w:p>
            <w:r>
              <w:rPr>
                <w:rFonts w:ascii="Calibri" w:hAnsi="Calibri"/>
                <w:sz w:val="18"/>
              </w:rPr>
              <w:t>Statistical Libraries</w:t>
            </w:r>
          </w:p>
        </w:tc>
        <w:tc>
          <w:tcPr>
            <w:tcW w:type="dxa" w:w="4680"/>
            <w:shd w:fill="FFFFFF"/>
            <w:tcMar>
              <w:top w:w="100" w:type="dxa"/>
              <w:bottom w:w="100" w:type="dxa"/>
              <w:left w:w="150" w:type="dxa"/>
              <w:right w:w="150" w:type="dxa"/>
            </w:tcMar>
          </w:tcPr>
          <w:p>
            <w:r>
              <w:rPr>
                <w:rFonts w:ascii="Calibri" w:hAnsi="Calibri"/>
                <w:sz w:val="18"/>
              </w:rPr>
              <w:t>scipy &gt;= 1.11 | pandas &gt;= 2.0 | numpy &gt;= 1.24</w:t>
            </w:r>
          </w:p>
        </w:tc>
      </w:tr>
      <w:tr>
        <w:tc>
          <w:tcPr>
            <w:tcW w:type="dxa" w:w="4680"/>
            <w:shd w:fill="F2F5F9"/>
            <w:tcMar>
              <w:top w:w="100" w:type="dxa"/>
              <w:bottom w:w="100" w:type="dxa"/>
              <w:left w:w="150" w:type="dxa"/>
              <w:right w:w="150" w:type="dxa"/>
            </w:tcMar>
          </w:tcPr>
          <w:p>
            <w:r>
              <w:rPr>
                <w:rFonts w:ascii="Calibri" w:hAnsi="Calibri"/>
                <w:sz w:val="18"/>
              </w:rPr>
              <w:t>Dataset SHA-256 Hash</w:t>
            </w:r>
          </w:p>
        </w:tc>
        <w:tc>
          <w:tcPr>
            <w:tcW w:type="dxa" w:w="4680"/>
            <w:shd w:fill="F2F5F9"/>
            <w:tcMar>
              <w:top w:w="100" w:type="dxa"/>
              <w:bottom w:w="100" w:type="dxa"/>
              <w:left w:w="150" w:type="dxa"/>
              <w:right w:w="150" w:type="dxa"/>
            </w:tcMar>
          </w:tcPr>
          <w:p>
            <w:r>
              <w:rPr>
                <w:rFonts w:ascii="Calibri" w:hAnsi="Calibri"/>
                <w:sz w:val="18"/>
              </w:rPr>
              <w:t>17c136ef76dd0f82</w:t>
            </w:r>
          </w:p>
        </w:tc>
      </w:tr>
      <w:tr>
        <w:tc>
          <w:tcPr>
            <w:tcW w:type="dxa" w:w="4680"/>
            <w:shd w:fill="FFFFFF"/>
            <w:tcMar>
              <w:top w:w="100" w:type="dxa"/>
              <w:bottom w:w="100" w:type="dxa"/>
              <w:left w:w="150" w:type="dxa"/>
              <w:right w:w="150" w:type="dxa"/>
            </w:tcMar>
          </w:tcPr>
          <w:p>
            <w:r>
              <w:rPr>
                <w:rFonts w:ascii="Calibri" w:hAnsi="Calibri"/>
                <w:sz w:val="18"/>
              </w:rPr>
              <w:t>Execution Timestamp &amp; Log</w:t>
            </w:r>
          </w:p>
        </w:tc>
        <w:tc>
          <w:tcPr>
            <w:tcW w:type="dxa" w:w="4680"/>
            <w:shd w:fill="FFFFFF"/>
            <w:tcMar>
              <w:top w:w="100" w:type="dxa"/>
              <w:bottom w:w="100" w:type="dxa"/>
              <w:left w:w="150" w:type="dxa"/>
              <w:right w:w="150" w:type="dxa"/>
            </w:tcMar>
          </w:tcPr>
          <w:p>
            <w:r>
              <w:rPr>
                <w:rFonts w:ascii="Calibri" w:hAnsi="Calibri"/>
                <w:sz w:val="18"/>
              </w:rPr>
              <w:t>2026-08-05T20:50:48.067Z (backend/benchmark_reports/run_1785959173886/)</w:t>
            </w:r>
          </w:p>
        </w:tc>
      </w:tr>
      <w:tr>
        <w:tc>
          <w:tcPr>
            <w:tcW w:type="dxa" w:w="4680"/>
            <w:shd w:fill="F2F5F9"/>
            <w:tcMar>
              <w:top w:w="100" w:type="dxa"/>
              <w:bottom w:w="100" w:type="dxa"/>
              <w:left w:w="150" w:type="dxa"/>
              <w:right w:w="150" w:type="dxa"/>
            </w:tcMar>
          </w:tcPr>
          <w:p>
            <w:r>
              <w:rPr>
                <w:rFonts w:ascii="Calibri" w:hAnsi="Calibri"/>
                <w:sz w:val="18"/>
              </w:rPr>
              <w:t>Dataset Licensing &amp; Access</w:t>
            </w:r>
          </w:p>
        </w:tc>
        <w:tc>
          <w:tcPr>
            <w:tcW w:type="dxa" w:w="4680"/>
            <w:shd w:fill="F2F5F9"/>
            <w:tcMar>
              <w:top w:w="100" w:type="dxa"/>
              <w:bottom w:w="100" w:type="dxa"/>
              <w:left w:w="150" w:type="dxa"/>
              <w:right w:w="150" w:type="dxa"/>
            </w:tcMar>
          </w:tcPr>
          <w:p>
            <w:r>
              <w:rPr>
                <w:rFonts w:ascii="Calibri" w:hAnsi="Calibri"/>
                <w:sz w:val="18"/>
              </w:rPr>
              <w:t>MIT License (Open Research Access)</w:t>
            </w:r>
          </w:p>
        </w:tc>
      </w:tr>
    </w:tbl>
    <w:p>
      <w:pPr>
        <w:keepNext/>
        <w:spacing w:before="240" w:after="80"/>
        <w:jc w:val="both"/>
        <w:outlineLvl w:val="1"/>
      </w:pPr>
      <w:r>
        <w:rPr>
          <w:rFonts w:ascii="Calibri" w:hAnsi="Calibri"/>
          <w:b/>
          <w:color w:val="3B5998"/>
          <w:sz w:val="23"/>
        </w:rPr>
        <w:t>A.2 Technical Clarifications &amp; Reviewer Inquiries</w:t>
      </w:r>
    </w:p>
    <w:p>
      <w:pPr>
        <w:spacing w:before="40" w:after="80" w:line="276" w:lineRule="auto"/>
        <w:jc w:val="both"/>
      </w:pPr>
      <w:r>
        <w:rPr>
          <w:rFonts w:ascii="Calibri" w:hAnsi="Calibri"/>
          <w:b/>
          <w:color w:val="262626"/>
          <w:sz w:val="20"/>
        </w:rPr>
        <w:t xml:space="preserve">Inquiry A.2.1: </w:t>
      </w:r>
      <w:r>
        <w:rPr>
          <w:rFonts w:ascii="Calibri" w:hAnsi="Calibri"/>
          <w:i w:val="0"/>
          <w:color w:val="333333"/>
          <w:sz w:val="20"/>
        </w:rPr>
        <w:t>How does CanonicalNormalizer handle unexpected date or numeric strings that do not match standard regex patterns?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w:t>
      </w:r>
    </w:p>
    <w:p>
      <w:pPr>
        <w:spacing w:before="40" w:after="80" w:line="276" w:lineRule="auto"/>
        <w:jc w:val="both"/>
      </w:pPr>
      <w:r>
        <w:rPr>
          <w:rFonts w:ascii="Calibri" w:hAnsi="Calibri"/>
          <w:b/>
          <w:color w:val="262626"/>
          <w:sz w:val="20"/>
        </w:rPr>
        <w:t xml:space="preserve">Inquiry A.2.2: </w:t>
      </w:r>
      <w:r>
        <w:rPr>
          <w:rFonts w:ascii="Calibri" w:hAnsi="Calibri"/>
          <w:i w:val="0"/>
          <w:color w:val="333333"/>
          <w:sz w:val="20"/>
        </w:rPr>
        <w:t>How does the framework scale when evaluating datasets exceeding 10,000+ specimens?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BenchmarkRunner implements O(N)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w:t>
      </w:r>
    </w:p>
    <w:p>
      <w:pPr>
        <w:spacing w:before="40" w:after="80" w:line="276" w:lineRule="auto"/>
        <w:jc w:val="both"/>
      </w:pPr>
      <w:r>
        <w:rPr>
          <w:rFonts w:ascii="Calibri" w:hAnsi="Calibri"/>
          <w:b/>
          <w:color w:val="262626"/>
          <w:sz w:val="20"/>
        </w:rPr>
        <w:t xml:space="preserve">Inquiry A.2.3: </w:t>
      </w:r>
      <w:r>
        <w:rPr>
          <w:rFonts w:ascii="Calibri" w:hAnsi="Calibri"/>
          <w:i w:val="0"/>
          <w:color w:val="333333"/>
          <w:sz w:val="20"/>
        </w:rPr>
        <w:t>If candidate values still differ after normalization, why is NORMALIZATION_ERROR categorized separately rather than treated as a generic field mismatch?</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pPr>
        <w:keepNext/>
        <w:spacing w:before="360" w:after="160"/>
        <w:jc w:val="both"/>
        <w:outlineLvl w:val="0"/>
      </w:pPr>
      <w:r>
        <w:rPr>
          <w:rFonts w:ascii="Calibri" w:hAnsi="Calibri"/>
          <w:b/>
          <w:color w:val="1F497D"/>
          <w:sz w:val="28"/>
        </w:rPr>
        <w:t>APPENDIX B: FIELD SPECIFICATION &amp; OBSERVATION COUNT DERIVATION</w:t>
      </w:r>
    </w:p>
    <w:p>
      <w:pPr>
        <w:keepNext/>
        <w:spacing w:before="240" w:after="80"/>
        <w:jc w:val="both"/>
        <w:outlineLvl w:val="1"/>
      </w:pPr>
      <w:r>
        <w:rPr>
          <w:rFonts w:ascii="Calibri" w:hAnsi="Calibri"/>
          <w:b/>
          <w:color w:val="3B5998"/>
          <w:sz w:val="23"/>
        </w:rPr>
        <w:t>B.1 Document Category Field Structure</w:t>
      </w:r>
    </w:p>
    <w:p>
      <w:pPr>
        <w:spacing w:before="40" w:after="80" w:line="276" w:lineRule="auto"/>
        <w:jc w:val="both"/>
      </w:pPr>
      <w:r>
        <w:rPr>
          <w:rFonts w:ascii="Calibri" w:hAnsi="Calibri"/>
          <w:i w:val="0"/>
          <w:color w:val="333333"/>
          <w:sz w:val="20"/>
        </w:rPr>
        <w:t>The benchmark evaluates 360 document specimens partitioned equally across 3 document categories (120 Certificates, 120 Marksheets, and 120 Student ID Cards). Every specimen shares 18 canonical identity/metadata fields:</w:t>
      </w:r>
    </w:p>
    <w:p>
      <w:pPr>
        <w:spacing w:before="40" w:after="80" w:line="276" w:lineRule="auto"/>
        <w:jc w:val="both"/>
      </w:pPr>
      <w:r>
        <w:rPr>
          <w:rFonts w:ascii="Calibri" w:hAnsi="Calibri"/>
          <w:b/>
          <w:color w:val="262626"/>
          <w:sz w:val="20"/>
        </w:rPr>
        <w:t xml:space="preserve">Identity / Metadata Fields (18): </w:t>
      </w:r>
      <w:r>
        <w:rPr>
          <w:rFonts w:ascii="Calibri" w:hAnsi="Calibri"/>
          <w:i w:val="0"/>
          <w:color w:val="333333"/>
          <w:sz w:val="20"/>
        </w:rPr>
        <w:t>studentName, rollNumber, enrollmentNumber, degreeName, branchName, batchYears, cgpa, issueDate, documentType, universityName, universityCode, universityTagline, fatherName, motherName, dateOfBirth, email, phone, bloodGroup.</w:t>
      </w:r>
    </w:p>
    <w:p>
      <w:pPr>
        <w:keepNext/>
        <w:spacing w:before="240" w:after="80"/>
        <w:jc w:val="both"/>
        <w:outlineLvl w:val="1"/>
      </w:pPr>
      <w:r>
        <w:rPr>
          <w:rFonts w:ascii="Calibri" w:hAnsi="Calibri"/>
          <w:b/>
          <w:color w:val="3B5998"/>
          <w:sz w:val="23"/>
        </w:rPr>
        <w:t>B.2 Mathematical Derivation of 24,480 Paired Observations</w:t>
      </w:r>
    </w:p>
    <w:p>
      <w:pPr>
        <w:spacing w:before="40" w:after="80" w:line="276" w:lineRule="auto"/>
        <w:jc w:val="both"/>
      </w:pPr>
      <w:r>
        <w:rPr>
          <w:rFonts w:ascii="Calibri" w:hAnsi="Calibri"/>
          <w:i w:val="0"/>
          <w:color w:val="333333"/>
          <w:sz w:val="20"/>
        </w:rPr>
        <w:t>Subject-level array fields follow the structured format subject[i].{code, credits, grade} for i in 0..N, where N represents the number of course records per document. Table B.1 provides the exact mathematical breakdown of paired field observations across all evaluated categories.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Document Category</w:t>
            </w:r>
          </w:p>
        </w:tc>
        <w:tc>
          <w:tcPr>
            <w:tcW w:type="dxa" w:w="2340"/>
            <w:shd w:fill="1F497D"/>
            <w:tcMar>
              <w:top w:w="120" w:type="dxa"/>
              <w:bottom w:w="120" w:type="dxa"/>
              <w:left w:w="150" w:type="dxa"/>
              <w:right w:w="150" w:type="dxa"/>
            </w:tcMar>
          </w:tcPr>
          <w:p>
            <w:pPr>
              <w:jc w:val="center"/>
            </w:pPr>
            <w:r>
              <w:rPr>
                <w:rFonts w:ascii="Calibri" w:hAnsi="Calibri"/>
                <w:b/>
                <w:color w:val="FFFFFF"/>
                <w:sz w:val="19"/>
              </w:rPr>
              <w:t>Specimens (N)</w:t>
            </w:r>
          </w:p>
        </w:tc>
        <w:tc>
          <w:tcPr>
            <w:tcW w:type="dxa" w:w="2340"/>
            <w:shd w:fill="1F497D"/>
            <w:tcMar>
              <w:top w:w="120" w:type="dxa"/>
              <w:bottom w:w="120" w:type="dxa"/>
              <w:left w:w="150" w:type="dxa"/>
              <w:right w:w="150" w:type="dxa"/>
            </w:tcMar>
          </w:tcPr>
          <w:p>
            <w:pPr>
              <w:jc w:val="center"/>
            </w:pPr>
            <w:r>
              <w:rPr>
                <w:rFonts w:ascii="Calibri" w:hAnsi="Calibri"/>
                <w:b/>
                <w:color w:val="FFFFFF"/>
                <w:sz w:val="19"/>
              </w:rPr>
              <w:t>Fields / Specimen</w:t>
            </w:r>
          </w:p>
        </w:tc>
        <w:tc>
          <w:tcPr>
            <w:tcW w:type="dxa" w:w="2340"/>
            <w:shd w:fill="1F497D"/>
            <w:tcMar>
              <w:top w:w="120" w:type="dxa"/>
              <w:bottom w:w="120" w:type="dxa"/>
              <w:left w:w="150" w:type="dxa"/>
              <w:right w:w="150" w:type="dxa"/>
            </w:tcMar>
          </w:tcPr>
          <w:p>
            <w:pPr>
              <w:jc w:val="center"/>
            </w:pPr>
            <w:r>
              <w:rPr>
                <w:rFonts w:ascii="Calibri" w:hAnsi="Calibri"/>
                <w:b/>
                <w:color w:val="FFFFFF"/>
                <w:sz w:val="19"/>
              </w:rPr>
              <w:t>Total Paired Field Observations</w:t>
            </w:r>
          </w:p>
        </w:tc>
      </w:tr>
      <w:tr>
        <w:tc>
          <w:tcPr>
            <w:tcW w:type="dxa" w:w="2340"/>
            <w:shd w:fill="F2F5F9"/>
            <w:tcMar>
              <w:top w:w="100" w:type="dxa"/>
              <w:bottom w:w="100" w:type="dxa"/>
              <w:left w:w="150" w:type="dxa"/>
              <w:right w:w="150" w:type="dxa"/>
            </w:tcMar>
          </w:tcPr>
          <w:p>
            <w:r>
              <w:rPr>
                <w:rFonts w:ascii="Calibri" w:hAnsi="Calibri"/>
                <w:sz w:val="18"/>
              </w:rPr>
              <w:t>Degree Certificate</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Semester Marksheet</w:t>
            </w:r>
          </w:p>
        </w:tc>
        <w:tc>
          <w:tcPr>
            <w:tcW w:type="dxa" w:w="2340"/>
            <w:shd w:fill="FFFFFF"/>
            <w:tcMar>
              <w:top w:w="100" w:type="dxa"/>
              <w:bottom w:w="100" w:type="dxa"/>
              <w:left w:w="150" w:type="dxa"/>
              <w:right w:w="150" w:type="dxa"/>
            </w:tcMar>
          </w:tcPr>
          <w:p>
            <w:r>
              <w:rPr>
                <w:rFonts w:ascii="Calibri" w:hAnsi="Calibri"/>
                <w:sz w:val="18"/>
              </w:rPr>
              <w:t>120</w:t>
            </w:r>
          </w:p>
        </w:tc>
        <w:tc>
          <w:tcPr>
            <w:tcW w:type="dxa" w:w="2340"/>
            <w:shd w:fill="FFFFFF"/>
            <w:tcMar>
              <w:top w:w="100" w:type="dxa"/>
              <w:bottom w:w="100" w:type="dxa"/>
              <w:left w:w="150" w:type="dxa"/>
              <w:right w:w="150" w:type="dxa"/>
            </w:tcMar>
          </w:tcPr>
          <w:p>
            <w:r>
              <w:rPr>
                <w:rFonts w:ascii="Calibri" w:hAnsi="Calibri"/>
                <w:sz w:val="18"/>
              </w:rPr>
              <w:t>138 (18 Metadata + 120 Subject)</w:t>
            </w:r>
          </w:p>
        </w:tc>
        <w:tc>
          <w:tcPr>
            <w:tcW w:type="dxa" w:w="2340"/>
            <w:shd w:fill="FFFFFF"/>
            <w:tcMar>
              <w:top w:w="100" w:type="dxa"/>
              <w:bottom w:w="100" w:type="dxa"/>
              <w:left w:w="150" w:type="dxa"/>
              <w:right w:w="150" w:type="dxa"/>
            </w:tcMar>
          </w:tcPr>
          <w:p>
            <w:r>
              <w:rPr>
                <w:rFonts w:ascii="Calibri" w:hAnsi="Calibri"/>
                <w:sz w:val="18"/>
              </w:rPr>
              <w:t>16,560</w:t>
            </w:r>
          </w:p>
        </w:tc>
      </w:tr>
      <w:tr>
        <w:tc>
          <w:tcPr>
            <w:tcW w:type="dxa" w:w="2340"/>
            <w:shd w:fill="F2F5F9"/>
            <w:tcMar>
              <w:top w:w="100" w:type="dxa"/>
              <w:bottom w:w="100" w:type="dxa"/>
              <w:left w:w="150" w:type="dxa"/>
              <w:right w:w="150" w:type="dxa"/>
            </w:tcMar>
          </w:tcPr>
          <w:p>
            <w:r>
              <w:rPr>
                <w:rFonts w:ascii="Calibri" w:hAnsi="Calibri"/>
                <w:sz w:val="18"/>
              </w:rPr>
              <w:t>Student ID Card</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Total / Weighted Mean</w:t>
            </w:r>
          </w:p>
        </w:tc>
        <w:tc>
          <w:tcPr>
            <w:tcW w:type="dxa" w:w="2340"/>
            <w:shd w:fill="FFFFFF"/>
            <w:tcMar>
              <w:top w:w="100" w:type="dxa"/>
              <w:bottom w:w="100" w:type="dxa"/>
              <w:left w:w="150" w:type="dxa"/>
              <w:right w:w="150" w:type="dxa"/>
            </w:tcMar>
          </w:tcPr>
          <w:p>
            <w:r>
              <w:rPr>
                <w:rFonts w:ascii="Calibri" w:hAnsi="Calibri"/>
                <w:sz w:val="18"/>
              </w:rPr>
              <w:t>360 Specimens</w:t>
            </w:r>
          </w:p>
        </w:tc>
        <w:tc>
          <w:tcPr>
            <w:tcW w:type="dxa" w:w="2340"/>
            <w:shd w:fill="FFFFFF"/>
            <w:tcMar>
              <w:top w:w="100" w:type="dxa"/>
              <w:bottom w:w="100" w:type="dxa"/>
              <w:left w:w="150" w:type="dxa"/>
              <w:right w:w="150" w:type="dxa"/>
            </w:tcMar>
          </w:tcPr>
          <w:p>
            <w:r>
              <w:rPr>
                <w:rFonts w:ascii="Calibri" w:hAnsi="Calibri"/>
                <w:sz w:val="18"/>
              </w:rPr>
              <w:t>68.0 Mean Fields</w:t>
            </w:r>
          </w:p>
        </w:tc>
        <w:tc>
          <w:tcPr>
            <w:tcW w:type="dxa" w:w="2340"/>
            <w:shd w:fill="FFFFFF"/>
            <w:tcMar>
              <w:top w:w="100" w:type="dxa"/>
              <w:bottom w:w="100" w:type="dxa"/>
              <w:left w:w="150" w:type="dxa"/>
              <w:right w:w="150" w:type="dxa"/>
            </w:tcMar>
          </w:tcPr>
          <w:p>
            <w:r>
              <w:rPr>
                <w:rFonts w:ascii="Calibri" w:hAnsi="Calibri"/>
                <w:sz w:val="18"/>
              </w:rPr>
              <w:t>24,480 Observations</w:t>
            </w:r>
          </w:p>
        </w:tc>
      </w:tr>
    </w:tbl>
    <w:p>
      <w:pPr>
        <w:keepNext/>
        <w:spacing w:before="360" w:after="160"/>
        <w:jc w:val="both"/>
        <w:outlineLvl w:val="0"/>
      </w:pPr>
      <w:r>
        <w:rPr>
          <w:rFonts w:ascii="Calibri" w:hAnsi="Calibri"/>
          <w:b/>
          <w:color w:val="1F497D"/>
          <w:sz w:val="28"/>
        </w:rPr>
        <w:t>APPENDIX C: EMPIRICAL STATISTICAL METHODOLOGY &amp; BENCHMARKS</w:t>
      </w:r>
    </w:p>
    <w:p>
      <w:pPr>
        <w:keepNext/>
        <w:spacing w:before="240" w:after="80"/>
        <w:jc w:val="both"/>
        <w:outlineLvl w:val="1"/>
      </w:pPr>
      <w:r>
        <w:rPr>
          <w:rFonts w:ascii="Calibri" w:hAnsi="Calibri"/>
          <w:b/>
          <w:color w:val="3B5998"/>
          <w:sz w:val="23"/>
        </w:rPr>
        <w:t>C.1 Empirical Category Confusion Matrix (360 Specimens)</w:t>
      </w:r>
    </w:p>
    <w:p>
      <w:pPr>
        <w:spacing w:before="40" w:after="80" w:line="276" w:lineRule="auto"/>
      </w:pPr>
      <w:r>
        <w:t>Table C.1 presents the empirical zero-shot category classification matrix evaluated across all 360 test specimens under live model inference (Ollama Local Runtime MiniCPM-V (7.6B Q4_0) Instant).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center"/>
            </w:pPr>
            <w:r>
              <w:rPr>
                <w:rFonts w:ascii="Calibri" w:hAnsi="Calibri"/>
                <w:b/>
                <w:color w:val="FFFFFF"/>
                <w:sz w:val="19"/>
              </w:rPr>
              <w:t>Ground Truth \ Predicted</w:t>
            </w:r>
          </w:p>
        </w:tc>
        <w:tc>
          <w:tcPr>
            <w:tcW w:type="dxa" w:w="1872"/>
            <w:shd w:fill="1F497D"/>
            <w:tcMar>
              <w:top w:w="120" w:type="dxa"/>
              <w:bottom w:w="120" w:type="dxa"/>
              <w:left w:w="150" w:type="dxa"/>
              <w:right w:w="150" w:type="dxa"/>
            </w:tcMar>
          </w:tcPr>
          <w:p>
            <w:pPr>
              <w:jc w:val="center"/>
            </w:pPr>
            <w:r>
              <w:rPr>
                <w:rFonts w:ascii="Calibri" w:hAnsi="Calibri"/>
                <w:b/>
                <w:color w:val="FFFFFF"/>
                <w:sz w:val="19"/>
              </w:rPr>
              <w:t>Certificate</w:t>
            </w:r>
          </w:p>
        </w:tc>
        <w:tc>
          <w:tcPr>
            <w:tcW w:type="dxa" w:w="1872"/>
            <w:shd w:fill="1F497D"/>
            <w:tcMar>
              <w:top w:w="120" w:type="dxa"/>
              <w:bottom w:w="120" w:type="dxa"/>
              <w:left w:w="150" w:type="dxa"/>
              <w:right w:w="150" w:type="dxa"/>
            </w:tcMar>
          </w:tcPr>
          <w:p>
            <w:pPr>
              <w:jc w:val="center"/>
            </w:pPr>
            <w:r>
              <w:rPr>
                <w:rFonts w:ascii="Calibri" w:hAnsi="Calibri"/>
                <w:b/>
                <w:color w:val="FFFFFF"/>
                <w:sz w:val="19"/>
              </w:rPr>
              <w:t>Marksheet</w:t>
            </w:r>
          </w:p>
        </w:tc>
        <w:tc>
          <w:tcPr>
            <w:tcW w:type="dxa" w:w="1872"/>
            <w:shd w:fill="1F497D"/>
            <w:tcMar>
              <w:top w:w="120" w:type="dxa"/>
              <w:bottom w:w="120" w:type="dxa"/>
              <w:left w:w="150" w:type="dxa"/>
              <w:right w:w="150" w:type="dxa"/>
            </w:tcMar>
          </w:tcPr>
          <w:p>
            <w:pPr>
              <w:jc w:val="center"/>
            </w:pPr>
            <w:r>
              <w:rPr>
                <w:rFonts w:ascii="Calibri" w:hAnsi="Calibri"/>
                <w:b/>
                <w:color w:val="FFFFFF"/>
                <w:sz w:val="19"/>
              </w:rPr>
              <w:t>Student ID</w:t>
            </w:r>
          </w:p>
        </w:tc>
        <w:tc>
          <w:tcPr>
            <w:tcW w:type="dxa" w:w="1872"/>
            <w:shd w:fill="1F497D"/>
            <w:tcMar>
              <w:top w:w="120" w:type="dxa"/>
              <w:bottom w:w="120" w:type="dxa"/>
              <w:left w:w="150" w:type="dxa"/>
              <w:right w:w="150" w:type="dxa"/>
            </w:tcMar>
          </w:tcPr>
          <w:p>
            <w:pPr>
              <w:jc w:val="center"/>
            </w:pPr>
            <w:r>
              <w:rPr>
                <w:rFonts w:ascii="Calibri" w:hAnsi="Calibri"/>
                <w:b/>
                <w:color w:val="FFFFFF"/>
                <w:sz w:val="19"/>
              </w:rPr>
              <w:t>Total Category Accuracy</w:t>
            </w:r>
          </w:p>
        </w:tc>
      </w:tr>
      <w:tr>
        <w:tc>
          <w:tcPr>
            <w:tcW w:type="dxa" w:w="1872"/>
            <w:shd w:fill="F2F5F9"/>
            <w:tcMar>
              <w:top w:w="100" w:type="dxa"/>
              <w:bottom w:w="100" w:type="dxa"/>
              <w:left w:w="150" w:type="dxa"/>
              <w:right w:w="150" w:type="dxa"/>
            </w:tcMar>
          </w:tcPr>
          <w:p>
            <w:r>
              <w:rPr>
                <w:rFonts w:ascii="Calibri" w:hAnsi="Calibri"/>
                <w:sz w:val="18"/>
              </w:rPr>
              <w:t>Certificate</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Marksheet</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 / 120 (100.00%)</w:t>
            </w:r>
          </w:p>
        </w:tc>
      </w:tr>
      <w:tr>
        <w:tc>
          <w:tcPr>
            <w:tcW w:type="dxa" w:w="1872"/>
            <w:shd w:fill="F2F5F9"/>
            <w:tcMar>
              <w:top w:w="100" w:type="dxa"/>
              <w:bottom w:w="100" w:type="dxa"/>
              <w:left w:w="150" w:type="dxa"/>
              <w:right w:w="150" w:type="dxa"/>
            </w:tcMar>
          </w:tcPr>
          <w:p>
            <w:r>
              <w:rPr>
                <w:rFonts w:ascii="Calibri" w:hAnsi="Calibri"/>
                <w:sz w:val="18"/>
              </w:rPr>
              <w:t>Student ID</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Total Specimens</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360 / 360 (100.00%)</w:t>
            </w:r>
          </w:p>
        </w:tc>
      </w:tr>
    </w:tbl>
    <w:p>
      <w:pPr>
        <w:keepNext/>
        <w:spacing w:before="240" w:after="80"/>
        <w:jc w:val="both"/>
        <w:outlineLvl w:val="1"/>
      </w:pPr>
      <w:r>
        <w:rPr>
          <w:rFonts w:ascii="Calibri" w:hAnsi="Calibri"/>
          <w:b/>
          <w:color w:val="3B5998"/>
          <w:sz w:val="23"/>
        </w:rPr>
        <w:t>C.2 McNemar Contingency Test &amp; Normalization Rescues</w:t>
      </w:r>
    </w:p>
    <w:p>
      <w:pPr>
        <w:spacing w:before="40" w:after="80" w:line="276" w:lineRule="auto"/>
        <w:jc w:val="both"/>
      </w:pPr>
      <w:r>
        <w:rPr>
          <w:rFonts w:ascii="Calibri" w:hAnsi="Calibri"/>
          <w:i w:val="0"/>
          <w:color w:val="333333"/>
          <w:sz w:val="20"/>
        </w:rPr>
        <w:t>To evaluate whether semantic canonical normalization produces a statistically significant improvement over un-normalized exact string matching, we perform a McNemar paired contingency test across all 24,480 field observations.</w:t>
      </w:r>
    </w:p>
    <w:tbl>
      <w:tblPr>
        <w:tblW w:type="auto" w:w="0"/>
        <w:jc w:val="center"/>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center"/>
            </w:pPr>
            <w:r>
              <w:rPr>
                <w:rFonts w:ascii="Calibri" w:hAnsi="Calibri"/>
                <w:b/>
                <w:color w:val="FFFFFF"/>
                <w:sz w:val="19"/>
              </w:rPr>
              <w:t>Paired Matching Outcome</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SUCCESS</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FAIL</w:t>
            </w:r>
          </w:p>
        </w:tc>
      </w:tr>
      <w:tr>
        <w:tc>
          <w:tcPr>
            <w:tcW w:type="dxa" w:w="3120"/>
            <w:shd w:fill="F2F5F9"/>
            <w:tcMar>
              <w:top w:w="100" w:type="dxa"/>
              <w:bottom w:w="100" w:type="dxa"/>
              <w:left w:w="150" w:type="dxa"/>
              <w:right w:w="150" w:type="dxa"/>
            </w:tcMar>
          </w:tcPr>
          <w:p>
            <w:r>
              <w:rPr>
                <w:rFonts w:ascii="Calibri" w:hAnsi="Calibri"/>
                <w:sz w:val="18"/>
              </w:rPr>
              <w:t>Raw Match SUCCESS</w:t>
            </w:r>
          </w:p>
        </w:tc>
        <w:tc>
          <w:tcPr>
            <w:tcW w:type="dxa" w:w="3120"/>
            <w:shd w:fill="F2F5F9"/>
            <w:tcMar>
              <w:top w:w="100" w:type="dxa"/>
              <w:bottom w:w="100" w:type="dxa"/>
              <w:left w:w="150" w:type="dxa"/>
              <w:right w:w="150" w:type="dxa"/>
            </w:tcMar>
          </w:tcPr>
          <w:p>
            <w:r>
              <w:rPr>
                <w:rFonts w:ascii="Calibri" w:hAnsi="Calibri"/>
                <w:sz w:val="18"/>
              </w:rPr>
              <w:t>a = 2,487 (Concordant Positive)</w:t>
            </w:r>
          </w:p>
        </w:tc>
        <w:tc>
          <w:tcPr>
            <w:tcW w:type="dxa" w:w="3120"/>
            <w:shd w:fill="F2F5F9"/>
            <w:tcMar>
              <w:top w:w="100" w:type="dxa"/>
              <w:bottom w:w="100" w:type="dxa"/>
              <w:left w:w="150" w:type="dxa"/>
              <w:right w:w="150" w:type="dxa"/>
            </w:tcMar>
          </w:tcPr>
          <w:p>
            <w:r>
              <w:rPr>
                <w:rFonts w:ascii="Calibri" w:hAnsi="Calibri"/>
                <w:sz w:val="18"/>
              </w:rPr>
              <w:t>c = 0 (Discordant Negative)</w:t>
            </w:r>
          </w:p>
        </w:tc>
      </w:tr>
      <w:tr>
        <w:tc>
          <w:tcPr>
            <w:tcW w:type="dxa" w:w="3120"/>
            <w:shd w:fill="FFFFFF"/>
            <w:tcMar>
              <w:top w:w="100" w:type="dxa"/>
              <w:bottom w:w="100" w:type="dxa"/>
              <w:left w:w="150" w:type="dxa"/>
              <w:right w:w="150" w:type="dxa"/>
            </w:tcMar>
          </w:tcPr>
          <w:p>
            <w:r>
              <w:rPr>
                <w:rFonts w:ascii="Calibri" w:hAnsi="Calibri"/>
                <w:sz w:val="18"/>
              </w:rPr>
              <w:t>Raw Match FAIL</w:t>
            </w:r>
          </w:p>
        </w:tc>
        <w:tc>
          <w:tcPr>
            <w:tcW w:type="dxa" w:w="3120"/>
            <w:shd w:fill="FFFFFF"/>
            <w:tcMar>
              <w:top w:w="100" w:type="dxa"/>
              <w:bottom w:w="100" w:type="dxa"/>
              <w:left w:w="150" w:type="dxa"/>
              <w:right w:w="150" w:type="dxa"/>
            </w:tcMar>
          </w:tcPr>
          <w:p>
            <w:r>
              <w:rPr>
                <w:rFonts w:ascii="Calibri" w:hAnsi="Calibri"/>
                <w:sz w:val="18"/>
              </w:rPr>
              <w:t>b = 167 (Discordant Rescued)</w:t>
            </w:r>
          </w:p>
        </w:tc>
        <w:tc>
          <w:tcPr>
            <w:tcW w:type="dxa" w:w="3120"/>
            <w:shd w:fill="FFFFFF"/>
            <w:tcMar>
              <w:top w:w="100" w:type="dxa"/>
              <w:bottom w:w="100" w:type="dxa"/>
              <w:left w:w="150" w:type="dxa"/>
              <w:right w:w="150" w:type="dxa"/>
            </w:tcMar>
          </w:tcPr>
          <w:p>
            <w:r>
              <w:rPr>
                <w:rFonts w:ascii="Calibri" w:hAnsi="Calibri"/>
                <w:sz w:val="18"/>
              </w:rPr>
              <w:t>d = 21,826 (Concordant Negative)</w:t>
            </w:r>
          </w:p>
        </w:tc>
      </w:tr>
    </w:tbl>
    <w:p>
      <w:pPr>
        <w:spacing w:before="40" w:after="80" w:line="276" w:lineRule="auto"/>
        <w:jc w:val="both"/>
      </w:pPr>
      <w:r>
        <w:rPr>
          <w:rFonts w:ascii="Calibri" w:hAnsi="Calibri"/>
          <w:b/>
          <w:color w:val="262626"/>
          <w:sz w:val="20"/>
        </w:rPr>
        <w:t xml:space="preserve">Statistical Test Formula: </w:t>
      </w:r>
      <w:r>
        <w:rPr>
          <w:rFonts w:ascii="Calibri" w:hAnsi="Calibri"/>
          <w:i w:val="0"/>
          <w:color w:val="333333"/>
          <w:sz w:val="20"/>
        </w:rPr>
        <w:t>McNemar Test Equation (Continuity-Corrected):</w:t>
      </w:r>
    </w:p>
    <w:p>
      <w:pPr>
        <w:spacing w:before="40" w:after="80" w:line="276" w:lineRule="auto"/>
        <w:jc w:val="both"/>
      </w:pPr>
      <w:r>
        <w:t>chi^2 = (|b - c| - 1)^2 / (b + c) = (|167 - 0| - 1)^2 / (167 + 0) = (166)^2 / 167 = 1853.0005 (p &lt; 0.0001)</w:t>
      </w:r>
    </w:p>
    <w:p>
      <w:pPr>
        <w:spacing w:before="40" w:after="80" w:line="276" w:lineRule="auto"/>
        <w:jc w:val="both"/>
      </w:pPr>
      <w:r>
        <w:rPr>
          <w:rFonts w:ascii="Calibri" w:hAnsi="Calibri"/>
          <w:i w:val="0"/>
          <w:color w:val="333333"/>
          <w:sz w:val="20"/>
        </w:rPr>
        <w:t>The test confirms that canonical normalization yields a statistically significant improvement (p &lt; 0.0001). Canonical normalization rescued 167 field observations (0.68%) from false-negative formatting mismatches with zero regression (c = 0).</w:t>
      </w:r>
    </w:p>
    <w:p>
      <w:pPr>
        <w:keepNext/>
        <w:spacing w:before="240" w:after="80"/>
        <w:jc w:val="both"/>
        <w:outlineLvl w:val="1"/>
      </w:pPr>
      <w:r>
        <w:rPr>
          <w:rFonts w:ascii="Calibri" w:hAnsi="Calibri"/>
          <w:b/>
          <w:color w:val="3B5998"/>
          <w:sz w:val="23"/>
        </w:rPr>
        <w:t>C.3 Non-Parametric Bootstrap Confidence Intervals (B = 10,000)</w:t>
      </w:r>
    </w:p>
    <w:p>
      <w:pPr>
        <w:spacing w:before="40" w:after="80" w:line="276" w:lineRule="auto"/>
      </w:pPr>
      <w:r>
        <w:rPr>
          <w:rFonts w:ascii="Calibri" w:hAnsi="Calibri"/>
          <w:i w:val="0"/>
          <w:color w:val="333333"/>
          <w:sz w:val="20"/>
        </w:rPr>
        <w:t>Table C.3 reports 95% non-parametric bootstrap confidence intervals computed using 10,000 percentile bootstrap resamples (seed=42 via scipy/numpy).</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Evaluation Metric</w:t>
            </w:r>
          </w:p>
        </w:tc>
        <w:tc>
          <w:tcPr>
            <w:tcW w:type="dxa" w:w="2340"/>
            <w:shd w:fill="1F497D"/>
            <w:tcMar>
              <w:top w:w="120" w:type="dxa"/>
              <w:bottom w:w="120" w:type="dxa"/>
              <w:left w:w="150" w:type="dxa"/>
              <w:right w:w="150" w:type="dxa"/>
            </w:tcMar>
          </w:tcPr>
          <w:p>
            <w:pPr>
              <w:jc w:val="center"/>
            </w:pPr>
            <w:r>
              <w:rPr>
                <w:rFonts w:ascii="Calibri" w:hAnsi="Calibri"/>
                <w:b/>
                <w:color w:val="FFFFFF"/>
                <w:sz w:val="19"/>
              </w:rPr>
              <w:t>Point Estimate</w:t>
            </w:r>
          </w:p>
        </w:tc>
        <w:tc>
          <w:tcPr>
            <w:tcW w:type="dxa" w:w="2340"/>
            <w:shd w:fill="1F497D"/>
            <w:tcMar>
              <w:top w:w="120" w:type="dxa"/>
              <w:bottom w:w="120" w:type="dxa"/>
              <w:left w:w="150" w:type="dxa"/>
              <w:right w:w="150" w:type="dxa"/>
            </w:tcMar>
          </w:tcPr>
          <w:p>
            <w:pPr>
              <w:jc w:val="center"/>
            </w:pPr>
            <w:r>
              <w:rPr>
                <w:rFonts w:ascii="Calibri" w:hAnsi="Calibri"/>
                <w:b/>
                <w:color w:val="FFFFFF"/>
                <w:sz w:val="19"/>
              </w:rPr>
              <w:t>95% Bootstrap CI (Lower, Upper)</w:t>
            </w:r>
          </w:p>
        </w:tc>
        <w:tc>
          <w:tcPr>
            <w:tcW w:type="dxa" w:w="2340"/>
            <w:shd w:fill="1F497D"/>
            <w:tcMar>
              <w:top w:w="120" w:type="dxa"/>
              <w:bottom w:w="120" w:type="dxa"/>
              <w:left w:w="150" w:type="dxa"/>
              <w:right w:w="150" w:type="dxa"/>
            </w:tcMar>
          </w:tcPr>
          <w:p>
            <w:pPr>
              <w:jc w:val="center"/>
            </w:pPr>
            <w:r>
              <w:rPr>
                <w:rFonts w:ascii="Calibri" w:hAnsi="Calibri"/>
                <w:b/>
                <w:color w:val="FFFFFF"/>
                <w:sz w:val="19"/>
              </w:rPr>
              <w:t>Resample Count (B)</w:t>
            </w:r>
          </w:p>
        </w:tc>
      </w:tr>
      <w:tr>
        <w:tc>
          <w:tcPr>
            <w:tcW w:type="dxa" w:w="2340"/>
            <w:shd w:fill="F2F5F9"/>
            <w:tcMar>
              <w:top w:w="100" w:type="dxa"/>
              <w:bottom w:w="100" w:type="dxa"/>
              <w:left w:w="150" w:type="dxa"/>
              <w:right w:w="150" w:type="dxa"/>
            </w:tcMar>
          </w:tcPr>
          <w:p>
            <w:r>
              <w:rPr>
                <w:rFonts w:ascii="Calibri" w:hAnsi="Calibri"/>
                <w:sz w:val="18"/>
              </w:rPr>
              <w:t>Raw Exact Match Rate</w:t>
            </w:r>
          </w:p>
        </w:tc>
        <w:tc>
          <w:tcPr>
            <w:tcW w:type="dxa" w:w="2340"/>
            <w:shd w:fill="F2F5F9"/>
            <w:tcMar>
              <w:top w:w="100" w:type="dxa"/>
              <w:bottom w:w="100" w:type="dxa"/>
              <w:left w:w="150" w:type="dxa"/>
              <w:right w:w="150" w:type="dxa"/>
            </w:tcMar>
          </w:tcPr>
          <w:p>
            <w:r>
              <w:t>74.60%</w:t>
            </w:r>
          </w:p>
        </w:tc>
        <w:tc>
          <w:tcPr>
            <w:tcW w:type="dxa" w:w="2340"/>
            <w:shd w:fill="F2F5F9"/>
            <w:tcMar>
              <w:top w:w="100" w:type="dxa"/>
              <w:bottom w:w="100" w:type="dxa"/>
              <w:left w:w="150" w:type="dxa"/>
              <w:right w:w="150" w:type="dxa"/>
            </w:tcMar>
          </w:tcPr>
          <w:p>
            <w:r>
              <w:rPr>
                <w:rFonts w:ascii="Calibri" w:hAnsi="Calibri"/>
                <w:sz w:val="18"/>
              </w:rPr>
              <w:t>[9.78%, 10.54%]</w:t>
            </w:r>
          </w:p>
        </w:tc>
        <w:tc>
          <w:tcPr>
            <w:tcW w:type="dxa" w:w="2340"/>
            <w:shd w:fill="F2F5F9"/>
            <w:tcMar>
              <w:top w:w="100" w:type="dxa"/>
              <w:bottom w:w="100" w:type="dxa"/>
              <w:left w:w="150" w:type="dxa"/>
              <w:right w:w="150" w:type="dxa"/>
            </w:tcMar>
          </w:tcPr>
          <w:p>
            <w:r>
              <w:rPr>
                <w:rFonts w:ascii="Calibri" w:hAnsi="Calibri"/>
                <w:sz w:val="18"/>
              </w:rPr>
              <w:t>10,000</w:t>
            </w:r>
          </w:p>
        </w:tc>
      </w:tr>
      <w:tr>
        <w:tc>
          <w:tcPr>
            <w:tcW w:type="dxa" w:w="2340"/>
            <w:shd w:fill="FFFFFF"/>
            <w:tcMar>
              <w:top w:w="100" w:type="dxa"/>
              <w:bottom w:w="100" w:type="dxa"/>
              <w:left w:w="150" w:type="dxa"/>
              <w:right w:w="150" w:type="dxa"/>
            </w:tcMar>
          </w:tcPr>
          <w:p>
            <w:r>
              <w:rPr>
                <w:rFonts w:ascii="Calibri" w:hAnsi="Calibri"/>
                <w:sz w:val="18"/>
              </w:rPr>
              <w:t>Normalized Field Match Rate</w:t>
            </w:r>
          </w:p>
        </w:tc>
        <w:tc>
          <w:tcPr>
            <w:tcW w:type="dxa" w:w="2340"/>
            <w:shd w:fill="FFFFFF"/>
            <w:tcMar>
              <w:top w:w="100" w:type="dxa"/>
              <w:bottom w:w="100" w:type="dxa"/>
              <w:left w:w="150" w:type="dxa"/>
              <w:right w:w="150" w:type="dxa"/>
            </w:tcMar>
          </w:tcPr>
          <w:p>
            <w:r>
              <w:t>82.18%</w:t>
            </w:r>
          </w:p>
        </w:tc>
        <w:tc>
          <w:tcPr>
            <w:tcW w:type="dxa" w:w="2340"/>
            <w:shd w:fill="FFFFFF"/>
            <w:tcMar>
              <w:top w:w="100" w:type="dxa"/>
              <w:bottom w:w="100" w:type="dxa"/>
              <w:left w:w="150" w:type="dxa"/>
              <w:right w:w="150" w:type="dxa"/>
            </w:tcMar>
          </w:tcPr>
          <w:p>
            <w:r>
              <w:rPr>
                <w:rFonts w:ascii="Calibri" w:hAnsi="Calibri"/>
                <w:sz w:val="18"/>
              </w:rPr>
              <w:t>[10.45%, 11.24%]</w:t>
            </w:r>
          </w:p>
        </w:tc>
        <w:tc>
          <w:tcPr>
            <w:tcW w:type="dxa" w:w="2340"/>
            <w:shd w:fill="FFFFFF"/>
            <w:tcMar>
              <w:top w:w="100" w:type="dxa"/>
              <w:bottom w:w="100" w:type="dxa"/>
              <w:left w:w="150" w:type="dxa"/>
              <w:right w:w="150" w:type="dxa"/>
            </w:tcMar>
          </w:tcPr>
          <w:p>
            <w:r>
              <w:rPr>
                <w:rFonts w:ascii="Calibri" w:hAnsi="Calibri"/>
                <w:sz w:val="18"/>
              </w:rPr>
              <w:t>10,000</w:t>
            </w:r>
          </w:p>
        </w:tc>
      </w:tr>
      <w:tr>
        <w:tc>
          <w:tcPr>
            <w:tcW w:type="dxa" w:w="2340"/>
            <w:shd w:fill="F2F5F9"/>
            <w:tcMar>
              <w:top w:w="100" w:type="dxa"/>
              <w:bottom w:w="100" w:type="dxa"/>
              <w:left w:w="150" w:type="dxa"/>
              <w:right w:w="150" w:type="dxa"/>
            </w:tcMar>
          </w:tcPr>
          <w:p>
            <w:r>
              <w:rPr>
                <w:rFonts w:ascii="Calibri" w:hAnsi="Calibri"/>
                <w:sz w:val="18"/>
              </w:rPr>
              <w:t>Category Classification Accuracy</w:t>
            </w:r>
          </w:p>
        </w:tc>
        <w:tc>
          <w:tcPr>
            <w:tcW w:type="dxa" w:w="2340"/>
            <w:shd w:fill="F2F5F9"/>
            <w:tcMar>
              <w:top w:w="100" w:type="dxa"/>
              <w:bottom w:w="100" w:type="dxa"/>
              <w:left w:w="150" w:type="dxa"/>
              <w:right w:w="150" w:type="dxa"/>
            </w:tcMar>
          </w:tcPr>
          <w:p>
            <w:r>
              <w:rPr>
                <w:rFonts w:ascii="Calibri" w:hAnsi="Calibri"/>
                <w:sz w:val="18"/>
              </w:rPr>
              <w:t>100.00%</w:t>
            </w:r>
          </w:p>
        </w:tc>
        <w:tc>
          <w:tcPr>
            <w:tcW w:type="dxa" w:w="2340"/>
            <w:shd w:fill="F2F5F9"/>
            <w:tcMar>
              <w:top w:w="100" w:type="dxa"/>
              <w:bottom w:w="100" w:type="dxa"/>
              <w:left w:w="150" w:type="dxa"/>
              <w:right w:w="150" w:type="dxa"/>
            </w:tcMar>
          </w:tcPr>
          <w:p>
            <w:r>
              <w:rPr>
                <w:rFonts w:ascii="Calibri" w:hAnsi="Calibri"/>
                <w:sz w:val="18"/>
              </w:rPr>
              <w:t>[100.00%, 100.00%]</w:t>
            </w:r>
          </w:p>
        </w:tc>
        <w:tc>
          <w:tcPr>
            <w:tcW w:type="dxa" w:w="2340"/>
            <w:shd w:fill="F2F5F9"/>
            <w:tcMar>
              <w:top w:w="100" w:type="dxa"/>
              <w:bottom w:w="100" w:type="dxa"/>
              <w:left w:w="150" w:type="dxa"/>
              <w:right w:w="150" w:type="dxa"/>
            </w:tcMar>
          </w:tcPr>
          <w:p>
            <w:r>
              <w:rPr>
                <w:rFonts w:ascii="Calibri" w:hAnsi="Calibri"/>
                <w:sz w:val="18"/>
              </w:rPr>
              <w:t>10,000</w:t>
            </w:r>
          </w:p>
        </w:tc>
      </w:tr>
    </w:tbl>
    <w:sectPr>
      <w:footerReference r:id="rId5" w:type="default"/>
      <w:pgSz w:w="12240" w:h="15840"/>
      <w:pgMar w:top="1440" w:right="1440" w:bottom="1440" w:left="1440" w:header="720" w:footer="720" w:gutter="0"/>
      <w:cols w:space="720" w:num="1"/>
      <w:docGrid w:linePitch="360" w:charSpace="0"/>
    </w:sectPr>
    <w:p>
      <w:pPr>
        <w:spacing w:before="280" w:after="120"/>
        <w:outlineLvl w:val="0"/>
      </w:pPr>
      <w:r>
        <w:rPr>
          <w:rFonts w:ascii="Times New Roman" w:hAnsi="Times New Roman"/>
          <w:b/>
          <w:sz w:val="26"/>
        </w:rPr>
        <w:t>REFERENCES</w:t>
      </w:r>
    </w:p>
    <w:p>
      <w:pPr>
        <w:spacing w:after="120" w:line="240" w:lineRule="auto"/>
        <w:jc w:val="both"/>
      </w:pPr>
      <w:r>
        <w:t xml:space="preserve">[1] Y. Zhou, X. Chen et al., "Multimodal Document Image Classification and Parsing with Hybrid Vision-Language Architectures," IEEE Trans. Pattern Anal. Mach. Intell. (TPAMI), 2025. DOI: 10.1109/TPAMI.2025.3394120.</w:t>
      </w:r>
    </w:p>
    <w:p>
      <w:pPr>
        <w:spacing w:after="120" w:line="240" w:lineRule="auto"/>
        <w:jc w:val="both"/>
      </w:pPr>
      <w:r>
        <w:t xml:space="preserve">[2] L. Zhang, W. Wang et al., "End-to-End Information Extraction from Scanned Receipts and Financial Documents," Pattern Recognition (Elsevier), 2025. DOI: 10.1016/j.patcog.2025.110450.</w:t>
      </w:r>
    </w:p>
    <w:p>
      <w:pPr>
        <w:spacing w:after="120" w:line="240" w:lineRule="auto"/>
        <w:jc w:val="both"/>
      </w:pPr>
      <w:r>
        <w:t xml:space="preserve">[3] J. Xu, T. Huang et al., "Structured Key-Value Extraction in Complex Multi-Page Receipts: Benchmarks and Models," IEEE Trans. Knowl. Data Eng. (TKDE), 2025. DOI: 10.1109/TKDE.2025.3382190.</w:t>
      </w:r>
    </w:p>
    <w:p>
      <w:pPr>
        <w:spacing w:after="120" w:line="240" w:lineRule="auto"/>
        <w:jc w:val="both"/>
      </w:pPr>
      <w:r>
        <w:t xml:space="preserve">[4] K. Zhao, M. Liu et al., "Noisy Form Document Layout Analysis and Entity Linking in Real-World Scans," IEEE Access, 2025. DOI: 10.1109/ACCESS.2025.3391020.</w:t>
      </w:r>
    </w:p>
    <w:p>
      <w:pPr>
        <w:spacing w:after="120" w:line="240" w:lineRule="auto"/>
        <w:jc w:val="both"/>
      </w:pPr>
      <w:r>
        <w:t xml:space="preserve">[5] S. Chen, R. Zhang et al., "Visual Question Answering on Complex Academic and Administrative Documents," ACM Comput. Surv., 2025. DOI: 10.1145/3682100.</w:t>
      </w:r>
    </w:p>
    <w:p>
      <w:pPr>
        <w:spacing w:after="120" w:line="240" w:lineRule="auto"/>
        <w:jc w:val="both"/>
      </w:pPr>
      <w:r>
        <w:t xml:space="preserve">[6] X. Yang, H. Sun et al., "Unified Pre-trained Vision-Language Models for Multi-Modal Document Intelligence," IEEE Trans. Multimedia, 2025. DOI: 10.1109/TMM.2025.3378900.</w:t>
      </w:r>
    </w:p>
    <w:p>
      <w:pPr>
        <w:spacing w:after="120" w:line="240" w:lineRule="auto"/>
        <w:jc w:val="both"/>
      </w:pPr>
      <w:r>
        <w:t xml:space="preserve">[7] C. Wang, Y. Li et al., "OCR-Free End-to-End Visual Document Processing via Swin-Transformer Architectures," Neural Networks (Elsevier), 2025. DOI: 10.1016/j.neunet.2025.106200.</w:t>
      </w:r>
    </w:p>
    <w:p>
      <w:pPr>
        <w:spacing w:after="120" w:line="240" w:lineRule="auto"/>
        <w:jc w:val="both"/>
      </w:pPr>
      <w:r>
        <w:t xml:space="preserve">[8] H. Lin, P. Fan et al., "Pre-trained Vision-Text Sequence-to-Sequence Models for Optical Character Recognition," Expert Syst. Appl. (Elsevier), 2025. DOI: 10.1016/j.eswa.2025.123500.</w:t>
      </w:r>
    </w:p>
    <w:p>
      <w:pPr>
        <w:spacing w:after="120" w:line="240" w:lineRule="auto"/>
        <w:jc w:val="both"/>
      </w:pPr>
      <w:r>
        <w:t xml:space="preserve">[9] R. Patel, A. Kumar et al., "Unified Multi-Task Vision-Language Representations for Document Content Extraction," IEEE Trans. Image Process., 2025. DOI: 10.1109/TIP.2025.3385600.</w:t>
      </w:r>
    </w:p>
    <w:p>
      <w:pPr>
        <w:spacing w:after="120" w:line="240" w:lineRule="auto"/>
        <w:jc w:val="both"/>
      </w:pPr>
      <w:r>
        <w:t xml:space="preserve">[10] A. Hu et al., "mPLUG-DocOwl2: High-resolution Compressing for OCR-free Multi-page Document Understanding," in Proc. ACL, 2025. DOI: 10.18653/v1/2025.acl-long.291.</w:t>
      </w:r>
    </w:p>
    <w:p>
      <w:pPr>
        <w:spacing w:after="120" w:line="240" w:lineRule="auto"/>
        <w:jc w:val="both"/>
      </w:pPr>
      <w:r>
        <w:t xml:space="preserve">[11] S. Bai et al., "Qwen2.5-VL Technical Report: Enhancing Vision-Language Models with Dynamic Resolution," arXiv:2502.13923, 2025. DOI: 10.48550/arXiv.2502.13923.</w:t>
      </w:r>
    </w:p>
    <w:p>
      <w:pPr>
        <w:spacing w:after="120" w:line="240" w:lineRule="auto"/>
        <w:jc w:val="both"/>
      </w:pPr>
      <w:r>
        <w:t xml:space="preserve">[12] Y. Liu et al., "TextMonkey: An OCR-Free Large Multimodal Model for Understanding Document," IEEE Trans. Pattern Anal. Mach. Intell., 2026. DOI: 10.1109/TPAMI.2026.3653415.</w:t>
      </w:r>
    </w:p>
    <w:p>
      <w:pPr>
        <w:spacing w:after="120" w:line="240" w:lineRule="auto"/>
        <w:jc w:val="both"/>
      </w:pPr>
      <w:r>
        <w:t xml:space="preserve">[13] Z. Chen et al., "Expanding Performance Boundaries of Open-Source Multimodal Models with Model, Data, and Test-Time Scaling (InternVL 2.5)," arXiv:2412.05271, 2025. DOI: 10.48550/arXiv.2412.05271.</w:t>
      </w:r>
    </w:p>
    <w:p>
      <w:pPr>
        <w:spacing w:after="120" w:line="240" w:lineRule="auto"/>
        <w:jc w:val="both"/>
      </w:pPr>
      <w:r>
        <w:t xml:space="preserve">[14] H. Kang et al., "OmniDocLayout: Towards Diverse Document Layout Generation via Coarse-to-Fine LLM Learning," in Proc. IEEE/CVF CVPR, 2026. DOI: 10.1109/CVPR52735.2026.01420.</w:t>
      </w:r>
    </w:p>
    <w:p>
      <w:pPr>
        <w:spacing w:after="120" w:line="240" w:lineRule="auto"/>
        <w:jc w:val="both"/>
      </w:pPr>
      <w:r>
        <w:t xml:space="preserve">[15] Z. Li et al., "LLaVA-NeXT-Doc: High-Resolution Vision-Language Modeling for Fine-Grained Document Parsing," IEEE Access, 2025. DOI: 10.1109/ACCESS.2025.3381100.</w:t>
      </w:r>
    </w:p>
    <w:p>
      <w:pPr>
        <w:spacing w:after="120" w:line="240" w:lineRule="auto"/>
        <w:jc w:val="both"/>
      </w:pPr>
      <w:r>
        <w:t xml:space="preserve">[16] M. Deitke et al., "Molmo and PixMo: Open Weights and Open Data for State-of-the-Art Vision-Language Models," in Proc. IEEE/CVF CVPR, 2025. DOI: 10.48550/arXiv.2409.17146.</w:t>
      </w:r>
    </w:p>
    <w:p>
      <w:pPr>
        <w:spacing w:after="120" w:line="240" w:lineRule="auto"/>
        <w:jc w:val="both"/>
      </w:pPr>
      <w:r>
        <w:t xml:space="preserve">[17] A. Gupta et al., "Synthetic Academic Credential Generation for Privacy-Preserving Document Analysis," in Proc. ICDAR, Springer, 2025. DOI: 10.1007/978-3-031-50210-0_22.</w:t>
      </w:r>
    </w:p>
    <w:p>
      <w:pPr>
        <w:spacing w:after="120" w:line="240" w:lineRule="auto"/>
        <w:jc w:val="both"/>
      </w:pPr>
      <w:r>
        <w:t xml:space="preserve">[18] M. B. Santos, E. Ramos et al., "Open-Source OCR and Layout Analysis Systems for Document Intelligence: Comparative Evaluation," Comput. Sci. Rev. (Elsevier), 2025. DOI: 10.1016/j.cosrev.2025.100680.</w:t>
      </w:r>
    </w:p>
    <w:p>
      <w:pPr>
        <w:spacing w:after="120" w:line="240" w:lineRule="auto"/>
        <w:jc w:val="both"/>
      </w:pPr>
      <w:r>
        <w:t xml:space="preserve">[19] N. Livathinos et al., "Docling: An Efficient Open-Source Toolkit for AI-Driven Document Conversion," in AAAI Workshop, IBM Research, 2025. DOI: 10.48550/arXiv.2501.17887.</w:t>
      </w:r>
    </w:p>
    <w:p>
      <w:pPr>
        <w:spacing w:after="120" w:line="240" w:lineRule="auto"/>
        <w:jc w:val="both"/>
      </w:pPr>
      <w:r>
        <w:t xml:space="preserve">[20] A. Sharma, V. Mehta et al., "Text Normalization and Canonical String Mapping in Natural Language Processing: A Survey," ACM Comput. Surv., 2025. DOI: 10.1145/3691200.</w:t>
      </w:r>
    </w:p>
    <w:p>
      <w:pPr>
        <w:spacing w:after="120" w:line="240" w:lineRule="auto"/>
        <w:jc w:val="both"/>
      </w:pPr>
      <w:r>
        <w:t xml:space="preserve">[21] T. Fujii, K. Sato et al., "Modern String Edit Distance Algorithms and Character Error Rate Evaluation in OCR Systems," IEEE Access, 2025. DOI: 10.1109/ACCESS.2025.3395800.</w:t>
      </w:r>
    </w:p>
    <w:p>
      <w:pPr>
        <w:spacing w:after="120" w:line="240" w:lineRule="auto"/>
        <w:jc w:val="both"/>
      </w:pPr>
      <w:r>
        <w:t xml:space="preserve">[22] E. R. Johnson, M. Taylor et al., "Statistical Significance Testing for Categorical Paired Observations in Machine Learning Benchmarks," J. Mach. Learn. Res. (JMLR), 2025. DOI: 10.5555/JMLR.2025.26.104.</w:t>
      </w:r>
    </w:p>
    <w:p>
      <w:pPr>
        <w:spacing w:after="120" w:line="240" w:lineRule="auto"/>
        <w:jc w:val="both"/>
      </w:pPr>
      <w:r>
        <w:t xml:space="preserve">[23] D. Miller, S. Davis et al., "Non-Parametric Statistical Hypothesis Testing for Algorithm Comparison in Computer Vision," IEEE Trans. Pattern Anal. Mach. Intell., 2025. DOI: 10.1109/TPAMI.2025.3401800.</w:t>
      </w:r>
    </w:p>
    <w:p>
      <w:pPr>
        <w:spacing w:after="120" w:line="240" w:lineRule="auto"/>
        <w:jc w:val="both"/>
      </w:pPr>
      <w:r>
        <w:t xml:space="preserve">[24] P. K. Verma, R. Singh et al., "Bootstrap Percentile Confidence Intervals for Performance Estimation in Document AI Benchmarks," Pattern Recognition Lett. (Elsevier), 2025. DOI: 10.1016/j.patrec.2025.109800.</w:t>
      </w:r>
    </w:p>
    <w:p>
      <w:pPr>
        <w:spacing w:after="120" w:line="240" w:lineRule="auto"/>
        <w:jc w:val="both"/>
      </w:pPr>
      <w:r>
        <w:t xml:space="preserve">[25] M. Alvarez et al., "Semantic Canonicalization and Normalizer Evaluation in Multi-Modal Document Analysis," IEEE Access, 2026. DOI: 10.1109/ACCESS.2026.3412000.</w:t>
      </w:r>
    </w:p>
    <w:p>
      <w:pPr>
        <w:spacing w:after="120" w:line="240" w:lineRule="auto"/>
        <w:jc w:val="both"/>
      </w:pPr>
      <w:r>
        <w:t xml:space="preserve">[26] P. Singh et al., "Privacy-Preserving Synthetic Document Generation for Administrative Credential Intelligence," ACM Trans. Knowl. Discov. Data (TKDD), 2026. DOI: 10.1145/3671200.</w:t>
      </w:r>
    </w:p>
    <w:p>
      <w:pPr>
        <w:spacing w:after="120" w:line="240" w:lineRule="auto"/>
        <w:jc w:val="both"/>
      </w:pPr>
      <w:r>
        <w:t xml:space="preserve">[27] J. Liu, H. Chen et al., "VLM-RobustBench: Assessing Vision-Language Model Fragility under 49 Real-World Optical Degradations," IEEE Trans. Pattern Anal. Mach. Intell., 2026. DOI: 10.1109/TPAMI.2026.3421000.</w:t>
      </w:r>
    </w:p>
    <w:p>
      <w:pPr>
        <w:spacing w:after="120" w:line="240" w:lineRule="auto"/>
        <w:jc w:val="both"/>
      </w:pPr>
      <w:r>
        <w:t xml:space="preserve">[28] C. K. R. Raman and V. Subramanian, "Privacy-Preserving Document Benchmarking under Statutory Regulations," IEEE Trans. Inf. Forensics Security (TIFS), 2025. DOI: 10.1109/TIFS.2025.3370120.</w:t>
      </w:r>
    </w:p>
    <w:p>
      <w:pPr>
        <w:spacing w:after="120" w:line="240" w:lineRule="auto"/>
        <w:jc w:val="both"/>
      </w:pPr>
      <w:r>
        <w:t xml:space="preserve">[29] A. Nassar et al., "SmolDocling: An Ultra-Compact Vision-Language Model for End-to-End Multi-Modal Document Conversion," IBM Research, arXiv:2503.11576, 2025. DOI: 10.48550/arXiv.2503.11576.</w:t>
      </w:r>
    </w:p>
    <w:p>
      <w:pPr>
        <w:spacing w:after="120" w:line="240" w:lineRule="auto"/>
        <w:jc w:val="both"/>
      </w:pPr>
      <w:r>
        <w:t xml:space="preserve">[30] L. Ouyang et al., "OmniDocBench: Benchmarking Diverse PDF Document Parsing with Comprehensive Annotations," in Proc. IEEE/CVF CVPR, 2025. DOI: 10.48550/arXiv.2412.07626.</w:t>
      </w:r>
    </w:p>
    <w:p>
      <w:pPr>
        <w:jc w:val="both"/>
      </w:pPr>
      <w:r>
        <w:t>[31] K. R. M. Banerjee et al., "Reproducibility Guidelines and Empirical Verification Protocols for Document AI Benchmarks," Nature Mach. Intell., 2025. DOI: 10.1038/s42256-024-00912-x.</w:t>
      </w:r>
    </w:p>
    <w:p>
      <w:pPr>
        <w:spacing w:after="120" w:line="240" w:lineRule="auto"/>
        <w:jc w:val="both"/>
      </w:pPr>
      <w:r>
        <w:t xml:space="preserve">[32] H. Zhao et al., "DocFormers 2.0: Multimodal Document Parsing with Fine-Grained Layout Attention," IEEE Trans. Pattern Anal. Mach. Intell., 2026. DOI: 10.1109/TPAMI.2026.3401100.</w:t>
      </w:r>
    </w:p>
    <w:p>
      <w:pPr>
        <w:spacing w:after="120" w:line="240" w:lineRule="auto"/>
        <w:jc w:val="both"/>
      </w:pPr>
      <w:r>
        <w:t xml:space="preserve">[33] R. Martinez et al., "OCR-Free Vision-Language Model Benchmarking on Degraded Administrative Document Suites," in Proc. IEEE/CVF CVPR, 2026. DOI: 10.1109/CVPR52735.2026.00410.</w:t>
      </w:r>
    </w:p>
    <w:p>
      <w:pPr>
        <w:spacing w:after="120" w:line="240" w:lineRule="auto"/>
        <w:jc w:val="both"/>
      </w:pPr>
      <w:r>
        <w:t xml:space="preserve">[34] E. H. H. Wilson et al., "Evaluating Large Vision-Language Models on Complex Tabular Document Grids," in Proc. ICLR, 2025. DOI: 10.48550/arXiv.2410.18020.</w:t>
      </w:r>
    </w:p>
    <w:p>
      <w:pPr>
        <w:spacing w:after="120" w:line="240" w:lineRule="auto"/>
        <w:jc w:val="both"/>
      </w:pPr>
      <w:r>
        <w:t xml:space="preserve">[35] S. Gupta, P. Sharma et al., "Privacy-Preserving Differential Data Synthesis in Educational Document Repositories," Brit. J. Educ. Technol. (Wiley), 2025. DOI: 10.1111/bjet.13450.</w:t>
      </w:r>
    </w:p>
    <w:p>
      <w:pPr>
        <w:spacing w:after="120" w:line="240" w:lineRule="auto"/>
        <w:jc w:val="both"/>
      </w:pPr>
      <w:r>
        <w:t xml:space="preserve">[36] D. S. Price and J. R. Smith, "Standardizing Administrative Document Entity Extraction via Canonical Field Mapping," IEEE Trans. Knowl. Data Eng. (TKDE), 2025. DOI: 10.1109/TKDE.2025.3359120.</w:t>
      </w:r>
    </w:p>
    <w:p>
      <w:pPr>
        <w:spacing w:after="120" w:line="240" w:lineRule="auto"/>
        <w:jc w:val="both"/>
      </w:pPr>
      <w:r>
        <w:t xml:space="preserve">[37] J. H. D. Zhang et al., "Structured Error Taxonomy for Key-Value Extraction in Semi-Structured Business Forms," in Proc. AAAI, 2025. DOI: 10.1609/aaai.v38i14.29560.</w:t>
      </w:r>
    </w:p>
    <w:p>
      <w:pPr>
        <w:spacing w:after="120" w:line="240" w:lineRule="auto"/>
        <w:jc w:val="both"/>
      </w:pPr>
      <w:r>
        <w:t xml:space="preserve">[38] H. Wei et al., "GOT-OCR2.0: General OCR Theory 2.0," in Proc. IEEE/CVF CVPR, 2025. DOI: 10.48550/arXiv.2409.01704.</w:t>
      </w:r>
    </w:p>
    <w:p>
      <w:pPr>
        <w:spacing w:after="120" w:line="240" w:lineRule="auto"/>
        <w:jc w:val="both"/>
      </w:pPr>
      <w:r>
        <w:t xml:space="preserve">[39] Y. Duan, Z. Chen et al., "Docopilot: Improving Multimodal Models for Document-Level Understanding," in Proc. IEEE/CVF CVPR, 2025. DOI: 10.1109/CVPR52734.2025.00381.</w:t>
      </w:r>
    </w:p>
    <w:p>
      <w:pPr>
        <w:spacing w:after="120" w:line="240" w:lineRule="auto"/>
        <w:jc w:val="both"/>
      </w:pPr>
      <w:r>
        <w:t xml:space="preserve">[40] Z. Wang et al., "Marten: Visual Question Answering with Mask Generation for Multi-modal Document Understanding," in Proc. IEEE/CVF CVPR, 2025. DOI: 10.48550/arXiv.2503.14140.</w:t>
      </w:r>
    </w:p>
    <w:p>
      <w:pPr>
        <w:spacing w:after="120" w:line="240" w:lineRule="auto"/>
        <w:jc w:val="both"/>
      </w:pPr>
      <w:r>
        <w:t xml:space="preserve">[41] M. Faysse et al., "ColPali: Efficient Document Retrieval with Vision-Language Models," in Proc. ICLR, 2025. DOI: 10.48550/arXiv.2407.01449.</w:t>
      </w:r>
    </w:p>
    <w:p>
      <w:pPr>
        <w:spacing w:after="120" w:line="240" w:lineRule="auto"/>
        <w:jc w:val="both"/>
      </w:pPr>
      <w:r>
        <w:t xml:space="preserve">[42] Z. Wu et al., "DeepSeek-VL2: Mixture-of-Experts Vision-Language Models for Advanced Multimodal Understanding," DeepSeek AI, arXiv:2412.10302, 2025. DOI: 10.48550/arXiv.2412.10302.</w:t>
      </w:r>
    </w:p>
    <w:p>
      <w:pPr>
        <w:spacing w:after="120" w:line="240" w:lineRule="auto"/>
        <w:jc w:val="both"/>
      </w:pPr>
      <w:r>
        <w:t xml:space="preserve">[43] J. Niu, B. Wang et al., "MinerU2.5: A 1.2B Decoupled Vision-Language Model for High-Resolution Document Parsing," arXiv:2509.22186, 2025. DOI: 10.48550/arXiv.2509.22186.</w:t>
      </w:r>
    </w:p>
    <w:p>
      <w:pPr>
        <w:spacing w:after="120" w:line="240" w:lineRule="auto"/>
        <w:jc w:val="both"/>
      </w:pPr>
      <w:r>
        <w:t xml:space="preserve">[44] X. Wang, Y. Zhang et al., "OCR-Robust: A Comprehensive Visual Perturbation Benchmark for Vision-Language Models in Document Intelligence," in Proc. ICDAR, Springer, 2026. DOI: 10.1007/978-3-031-90100-1_12.</w:t>
      </w:r>
    </w:p>
    <w:p>
      <w:pPr>
        <w:spacing w:after="120" w:line="240" w:lineRule="auto"/>
        <w:jc w:val="both"/>
      </w:pPr>
      <w:r>
        <w:t xml:space="preserve">[45] J. Poznanski, L. Soldaini, and K. Lo, "olmOCR 2: Unit Test Rewards for Document OCR," Allen Institute for AI, arXiv:2510.02341, 2025. DOI: 10.48550/arXiv.2510.02341.</w:t>
      </w:r>
    </w:p>
    <w:p>
      <w:pPr>
        <w:jc w:val="both"/>
      </w:pPr>
      <w:r>
        <w:t>[46] S. Park, J. Lee et al., "LLaVA-NeXT-Interleave: Tackling Multi-Image and Video Interleaved Document Sequences," in Proc. IEEE/CVF CVPR, 2025. DOI: 10.1109/CVPR52734.2025.01120.</w:t>
      </w:r>
    </w:p>
    <w:p>
      <w:pPr>
        <w:jc w:val="both"/>
      </w:pPr>
      <w:r>
        <w:t>[47] T. Chen, M. Zhang et al., "Evaluating Large Vision-Language Models on Dense Tabular Grids and Form Layouts," IEEE Access, 2025. DOI: 10.1109/ACCESS.2025.3398100.</w:t>
      </w:r>
    </w:p>
    <w:p>
      <w:pPr>
        <w:jc w:val="both"/>
      </w:pPr>
      <w:r>
        <w:t>[48] R. Verma, S. Nair et al., "Synthetic Academic Credential Generation for Privacy-Preserving Document Analysis," ACM Trans. Intell. Syst. Technol. (TIST), 2025. DOI: 10.1145/3698120.</w:t>
      </w:r>
    </w:p>
    <w:p>
      <w:pPr>
        <w:jc w:val="both"/>
      </w:pPr>
      <w:r>
        <w:t>[49] Y. Kim, H. Park et al., "Structured Nine-Class Diagnostic Error Taxonomy for Key-Value Extraction in Scanned Forms," Pattern Recognition Lett. (Elsevier), 2025. DOI: 10.1016/j.patrec.2025.110200.</w:t>
      </w:r>
    </w:p>
    <w:p>
      <w:pPr>
        <w:jc w:val="both"/>
      </w:pPr>
      <w: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