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40"/>
        <w:jc w:val="center"/>
      </w:pPr>
      <w:r>
        <w:rPr>
          <w:rFonts w:ascii="Times New Roman" w:hAnsi="Times New Roman"/>
          <w:b/>
          <w:color w:val="0F172A"/>
          <w:sz w:val="36"/>
        </w:rPr>
        <w:t>Academic Universe: An AI-Powered Holistic Student Growth Intelligence Ecosystem</w:t>
      </w:r>
    </w:p>
    <w:p>
      <w:r>
        <w:rPr>
          <w:rFonts w:ascii="Times New Roman" w:hAnsi="Times New Roman"/>
          <w:b/>
          <w:sz w:val="22"/>
        </w:rPr>
        <w:t>Author</w:t>
      </w:r>
      <w:r>
        <w:rPr>
          <w:rFonts w:ascii="Times New Roman" w:hAnsi="Times New Roman"/>
          <w:sz w:val="22"/>
        </w:rPr>
        <w:t xml:space="preserve">: Aashish Rajput et al.  </w:t>
      </w:r>
    </w:p>
    <w:p>
      <w:r>
        <w:rPr>
          <w:rFonts w:ascii="Times New Roman" w:hAnsi="Times New Roman"/>
          <w:b/>
          <w:sz w:val="22"/>
        </w:rPr>
        <w:t>Affiliation</w:t>
      </w:r>
      <w:r>
        <w:rPr>
          <w:rFonts w:ascii="Times New Roman" w:hAnsi="Times New Roman"/>
          <w:sz w:val="22"/>
        </w:rPr>
        <w:t xml:space="preserve">: Sharda University / Academic Universe Research Group  </w:t>
      </w:r>
    </w:p>
    <w:p>
      <w:r>
        <w:rPr>
          <w:rFonts w:ascii="Times New Roman" w:hAnsi="Times New Roman"/>
          <w:b/>
          <w:sz w:val="22"/>
        </w:rPr>
        <w:t>Target Venue</w:t>
      </w:r>
      <w:r>
        <w:rPr>
          <w:rFonts w:ascii="Times New Roman" w:hAnsi="Times New Roman"/>
          <w:sz w:val="22"/>
        </w:rPr>
        <w:t xml:space="preserve">: IEEE Transactions on Learning Technologies / ACM Conference on Human Factors in Computing Systems (CHI) / Educational Data Mining (EDM)  </w:t>
      </w:r>
    </w:p>
    <w:p>
      <w:r>
        <w:rPr>
          <w:rFonts w:ascii="Times New Roman" w:hAnsi="Times New Roman"/>
          <w:b/>
          <w:sz w:val="22"/>
        </w:rPr>
        <w:t>Manuscript Version</w:t>
      </w:r>
      <w:r>
        <w:rPr>
          <w:rFonts w:ascii="Times New Roman" w:hAnsi="Times New Roman"/>
          <w:sz w:val="22"/>
        </w:rPr>
        <w:t xml:space="preserve">: Version 1.0 (Feature-Frozen Architecture &amp; Validated Manuscript Draft)  </w:t>
      </w:r>
    </w:p>
    <w:p>
      <w:pPr>
        <w:spacing w:before="80" w:after="80"/>
      </w:pPr>
    </w:p>
    <w:p>
      <w:pPr>
        <w:keepNext/>
        <w:spacing w:before="280" w:after="120"/>
      </w:pPr>
      <w:r>
        <w:rPr>
          <w:rFonts w:ascii="Times New Roman" w:hAnsi="Times New Roman"/>
          <w:b/>
          <w:color w:val="1E3A8A"/>
          <w:sz w:val="26"/>
        </w:rPr>
        <w:t>Abstract</w:t>
      </w:r>
    </w:p>
    <w:p>
      <w:r>
        <w:rPr>
          <w:rFonts w:ascii="Times New Roman" w:hAnsi="Times New Roman"/>
          <w:sz w:val="22"/>
        </w:rPr>
        <w:t xml:space="preserve">Modern higher education systems struggle to capture, quantify, and nurture student holistic growth due to fragmented academic records, unverified co-curricular artifacts, and the lack of explainable intelligence models. This paper presents </w:t>
      </w:r>
      <w:r>
        <w:rPr>
          <w:rFonts w:ascii="Times New Roman" w:hAnsi="Times New Roman"/>
          <w:b/>
          <w:sz w:val="22"/>
        </w:rPr>
        <w:t>Academic Universe</w:t>
      </w:r>
      <w:r>
        <w:rPr>
          <w:rFonts w:ascii="Times New Roman" w:hAnsi="Times New Roman"/>
          <w:sz w:val="22"/>
        </w:rPr>
        <w:t xml:space="preserve">, an AI-powered, multi-layered student growth intelligence ecosystem. Academic Universe introduces a three-tiered modular architecture: an </w:t>
      </w:r>
      <w:r>
        <w:rPr>
          <w:rFonts w:ascii="Times New Roman" w:hAnsi="Times New Roman"/>
          <w:b/>
          <w:sz w:val="22"/>
        </w:rPr>
        <w:t>Evidence Intelligence Layer</w:t>
      </w:r>
      <w:r>
        <w:rPr>
          <w:rFonts w:ascii="Times New Roman" w:hAnsi="Times New Roman"/>
          <w:sz w:val="22"/>
        </w:rPr>
        <w:t xml:space="preserve"> that standardizes heterogeneous student artifacts (academic transcripts, code repositories, problem-solving logs, and verified credentials), a validated </w:t>
      </w:r>
      <w:r>
        <w:rPr>
          <w:rFonts w:ascii="Times New Roman" w:hAnsi="Times New Roman"/>
          <w:b/>
          <w:sz w:val="22"/>
        </w:rPr>
        <w:t>Skill Intelligence Engine (SIE-1.0)</w:t>
      </w:r>
      <w:r>
        <w:rPr>
          <w:rFonts w:ascii="Times New Roman" w:hAnsi="Times New Roman"/>
          <w:sz w:val="22"/>
        </w:rPr>
        <w:t xml:space="preserve"> that calculates deterministic proficiency (S in [1, 100]) and independent confidence ratings (C in [0.15, 0.99]), and a novel </w:t>
      </w:r>
      <w:r>
        <w:rPr>
          <w:rFonts w:ascii="Times New Roman" w:hAnsi="Times New Roman"/>
          <w:b/>
          <w:sz w:val="22"/>
        </w:rPr>
        <w:t>Growth Intelligence Engine (GIE)</w:t>
      </w:r>
      <w:r>
        <w:rPr>
          <w:rFonts w:ascii="Times New Roman" w:hAnsi="Times New Roman"/>
          <w:sz w:val="22"/>
        </w:rPr>
        <w:t xml:space="preserve"> that models dynamic skill acquisition velocity (μᵥ), projects longitudinal growth trends, and infers multi-dimensional holistic development. By integrating verified course transcripts from the Academic Universe Document Intelligence Layer (AU DIC) with empirical GitHub and LeetCode activity, the ecosystem bridges the gap between institutional academic performance and industry career readiness. We present mathematical formulations, proof-of-concept synthetic simulation benchmarks across diverse student profile archetypes, decay sensitivity analysis, and end-to-end case study scenarios demonstrating how Academic Universe provides transparent, explainable insights for students, academic advisors, and recruiters.</w:t>
      </w:r>
    </w:p>
    <w:p>
      <w:r>
        <w:rPr>
          <w:rFonts w:ascii="Times New Roman" w:hAnsi="Times New Roman"/>
          <w:b/>
          <w:sz w:val="22"/>
        </w:rPr>
        <w:t>Keywords</w:t>
      </w:r>
      <w:r>
        <w:rPr>
          <w:rFonts w:ascii="Times New Roman" w:hAnsi="Times New Roman"/>
          <w:sz w:val="22"/>
        </w:rPr>
        <w:t>: Educational Data Mining, Student Growth Intelligence, Multi-Source Evidence Normalization, Skill Ontology, Explainable AI in Education, Learning Analytics.</w:t>
      </w:r>
    </w:p>
    <w:p>
      <w:pPr>
        <w:spacing w:before="80" w:after="80"/>
      </w:pPr>
    </w:p>
    <w:p>
      <w:pPr>
        <w:keepNext/>
        <w:spacing w:before="280" w:after="120"/>
      </w:pPr>
      <w:r>
        <w:rPr>
          <w:rFonts w:ascii="Times New Roman" w:hAnsi="Times New Roman"/>
          <w:b/>
          <w:color w:val="1E3A8A"/>
          <w:sz w:val="26"/>
        </w:rPr>
        <w:t>1. Introduction</w:t>
      </w:r>
    </w:p>
    <w:p>
      <w:pPr>
        <w:keepNext/>
        <w:spacing w:before="200" w:after="80"/>
      </w:pPr>
      <w:r>
        <w:rPr>
          <w:rFonts w:ascii="Times New Roman" w:hAnsi="Times New Roman"/>
          <w:b/>
          <w:color w:val="0F172A"/>
          <w:sz w:val="23"/>
        </w:rPr>
        <w:t>1.1 Student Growth Challenges in Modern Higher Education</w:t>
      </w:r>
    </w:p>
    <w:p>
      <w:r>
        <w:rPr>
          <w:rFonts w:ascii="Times New Roman" w:hAnsi="Times New Roman"/>
          <w:sz w:val="22"/>
        </w:rPr>
        <w:t>Higher education institutions face an unprecedented challenge in tracking and supporting holistic student development. Traditional evaluation metrics, primarily Grade Point Averages (GPAs) and static transcripts, fail to capture the multi-dimensional growth of students. Critical engineering capabilities—such as practical software architecture, problem-solving agility, open-source contributions, and collaborative project management—remain invisible in standard academic reporting.</w:t>
      </w:r>
    </w:p>
    <w:p>
      <w:r>
        <w:rPr>
          <w:rFonts w:ascii="Times New Roman" w:hAnsi="Times New Roman"/>
          <w:sz w:val="22"/>
        </w:rPr>
        <w:t>Furthermore, students often accumulate disparate digital artifacts across disconnected platforms (GitHub repositories, LeetCode competitive programming stats, professional certificates, and university portal logs). Without a unified intelligence model, these artifacts remain unverified, unorganized, and difficult for recruiters and academic advisors to interpret.</w:t>
      </w:r>
    </w:p>
    <w:p>
      <w:pPr>
        <w:keepNext/>
        <w:spacing w:before="200" w:after="80"/>
      </w:pPr>
      <w:r>
        <w:rPr>
          <w:rFonts w:ascii="Times New Roman" w:hAnsi="Times New Roman"/>
          <w:b/>
          <w:color w:val="0F172A"/>
          <w:sz w:val="23"/>
        </w:rPr>
        <w:t>1.2 The Need for Unified Growth Intelligence</w:t>
      </w:r>
    </w:p>
    <w:p>
      <w:r>
        <w:rPr>
          <w:rFonts w:ascii="Times New Roman" w:hAnsi="Times New Roman"/>
          <w:sz w:val="22"/>
        </w:rPr>
        <w:t>To address these limitations, educational environments require an explainable, deterministic, and evidence-based growth intelligence model that:</w:t>
      </w:r>
    </w:p>
    <w:p>
      <w:r>
        <w:rPr>
          <w:rFonts w:ascii="Times New Roman" w:hAnsi="Times New Roman"/>
          <w:sz w:val="22"/>
        </w:rPr>
        <w:t xml:space="preserve">1. </w:t>
      </w:r>
      <w:r>
        <w:rPr>
          <w:rFonts w:ascii="Times New Roman" w:hAnsi="Times New Roman"/>
          <w:b/>
          <w:sz w:val="22"/>
        </w:rPr>
        <w:t>Normalizes Heterogeneous Evidence</w:t>
      </w:r>
      <w:r>
        <w:rPr>
          <w:rFonts w:ascii="Times New Roman" w:hAnsi="Times New Roman"/>
          <w:sz w:val="22"/>
        </w:rPr>
        <w:t>: Combines official institutional transcripts with non-academic technical activity without compromising evidence provenance or reliability.</w:t>
      </w:r>
    </w:p>
    <w:p>
      <w:r>
        <w:rPr>
          <w:rFonts w:ascii="Times New Roman" w:hAnsi="Times New Roman"/>
          <w:sz w:val="22"/>
        </w:rPr>
        <w:t xml:space="preserve">2. </w:t>
      </w:r>
      <w:r>
        <w:rPr>
          <w:rFonts w:ascii="Times New Roman" w:hAnsi="Times New Roman"/>
          <w:b/>
          <w:sz w:val="22"/>
        </w:rPr>
        <w:t>Decouples Proficiency from Confidence</w:t>
      </w:r>
      <w:r>
        <w:rPr>
          <w:rFonts w:ascii="Times New Roman" w:hAnsi="Times New Roman"/>
          <w:sz w:val="22"/>
        </w:rPr>
        <w:t>: Separates a student's technical mastery level from the certainty and freshness of the supporting evidence.</w:t>
      </w:r>
    </w:p>
    <w:p>
      <w:r>
        <w:rPr>
          <w:rFonts w:ascii="Times New Roman" w:hAnsi="Times New Roman"/>
          <w:sz w:val="22"/>
        </w:rPr>
        <w:t xml:space="preserve">3. </w:t>
      </w:r>
      <w:r>
        <w:rPr>
          <w:rFonts w:ascii="Times New Roman" w:hAnsi="Times New Roman"/>
          <w:b/>
          <w:sz w:val="22"/>
        </w:rPr>
        <w:t>Models Dynamic Growth Trajectories</w:t>
      </w:r>
      <w:r>
        <w:rPr>
          <w:rFonts w:ascii="Times New Roman" w:hAnsi="Times New Roman"/>
          <w:sz w:val="22"/>
        </w:rPr>
        <w:t>: Evaluates dynamic velocity, skill decay, and cross-domain skill relationships over time rather than presenting static snapshots.</w:t>
      </w:r>
    </w:p>
    <w:p>
      <w:r>
        <w:rPr>
          <w:rFonts w:ascii="Times New Roman" w:hAnsi="Times New Roman"/>
          <w:sz w:val="22"/>
        </w:rPr>
        <w:t xml:space="preserve">4. </w:t>
      </w:r>
      <w:r>
        <w:rPr>
          <w:rFonts w:ascii="Times New Roman" w:hAnsi="Times New Roman"/>
          <w:b/>
          <w:sz w:val="22"/>
        </w:rPr>
        <w:t>Maintains Auditability &amp; Transparency</w:t>
      </w:r>
      <w:r>
        <w:rPr>
          <w:rFonts w:ascii="Times New Roman" w:hAnsi="Times New Roman"/>
          <w:sz w:val="22"/>
        </w:rPr>
        <w:t>: Provides verifiable proof for recruiters and actionable developmental guidance for academic advisors.</w:t>
      </w:r>
    </w:p>
    <w:p>
      <w:pPr>
        <w:keepNext/>
        <w:spacing w:before="200" w:after="80"/>
      </w:pPr>
      <w:r>
        <w:rPr>
          <w:rFonts w:ascii="Times New Roman" w:hAnsi="Times New Roman"/>
          <w:b/>
          <w:color w:val="0F172A"/>
          <w:sz w:val="23"/>
        </w:rPr>
        <w:t>1.3 The Academic Universe Vision</w:t>
      </w:r>
    </w:p>
    <w:p>
      <w:r>
        <w:rPr>
          <w:rFonts w:ascii="Times New Roman" w:hAnsi="Times New Roman"/>
          <w:b/>
          <w:sz w:val="22"/>
        </w:rPr>
        <w:t>Academic Universe</w:t>
      </w:r>
      <w:r>
        <w:rPr>
          <w:rFonts w:ascii="Times New Roman" w:hAnsi="Times New Roman"/>
          <w:sz w:val="22"/>
        </w:rPr>
        <w:t xml:space="preserve"> is conceived as a modular, research-grade AI ecosystem designed to foster student self-sovereign learning profiles, explainable skill analytics, and AI-assisted academic advising. Building upon the Document Intelligence Layer (AU DIC) established in prior work, this paper introduces the broader ecosystem architecture and focuses primarily on the </w:t>
      </w:r>
      <w:r>
        <w:rPr>
          <w:rFonts w:ascii="Times New Roman" w:hAnsi="Times New Roman"/>
          <w:b/>
          <w:sz w:val="22"/>
        </w:rPr>
        <w:t>Growth Intelligence Engine (GIE)</w:t>
      </w:r>
      <w:r>
        <w:rPr>
          <w:rFonts w:ascii="Times New Roman" w:hAnsi="Times New Roman"/>
          <w:sz w:val="22"/>
        </w:rPr>
        <w:t xml:space="preserve"> as the central dynamic intelligence mechanism.</w:t>
      </w:r>
    </w:p>
    <w:p>
      <w:pPr>
        <w:spacing w:before="80" w:after="80"/>
      </w:pPr>
    </w:p>
    <w:p>
      <w:pPr>
        <w:keepNext/>
        <w:spacing w:before="280" w:after="120"/>
      </w:pPr>
      <w:r>
        <w:rPr>
          <w:rFonts w:ascii="Times New Roman" w:hAnsi="Times New Roman"/>
          <w:b/>
          <w:color w:val="1E3A8A"/>
          <w:sz w:val="26"/>
        </w:rPr>
        <w:t>2. Academic Universe Architecture</w:t>
      </w:r>
    </w:p>
    <w:p>
      <w:r>
        <w:rPr>
          <w:rFonts w:ascii="Times New Roman" w:hAnsi="Times New Roman"/>
          <w:sz w:val="22"/>
        </w:rPr>
        <w:t>Academic Universe separates raw evidence ingestion from skill evaluation and dynamic growth modeling through an explicit, one-way 3-tier intelligence pipeline:</w:t>
      </w:r>
    </w:p>
    <w:p>
      <w:pPr>
        <w:keepNext/>
        <w:spacing w:before="240" w:after="80"/>
        <w:jc w:val="center"/>
      </w:pPr>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Figure1_Architecture_Pipeline.png"/>
                    <pic:cNvPicPr/>
                  </pic:nvPicPr>
                  <pic:blipFill>
                    <a:blip r:embed="rId9"/>
                    <a:stretch>
                      <a:fillRect/>
                    </a:stretch>
                  </pic:blipFill>
                  <pic:spPr>
                    <a:xfrm>
                      <a:off x="0" y="0"/>
                      <a:ext cx="5669280" cy="3378662"/>
                    </a:xfrm>
                    <a:prstGeom prst="rect"/>
                  </pic:spPr>
                </pic:pic>
              </a:graphicData>
            </a:graphic>
          </wp:inline>
        </w:drawing>
      </w:r>
    </w:p>
    <w:p>
      <w:pPr>
        <w:keepNext/>
        <w:spacing w:after="240"/>
        <w:jc w:val="center"/>
      </w:pPr>
      <w:r>
        <w:rPr>
          <w:rFonts w:ascii="Times New Roman" w:hAnsi="Times New Roman"/>
          <w:b/>
          <w:sz w:val="18"/>
        </w:rPr>
        <w:t xml:space="preserve">Fig. 1. </w:t>
      </w:r>
      <w:r>
        <w:rPr>
          <w:rFonts w:ascii="Times New Roman" w:hAnsi="Times New Roman"/>
          <w:color w:val="475569"/>
          <w:sz w:val="18"/>
        </w:rPr>
        <w:t>High-level architectural pipeline of the Academic Universe Growth Intelligence Ecosystem.</w:t>
      </w:r>
    </w:p>
    <w:p>
      <w:pPr>
        <w:keepNext/>
        <w:spacing w:before="200" w:after="80"/>
      </w:pPr>
      <w:r>
        <w:rPr>
          <w:rFonts w:ascii="Times New Roman" w:hAnsi="Times New Roman"/>
          <w:b/>
          <w:color w:val="0F172A"/>
          <w:sz w:val="23"/>
        </w:rPr>
        <w:t>2.1 Layer Breakdown</w:t>
      </w:r>
    </w:p>
    <w:p>
      <w:r>
        <w:rPr>
          <w:rFonts w:ascii="Times New Roman" w:hAnsi="Times New Roman"/>
          <w:sz w:val="22"/>
        </w:rPr>
        <w:t xml:space="preserve">1. </w:t>
      </w:r>
      <w:r>
        <w:rPr>
          <w:rFonts w:ascii="Times New Roman" w:hAnsi="Times New Roman"/>
          <w:b/>
          <w:sz w:val="22"/>
        </w:rPr>
        <w:t>Evidence Intelligence Layer</w:t>
      </w:r>
      <w:r>
        <w:rPr>
          <w:rFonts w:ascii="Times New Roman" w:hAnsi="Times New Roman"/>
          <w:sz w:val="22"/>
        </w:rPr>
        <w:t xml:space="preserve">: Ingests multi-source student artifacts and standardizes them into immutable </w:t>
      </w:r>
      <w:r>
        <w:rPr>
          <w:rFonts w:ascii="Courier New" w:hAnsi="Courier New"/>
          <w:color w:val="1E293B"/>
          <w:sz w:val="20"/>
        </w:rPr>
        <w:t>SkillEvidence</w:t>
      </w:r>
      <w:r>
        <w:rPr>
          <w:rFonts w:ascii="Times New Roman" w:hAnsi="Times New Roman"/>
          <w:sz w:val="22"/>
        </w:rPr>
        <w:t xml:space="preserve"> records. Each evidence source is assigned an explicit reliability coefficient (W_source), ranging from official institutional transcripts (W=1.00) to manual entries (W=0.40).</w:t>
      </w:r>
    </w:p>
    <w:p>
      <w:r>
        <w:rPr>
          <w:rFonts w:ascii="Times New Roman" w:hAnsi="Times New Roman"/>
          <w:sz w:val="22"/>
        </w:rPr>
        <w:t xml:space="preserve">2. </w:t>
      </w:r>
      <w:r>
        <w:rPr>
          <w:rFonts w:ascii="Times New Roman" w:hAnsi="Times New Roman"/>
          <w:b/>
          <w:sz w:val="22"/>
        </w:rPr>
        <w:t>Skill Intelligence Engine (SIE-1.0)</w:t>
      </w:r>
      <w:r>
        <w:rPr>
          <w:rFonts w:ascii="Times New Roman" w:hAnsi="Times New Roman"/>
          <w:sz w:val="22"/>
        </w:rPr>
        <w:t>: A feature-frozen, validated subsystem that classifies skills into a 10-tier hierarchical taxonomy, computes explainable proficiency scores (S in [1, 100]), and calculates independent confidence ratings (C in [0.15, 0.99]).</w:t>
      </w:r>
    </w:p>
    <w:p>
      <w:r>
        <w:rPr>
          <w:rFonts w:ascii="Times New Roman" w:hAnsi="Times New Roman"/>
          <w:sz w:val="22"/>
        </w:rPr>
        <w:t xml:space="preserve">3. </w:t>
      </w:r>
      <w:r>
        <w:rPr>
          <w:rFonts w:ascii="Times New Roman" w:hAnsi="Times New Roman"/>
          <w:b/>
          <w:sz w:val="22"/>
        </w:rPr>
        <w:t>Growth Intelligence Engine (GIE)</w:t>
      </w:r>
      <w:r>
        <w:rPr>
          <w:rFonts w:ascii="Times New Roman" w:hAnsi="Times New Roman"/>
          <w:sz w:val="22"/>
        </w:rPr>
        <w:t>: The primary research focus of this paper. GIE consumes the structured outputs of SIE-1.0 to compute skill acquisition velocity (μᵥ), model Directed Acyclic Graph (DAG) skill relationships, and project career readiness trajectories.</w:t>
      </w:r>
    </w:p>
    <w:p>
      <w:r>
        <w:rPr>
          <w:rFonts w:ascii="Times New Roman" w:hAnsi="Times New Roman"/>
          <w:sz w:val="22"/>
        </w:rPr>
        <w:t xml:space="preserve">4. </w:t>
      </w:r>
      <w:r>
        <w:rPr>
          <w:rFonts w:ascii="Times New Roman" w:hAnsi="Times New Roman"/>
          <w:b/>
          <w:sz w:val="22"/>
        </w:rPr>
        <w:t>Application Services Layer</w:t>
      </w:r>
      <w:r>
        <w:rPr>
          <w:rFonts w:ascii="Times New Roman" w:hAnsi="Times New Roman"/>
          <w:sz w:val="22"/>
        </w:rPr>
        <w:t>: Delivers student dashboards, recruiter proof reports, and academic advisor guidance portals.</w:t>
      </w:r>
    </w:p>
    <w:p>
      <w:pPr>
        <w:spacing w:before="80" w:after="80"/>
      </w:pPr>
    </w:p>
    <w:p>
      <w:pPr>
        <w:keepNext/>
        <w:spacing w:before="280" w:after="120"/>
      </w:pPr>
      <w:r>
        <w:rPr>
          <w:rFonts w:ascii="Times New Roman" w:hAnsi="Times New Roman"/>
          <w:b/>
          <w:color w:val="1E3A8A"/>
          <w:sz w:val="26"/>
        </w:rPr>
        <w:t>3. Growth Intelligence Engine (GIE)</w:t>
      </w:r>
    </w:p>
    <w:p>
      <w:pPr>
        <w:keepNext/>
        <w:spacing w:before="200" w:after="80"/>
      </w:pPr>
      <w:r>
        <w:rPr>
          <w:rFonts w:ascii="Times New Roman" w:hAnsi="Times New Roman"/>
          <w:b/>
          <w:color w:val="0F172A"/>
          <w:sz w:val="23"/>
        </w:rPr>
        <w:t>3.1 GIE Architecture &amp; Objectives</w:t>
      </w:r>
    </w:p>
    <w:p>
      <w:r>
        <w:rPr>
          <w:rFonts w:ascii="Times New Roman" w:hAnsi="Times New Roman"/>
          <w:sz w:val="22"/>
        </w:rPr>
        <w:t xml:space="preserve">While SIE-1.0 provides static point-in-time skill evaluations, the </w:t>
      </w:r>
      <w:r>
        <w:rPr>
          <w:rFonts w:ascii="Times New Roman" w:hAnsi="Times New Roman"/>
          <w:b/>
          <w:sz w:val="22"/>
        </w:rPr>
        <w:t>Growth Intelligence Engine (GIE)</w:t>
      </w:r>
      <w:r>
        <w:rPr>
          <w:rFonts w:ascii="Times New Roman" w:hAnsi="Times New Roman"/>
          <w:sz w:val="22"/>
        </w:rPr>
        <w:t xml:space="preserve"> models longitudinal student development. GIE analyzes how skills evolve across consecutive academic terms, identifies cross-skill synergies, and models skill decay during periods of inactivity.</w:t>
      </w:r>
    </w:p>
    <w:p>
      <w:pPr>
        <w:keepNext/>
        <w:spacing w:before="200" w:after="80"/>
      </w:pPr>
      <w:r>
        <w:rPr>
          <w:rFonts w:ascii="Times New Roman" w:hAnsi="Times New Roman"/>
          <w:b/>
          <w:color w:val="0F172A"/>
          <w:sz w:val="23"/>
        </w:rPr>
        <w:t>3.2 Mathematical Formulation of Growth Metrics</w:t>
      </w:r>
    </w:p>
    <w:p>
      <w:pPr>
        <w:keepNext/>
        <w:spacing w:before="160" w:after="40"/>
      </w:pPr>
      <w:r>
        <w:rPr>
          <w:rFonts w:ascii="Times New Roman" w:hAnsi="Times New Roman"/>
          <w:b/>
          <w:i/>
          <w:color w:val="334155"/>
          <w:sz w:val="22"/>
        </w:rPr>
        <w:t>3.2.1 Skill Acquisition Velocity (μᵥ)</w:t>
      </w:r>
    </w:p>
    <w:p>
      <w:r>
        <w:rPr>
          <w:rFonts w:ascii="Times New Roman" w:hAnsi="Times New Roman"/>
          <w:sz w:val="22"/>
        </w:rPr>
        <w:t>Skill velocity measures the rate of proficiency gain for a specific skill over a time interval Δ t (in months):</w:t>
      </w:r>
    </w:p>
    <w:p>
      <w:pPr>
        <w:keepNext/>
        <w:spacing w:before="160" w:after="40"/>
        <w:jc w:val="center"/>
      </w:pPr>
      <m:oMathPara>
        <m:oMath>
          <m:r>
            <m:rPr>
              <m:sty m:val="p"/>
            </m:rPr>
            <m:t>μ</m:t>
          </m:r>
          <m:sSub>
            <m:e>
              <m:r>
                <m:t/>
              </m:r>
            </m:e>
            <m:sub>
              <m:r>
                <m:t>v</m:t>
              </m:r>
            </m:sub>
          </m:sSub>
          <m:r>
            <m:t> = </m:t>
          </m:r>
          <m:f>
            <m:num>
              <m:r>
                <m:t>S(t</m:t>
              </m:r>
              <m:sSub>
                <m:e>
                  <m:r>
                    <m:t/>
                  </m:r>
                </m:e>
                <m:sub>
                  <m:r>
                    <m:t>2</m:t>
                  </m:r>
                </m:sub>
              </m:sSub>
              <m:r>
                <m:t>) − S(t</m:t>
              </m:r>
              <m:sSub>
                <m:e>
                  <m:r>
                    <m:t/>
                  </m:r>
                </m:e>
                <m:sub>
                  <m:r>
                    <m:t>1</m:t>
                  </m:r>
                </m:sub>
              </m:sSub>
              <m:r>
                <m:t>)</m:t>
              </m:r>
            </m:num>
            <m:den>
              <m:r>
                <m:t>Δt</m:t>
              </m:r>
            </m:den>
          </m:f>
        </m:oMath>
      </m:oMathPara>
    </w:p>
    <w:p>
      <w:pPr>
        <w:spacing w:before="0" w:after="120"/>
        <w:jc w:val="right"/>
      </w:pPr>
      <w:r>
        <w:rPr>
          <w:rFonts w:ascii="Times New Roman" w:hAnsi="Times New Roman"/>
          <w:color w:val="475569"/>
          <w:sz w:val="20"/>
        </w:rPr>
        <w:t>(1)</w:t>
      </w:r>
    </w:p>
    <w:p>
      <w:r>
        <w:rPr>
          <w:rFonts w:ascii="Times New Roman" w:hAnsi="Times New Roman"/>
          <w:sz w:val="22"/>
        </w:rPr>
        <w:t>Where S(t₁) and S(t₂) represent the SIE-1.0 proficiency scores at time boundaries t₁ and t₂.</w:t>
      </w:r>
    </w:p>
    <w:p>
      <w:pPr>
        <w:keepNext/>
        <w:spacing w:before="160" w:after="40"/>
      </w:pPr>
      <w:r>
        <w:rPr>
          <w:rFonts w:ascii="Times New Roman" w:hAnsi="Times New Roman"/>
          <w:b/>
          <w:i/>
          <w:color w:val="334155"/>
          <w:sz w:val="22"/>
        </w:rPr>
        <w:t>3.2.2 Holistic Growth Index (H)</w:t>
      </w:r>
    </w:p>
    <w:p>
      <w:r>
        <w:rPr>
          <w:rFonts w:ascii="Times New Roman" w:hAnsi="Times New Roman"/>
          <w:sz w:val="22"/>
        </w:rPr>
        <w:t>The overall holistic growth index H in [1, 100] aggregates multi-dimensional proficiency across all 10 taxonomy categories, weighted by category confidence and domain curriculum relevance:</w:t>
      </w:r>
    </w:p>
    <w:p>
      <w:pPr>
        <w:keepNext/>
        <w:spacing w:before="160" w:after="40"/>
        <w:jc w:val="center"/>
      </w:pPr>
      <m:oMathPara>
        <m:oMath>
          <m:r>
            <m:t>H = </m:t>
          </m:r>
          <m:f>
            <m:num>
              <m:nary>
                <m:naryPr>
                  <m:chr m:val="∑"/>
                  <m:limLoc m:val="undOvr"/>
                </m:naryPr>
                <m:sub>
                  <m:r>
                    <m:t>k=1</m:t>
                  </m:r>
                </m:sub>
                <m:sup>
                  <m:r>
                    <m:t>K</m:t>
                  </m:r>
                </m:sup>
                <m:e>
                  <m:r>
                    <m:t>( S̄</m:t>
                  </m:r>
                  <m:sSub>
                    <m:e>
                      <m:r>
                        <m:t/>
                      </m:r>
                    </m:e>
                    <m:sub>
                      <m:r>
                        <m:t>k</m:t>
                      </m:r>
                    </m:sub>
                  </m:sSub>
                  <m:r>
                    <m:t> · C̄</m:t>
                  </m:r>
                  <m:sSub>
                    <m:e>
                      <m:r>
                        <m:t/>
                      </m:r>
                    </m:e>
                    <m:sub>
                      <m:r>
                        <m:t>k</m:t>
                      </m:r>
                    </m:sub>
                  </m:sSub>
                  <m:r>
                    <m:t> · w</m:t>
                  </m:r>
                  <m:sSub>
                    <m:e>
                      <m:r>
                        <m:t/>
                      </m:r>
                    </m:e>
                    <m:sub>
                      <m:r>
                        <m:t>k</m:t>
                      </m:r>
                    </m:sub>
                  </m:sSub>
                  <m:r>
                    <m:t> )</m:t>
                  </m:r>
                </m:e>
              </m:nary>
            </m:num>
            <m:den>
              <m:nary>
                <m:naryPr>
                  <m:chr m:val="∑"/>
                  <m:limLoc m:val="undOvr"/>
                </m:naryPr>
                <m:sub>
                  <m:r>
                    <m:t>k=1</m:t>
                  </m:r>
                </m:sub>
                <m:sup>
                  <m:r>
                    <m:t>K</m:t>
                  </m:r>
                </m:sup>
                <m:e>
                  <m:r>
                    <m:t>( C̄</m:t>
                  </m:r>
                  <m:sSub>
                    <m:e>
                      <m:r>
                        <m:t/>
                      </m:r>
                    </m:e>
                    <m:sub>
                      <m:r>
                        <m:t>k</m:t>
                      </m:r>
                    </m:sub>
                  </m:sSub>
                  <m:r>
                    <m:t> · w</m:t>
                  </m:r>
                  <m:sSub>
                    <m:e>
                      <m:r>
                        <m:t/>
                      </m:r>
                    </m:e>
                    <m:sub>
                      <m:r>
                        <m:t>k</m:t>
                      </m:r>
                    </m:sub>
                  </m:sSub>
                  <m:r>
                    <m:t> ) + ε</m:t>
                  </m:r>
                </m:e>
              </m:nary>
            </m:den>
          </m:f>
        </m:oMath>
      </m:oMathPara>
    </w:p>
    <w:p>
      <w:pPr>
        <w:spacing w:before="0" w:after="120"/>
        <w:jc w:val="right"/>
      </w:pPr>
      <w:r>
        <w:rPr>
          <w:rFonts w:ascii="Times New Roman" w:hAnsi="Times New Roman"/>
          <w:color w:val="475569"/>
          <w:sz w:val="20"/>
        </w:rPr>
        <w:t>(2)</w:t>
      </w:r>
    </w:p>
    <w:p>
      <w:r>
        <w:rPr>
          <w:rFonts w:ascii="Times New Roman" w:hAnsi="Times New Roman"/>
          <w:sz w:val="22"/>
        </w:rPr>
        <w:t>Where {S}_k is the average proficiency in taxonomy category k, {C}_k is the category confidence, w_k is the domain curriculum weight, and ε = 10^-6 is a non-zero smoothing constant preventing division by zero when total confidence is negligible.</w:t>
      </w:r>
    </w:p>
    <w:p>
      <w:pPr>
        <w:keepNext/>
        <w:spacing w:before="160" w:after="40"/>
      </w:pPr>
      <w:r>
        <w:rPr>
          <w:rFonts w:ascii="Times New Roman" w:hAnsi="Times New Roman"/>
          <w:b/>
          <w:i/>
          <w:color w:val="334155"/>
          <w:sz w:val="22"/>
        </w:rPr>
        <w:t>3.2.3 Non-Linear Skill Decay Model (delta)</w:t>
      </w:r>
    </w:p>
    <w:p>
      <w:r>
        <w:rPr>
          <w:rFonts w:ascii="Times New Roman" w:hAnsi="Times New Roman"/>
          <w:sz w:val="22"/>
        </w:rPr>
        <w:t>When no new verified evidence is recorded for a skill over extended periods (t &gt; 6  months), GIE models exponential proficiency decay:</w:t>
      </w:r>
    </w:p>
    <w:p>
      <w:pPr>
        <w:keepNext/>
        <w:spacing w:before="160" w:after="40"/>
        <w:jc w:val="center"/>
      </w:pPr>
      <m:oMathPara>
        <m:oMath>
          <m:r>
            <m:t>S</m:t>
          </m:r>
          <m:sSub>
            <m:e>
              <m:r>
                <m:t/>
              </m:r>
            </m:e>
            <m:sub>
              <m:r>
                <m:t>decayed</m:t>
              </m:r>
            </m:sub>
          </m:sSub>
          <m:r>
            <m:t>(t) = S</m:t>
          </m:r>
          <m:sSub>
            <m:e>
              <m:r>
                <m:t/>
              </m:r>
            </m:e>
            <m:sub>
              <m:r>
                <m:t>0</m:t>
              </m:r>
            </m:sub>
          </m:sSub>
          <m:r>
            <m:t> · e</m:t>
          </m:r>
          <m:sSup>
            <m:e>
              <m:r>
                <m:t/>
              </m:r>
            </m:e>
            <m:sup>
              <m:r>
                <m:t>-λ(t - t</m:t>
              </m:r>
              <m:sSub>
                <m:e>
                  <m:r>
                    <m:t/>
                  </m:r>
                </m:e>
                <m:sub>
                  <m:r>
                    <m:t>last</m:t>
                  </m:r>
                </m:sub>
              </m:sSub>
              <m:r>
                <m:t>)</m:t>
              </m:r>
            </m:sup>
          </m:sSup>
        </m:oMath>
      </m:oMathPara>
    </w:p>
    <w:p>
      <w:pPr>
        <w:spacing w:before="0" w:after="120"/>
        <w:jc w:val="right"/>
      </w:pPr>
      <w:r>
        <w:rPr>
          <w:rFonts w:ascii="Times New Roman" w:hAnsi="Times New Roman"/>
          <w:color w:val="475569"/>
          <w:sz w:val="20"/>
        </w:rPr>
        <w:t>(3)</w:t>
      </w:r>
    </w:p>
    <w:p>
      <w:r>
        <w:rPr>
          <w:rFonts w:ascii="Times New Roman" w:hAnsi="Times New Roman"/>
          <w:sz w:val="22"/>
        </w:rPr>
        <w:t>Where S₀ is the initial proficiency, t - t_last is the duration of inactivity in months, and λ = 0.03  month^-1 is the baseline technical skill decay coefficient.</w:t>
      </w:r>
    </w:p>
    <w:p>
      <w:pPr>
        <w:keepNext/>
        <w:spacing w:before="200" w:after="80"/>
      </w:pPr>
      <w:r>
        <w:rPr>
          <w:rFonts w:ascii="Times New Roman" w:hAnsi="Times New Roman"/>
          <w:b/>
          <w:color w:val="0F172A"/>
          <w:sz w:val="23"/>
        </w:rPr>
        <w:t>3.3 Skill Relationship Graph (DAG)</w:t>
      </w:r>
    </w:p>
    <w:p>
      <w:r>
        <w:rPr>
          <w:rFonts w:ascii="Times New Roman" w:hAnsi="Times New Roman"/>
          <w:sz w:val="22"/>
        </w:rPr>
        <w:t>GIE constructs an inferential Directed Acyclic Graph (DAG) G = (V, E) connecting dependent technologies. For instance:</w:t>
      </w:r>
    </w:p>
    <w:p>
      <w:pPr>
        <w:keepNext/>
        <w:spacing w:before="160" w:after="40"/>
        <w:jc w:val="center"/>
      </w:pPr>
      <m:oMathPara>
        <m:oMath>
          <m:r>
            <m:t>Next.js  ──(depends on)──►  React  ──(depends on)──►  JavaScript</m:t>
          </m:r>
        </m:oMath>
      </m:oMathPara>
    </w:p>
    <w:p>
      <w:pPr>
        <w:spacing w:before="0" w:after="120"/>
        <w:jc w:val="right"/>
      </w:pPr>
      <w:r>
        <w:rPr>
          <w:rFonts w:ascii="Times New Roman" w:hAnsi="Times New Roman"/>
          <w:color w:val="475569"/>
          <w:sz w:val="20"/>
        </w:rPr>
        <w:t>(4)</w:t>
      </w:r>
    </w:p>
    <w:p>
      <w:pPr>
        <w:keepNext/>
        <w:spacing w:before="160" w:after="40"/>
        <w:jc w:val="center"/>
      </w:pPr>
      <m:oMathPara>
        <m:oMath>
          <m:r>
            <m:t>NestJS  ──(depends on)──►  Node.js  ──(depends on)──►  TypeScript</m:t>
          </m:r>
        </m:oMath>
      </m:oMathPara>
    </w:p>
    <w:p>
      <w:pPr>
        <w:spacing w:before="0" w:after="120"/>
        <w:jc w:val="right"/>
      </w:pPr>
      <w:r>
        <w:rPr>
          <w:rFonts w:ascii="Times New Roman" w:hAnsi="Times New Roman"/>
          <w:color w:val="475569"/>
          <w:sz w:val="20"/>
        </w:rPr>
        <w:t>(5)</w:t>
      </w:r>
    </w:p>
    <w:p>
      <w:r>
        <w:rPr>
          <w:rFonts w:ascii="Times New Roman" w:hAnsi="Times New Roman"/>
          <w:sz w:val="22"/>
        </w:rPr>
        <w:t xml:space="preserve">When a student demonstrates high proficiency (S ≥ 70%) in a parent framework (e.g. </w:t>
      </w:r>
      <w:r>
        <w:rPr>
          <w:rFonts w:ascii="Courier New" w:hAnsi="Courier New"/>
          <w:color w:val="1E293B"/>
          <w:sz w:val="20"/>
        </w:rPr>
        <w:t>Next.js</w:t>
      </w:r>
      <w:r>
        <w:rPr>
          <w:rFonts w:ascii="Times New Roman" w:hAnsi="Times New Roman"/>
          <w:sz w:val="22"/>
        </w:rPr>
        <w:t>), GIE automatically infers prerequisite foundation readiness in child skills (</w:t>
      </w:r>
      <w:r>
        <w:rPr>
          <w:rFonts w:ascii="Courier New" w:hAnsi="Courier New"/>
          <w:color w:val="1E293B"/>
          <w:sz w:val="20"/>
        </w:rPr>
        <w:t>React</w:t>
      </w:r>
      <w:r>
        <w:rPr>
          <w:rFonts w:ascii="Times New Roman" w:hAnsi="Times New Roman"/>
          <w:sz w:val="22"/>
        </w:rPr>
        <w:t xml:space="preserve">, </w:t>
      </w:r>
      <w:r>
        <w:rPr>
          <w:rFonts w:ascii="Courier New" w:hAnsi="Courier New"/>
          <w:color w:val="1E293B"/>
          <w:sz w:val="20"/>
        </w:rPr>
        <w:t>TypeScript</w:t>
      </w:r>
      <w:r>
        <w:rPr>
          <w:rFonts w:ascii="Times New Roman" w:hAnsi="Times New Roman"/>
          <w:sz w:val="22"/>
        </w:rPr>
        <w:t>), elevating their confidence score.</w:t>
      </w:r>
    </w:p>
    <w:p>
      <w:pPr>
        <w:spacing w:before="80" w:after="80"/>
      </w:pPr>
    </w:p>
    <w:p>
      <w:pPr>
        <w:keepNext/>
        <w:spacing w:before="280" w:after="120"/>
      </w:pPr>
      <w:r>
        <w:rPr>
          <w:rFonts w:ascii="Times New Roman" w:hAnsi="Times New Roman"/>
          <w:b/>
          <w:color w:val="1E3A8A"/>
          <w:sz w:val="26"/>
        </w:rPr>
        <w:t>4. Integration with AU DIC Layer</w:t>
      </w:r>
    </w:p>
    <w:p>
      <w:r>
        <w:rPr>
          <w:rFonts w:ascii="Times New Roman" w:hAnsi="Times New Roman"/>
          <w:sz w:val="22"/>
        </w:rPr>
        <w:t xml:space="preserve">Academic Universe integrates with the </w:t>
      </w:r>
      <w:r>
        <w:rPr>
          <w:rFonts w:ascii="Times New Roman" w:hAnsi="Times New Roman"/>
          <w:b/>
          <w:sz w:val="22"/>
        </w:rPr>
        <w:t>Academic Universe Document Intelligence Layer (AU DIC)</w:t>
      </w:r>
      <w:r>
        <w:rPr>
          <w:rFonts w:ascii="Times New Roman" w:hAnsi="Times New Roman"/>
          <w:sz w:val="22"/>
        </w:rPr>
        <w:t xml:space="preserve"> to extract verified academic performance data from university portals (Sharda University Ezone) and official transcripts.</w:t>
      </w:r>
    </w:p>
    <w:p>
      <w:pPr>
        <w:keepNext/>
        <w:spacing w:before="200" w:after="80"/>
      </w:pPr>
      <w:r>
        <w:rPr>
          <w:rFonts w:ascii="Times New Roman" w:hAnsi="Times New Roman"/>
          <w:b/>
          <w:color w:val="0F172A"/>
          <w:sz w:val="23"/>
        </w:rPr>
        <w:t>4.1 Provenance &amp; Trust Hierarchy</w:t>
      </w:r>
    </w:p>
    <w:p>
      <w:r>
        <w:rPr>
          <w:rFonts w:ascii="Times New Roman" w:hAnsi="Times New Roman"/>
          <w:sz w:val="22"/>
        </w:rPr>
        <w:t xml:space="preserve">AU DIC outputs carry the highest source reliability weight (W_AU_DIC = 1.00). When AU DIC extracts an "A+" grade in Course </w:t>
      </w:r>
      <w:r>
        <w:rPr>
          <w:rFonts w:ascii="Times New Roman" w:hAnsi="Times New Roman"/>
          <w:i/>
          <w:sz w:val="22"/>
        </w:rPr>
        <w:t>CS101: Data Structures &amp; Algorithms</w:t>
      </w:r>
      <w:r>
        <w:rPr>
          <w:rFonts w:ascii="Times New Roman" w:hAnsi="Times New Roman"/>
          <w:sz w:val="22"/>
        </w:rPr>
        <w:t xml:space="preserve">, it generates an immutable </w:t>
      </w:r>
      <w:r>
        <w:rPr>
          <w:rFonts w:ascii="Courier New" w:hAnsi="Courier New"/>
          <w:color w:val="1E293B"/>
          <w:sz w:val="20"/>
        </w:rPr>
        <w:t>SkillEvidence</w:t>
      </w:r>
      <w:r>
        <w:rPr>
          <w:rFonts w:ascii="Times New Roman" w:hAnsi="Times New Roman"/>
          <w:sz w:val="22"/>
        </w:rPr>
        <w:t xml:space="preserve"> payload that directly validates core computer science skills with maximum confidence density.</w:t>
      </w:r>
    </w:p>
    <w:p>
      <w:pPr>
        <w:spacing w:before="80" w:after="80"/>
      </w:pPr>
    </w:p>
    <w:p>
      <w:pPr>
        <w:keepNext/>
        <w:spacing w:before="280" w:after="120"/>
      </w:pPr>
      <w:r>
        <w:rPr>
          <w:rFonts w:ascii="Times New Roman" w:hAnsi="Times New Roman"/>
          <w:b/>
          <w:color w:val="1E3A8A"/>
          <w:sz w:val="26"/>
        </w:rPr>
        <w:t>5. Summary of Validated SIE-1.0 Subsystem</w:t>
      </w:r>
    </w:p>
    <w:p>
      <w:r>
        <w:rPr>
          <w:rFonts w:ascii="Times New Roman" w:hAnsi="Times New Roman"/>
          <w:sz w:val="22"/>
        </w:rPr>
        <w:t xml:space="preserve">The </w:t>
      </w:r>
      <w:r>
        <w:rPr>
          <w:rFonts w:ascii="Times New Roman" w:hAnsi="Times New Roman"/>
          <w:b/>
          <w:sz w:val="22"/>
        </w:rPr>
        <w:t>Skill Intelligence Engine (version SIE-1.0)</w:t>
      </w:r>
      <w:r>
        <w:rPr>
          <w:rFonts w:ascii="Times New Roman" w:hAnsi="Times New Roman"/>
          <w:sz w:val="22"/>
        </w:rPr>
        <w:t xml:space="preserve"> acts as a deterministic, feature-frozen intelligence subsystem within Academic Universe.</w:t>
      </w:r>
    </w:p>
    <w:p>
      <w:pPr>
        <w:keepNext/>
        <w:spacing w:before="200" w:after="80"/>
      </w:pPr>
      <w:r>
        <w:rPr>
          <w:rFonts w:ascii="Times New Roman" w:hAnsi="Times New Roman"/>
          <w:b/>
          <w:color w:val="0F172A"/>
          <w:sz w:val="23"/>
        </w:rPr>
        <w:t>5.1 Key SIE-1.0 Characteristics</w:t>
      </w:r>
    </w:p>
    <w:p>
      <w:r>
        <w:rPr>
          <w:rFonts w:ascii="Times New Roman" w:hAnsi="Times New Roman"/>
          <w:sz w:val="22"/>
        </w:rPr>
        <w:t xml:space="preserve">- </w:t>
      </w:r>
      <w:r>
        <w:rPr>
          <w:rFonts w:ascii="Times New Roman" w:hAnsi="Times New Roman"/>
          <w:b/>
          <w:sz w:val="22"/>
        </w:rPr>
        <w:t>Hierarchical Taxonomy</w:t>
      </w:r>
      <w:r>
        <w:rPr>
          <w:rFonts w:ascii="Times New Roman" w:hAnsi="Times New Roman"/>
          <w:sz w:val="22"/>
        </w:rPr>
        <w:t>: 10 categories (Programming Languages, Frontend, Backend, Database, Cloud, DevOps, AI/ML, Data Science, Tools, Soft Skills).</w:t>
      </w:r>
    </w:p>
    <w:p>
      <w:r>
        <w:rPr>
          <w:rFonts w:ascii="Times New Roman" w:hAnsi="Times New Roman"/>
          <w:sz w:val="22"/>
        </w:rPr>
        <w:t xml:space="preserve">- </w:t>
      </w:r>
      <w:r>
        <w:rPr>
          <w:rFonts w:ascii="Times New Roman" w:hAnsi="Times New Roman"/>
          <w:b/>
          <w:sz w:val="22"/>
        </w:rPr>
        <w:t>Deterministic Proficiency (S in [1, 100])</w:t>
      </w:r>
      <w:r>
        <w:rPr>
          <w:rFonts w:ascii="Times New Roman" w:hAnsi="Times New Roman"/>
          <w:sz w:val="22"/>
        </w:rPr>
        <w:t>:</w:t>
      </w:r>
    </w:p>
    <w:p>
      <w:r>
        <w:rPr>
          <w:rFonts w:ascii="Times New Roman" w:hAnsi="Times New Roman"/>
          <w:sz w:val="22"/>
        </w:rPr>
        <w:t xml:space="preserve">  $S = min≤ft(99, {V_total · (0.6 + 0.4 · O_ratio) · D_avg · K_complexity}{max(1, sqrt{N})} + 3Nright)$</w:t>
      </w:r>
    </w:p>
    <w:p>
      <w:r>
        <w:rPr>
          <w:rFonts w:ascii="Times New Roman" w:hAnsi="Times New Roman"/>
          <w:sz w:val="22"/>
        </w:rPr>
        <w:t xml:space="preserve">- </w:t>
      </w:r>
      <w:r>
        <w:rPr>
          <w:rFonts w:ascii="Times New Roman" w:hAnsi="Times New Roman"/>
          <w:b/>
          <w:sz w:val="22"/>
        </w:rPr>
        <w:t>Independent Confidence (C in [0.15, 0.99])</w:t>
      </w:r>
      <w:r>
        <w:rPr>
          <w:rFonts w:ascii="Times New Roman" w:hAnsi="Times New Roman"/>
          <w:sz w:val="22"/>
        </w:rPr>
        <w:t>: Evaluated separately based on evidence volume, source reliability coefficients (W_source), and freshness.</w:t>
      </w:r>
    </w:p>
    <w:p>
      <w:r>
        <w:rPr>
          <w:rFonts w:ascii="Times New Roman" w:hAnsi="Times New Roman"/>
          <w:sz w:val="22"/>
        </w:rPr>
        <w:t xml:space="preserve">- </w:t>
      </w:r>
      <w:r>
        <w:rPr>
          <w:rFonts w:ascii="Times New Roman" w:hAnsi="Times New Roman"/>
          <w:b/>
          <w:sz w:val="22"/>
        </w:rPr>
        <w:t>Score Breakdown &amp; Provenance</w:t>
      </w:r>
      <w:r>
        <w:rPr>
          <w:rFonts w:ascii="Times New Roman" w:hAnsi="Times New Roman"/>
          <w:sz w:val="22"/>
        </w:rPr>
        <w:t xml:space="preserve">: Persists exact components </w:t>
      </w:r>
      <w:r>
        <w:rPr>
          <w:rFonts w:ascii="Courier New" w:hAnsi="Courier New"/>
          <w:color w:val="1E293B"/>
          <w:sz w:val="20"/>
        </w:rPr>
        <w:t>{ volume, recency, ownership, complexity, dominance }</w:t>
      </w:r>
      <w:r>
        <w:rPr>
          <w:rFonts w:ascii="Times New Roman" w:hAnsi="Times New Roman"/>
          <w:sz w:val="22"/>
        </w:rPr>
        <w:t xml:space="preserve"> alongside a human-readable recruiter proof summary.</w:t>
      </w:r>
    </w:p>
    <w:p>
      <w:r>
        <w:rPr>
          <w:rFonts w:ascii="Times New Roman" w:hAnsi="Times New Roman"/>
          <w:sz w:val="22"/>
        </w:rPr>
        <w:t xml:space="preserve">- </w:t>
      </w:r>
      <w:r>
        <w:rPr>
          <w:rFonts w:ascii="Times New Roman" w:hAnsi="Times New Roman"/>
          <w:b/>
          <w:sz w:val="22"/>
        </w:rPr>
        <w:t>Controlled Determinism Verification</w:t>
      </w:r>
      <w:r>
        <w:rPr>
          <w:rFonts w:ascii="Times New Roman" w:hAnsi="Times New Roman"/>
          <w:sz w:val="22"/>
        </w:rPr>
        <w:t>: Evaluated test vectors exhibited strict determinism (Δ = 0.000) across repeated test runs.</w:t>
      </w:r>
    </w:p>
    <w:p>
      <w:pPr>
        <w:spacing w:before="80" w:after="80"/>
      </w:pPr>
    </w:p>
    <w:p>
      <w:pPr>
        <w:keepNext/>
        <w:spacing w:before="280" w:after="120"/>
      </w:pPr>
      <w:r>
        <w:rPr>
          <w:rFonts w:ascii="Times New Roman" w:hAnsi="Times New Roman"/>
          <w:b/>
          <w:color w:val="1E3A8A"/>
          <w:sz w:val="26"/>
        </w:rPr>
        <w:t>6. Proof-of-Concept Synthetic Simulation &amp; Sensitivity Analysis</w:t>
      </w:r>
    </w:p>
    <w:p>
      <w:pPr>
        <w:spacing w:before="160" w:after="160"/>
        <w:ind w:left="576" w:right="576"/>
      </w:pPr>
      <w:r>
        <w:rPr>
          <w:rFonts w:ascii="Times New Roman" w:hAnsi="Times New Roman"/>
          <w:b/>
          <w:i/>
          <w:color w:val="334155"/>
          <w:sz w:val="20"/>
        </w:rPr>
        <w:t>Methodological Disclaimer</w:t>
      </w:r>
      <w:r>
        <w:rPr>
          <w:rFonts w:ascii="Times New Roman" w:hAnsi="Times New Roman"/>
          <w:i/>
          <w:color w:val="334155"/>
          <w:sz w:val="20"/>
        </w:rPr>
        <w:t>: This section presents an offline, proof-of-concept algorithmic simulation using five synthetically constructed longitudinal student profile trajectories (N=5) over a simulated 4-year academic period. This simulation evaluates model behavior, sensitivity, and mathematical stability under controlled benchmark conditions; it does not represent a live, multi-institutional human subject clinical deployment. Large-scale real-world validation across N ≥ 500 human subjects is designated as future work.</w:t>
      </w:r>
    </w:p>
    <w:p>
      <w:pPr>
        <w:keepNext/>
        <w:spacing w:before="200" w:after="80"/>
      </w:pPr>
      <w:r>
        <w:rPr>
          <w:rFonts w:ascii="Times New Roman" w:hAnsi="Times New Roman"/>
          <w:b/>
          <w:color w:val="0F172A"/>
          <w:sz w:val="23"/>
        </w:rPr>
        <w:t>6.1 Benchmark Cohort Simulation Results</w:t>
      </w:r>
    </w:p>
    <w:p>
      <w:r>
        <w:rPr>
          <w:rFonts w:ascii="Times New Roman" w:hAnsi="Times New Roman"/>
          <w:sz w:val="22"/>
        </w:rPr>
        <w:t>To evaluate GIE performance under controlled conditions, we conducted longitudinal growth simulations across 5 synthetic student profile archetypes over a 4-year academic timeline (2023–2026):</w:t>
      </w:r>
    </w:p>
    <w:p>
      <w:pPr>
        <w:keepNext/>
        <w:spacing w:before="200" w:after="80"/>
        <w:jc w:val="center"/>
      </w:pPr>
      <w:r>
        <w:rPr>
          <w:rFonts w:ascii="Times New Roman" w:hAnsi="Times New Roman"/>
          <w:b/>
          <w:color w:val="0F172A"/>
          <w:sz w:val="19"/>
        </w:rPr>
        <w:t xml:space="preserve">TABLE I. </w:t>
      </w:r>
      <w:r>
        <w:rPr>
          <w:rFonts w:ascii="Times New Roman" w:hAnsi="Times New Roman"/>
          <w:sz w:val="19"/>
        </w:rPr>
        <w:t>Proof-of-Concept Synthetic Benchmark Simulation Results (N=5 Archetypes).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Student Archetype</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1 (2023)</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2 (2024)</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3 (2025)</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4 (2026)</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Simulated Velocity (μᵥ)</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Primary Growth Drivers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1: Web Dev Specialist</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H=15</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H=34</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H=62</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H=84</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+1.92  pts/mo</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GitHub Repos + React/Next.js Projects</w:t>
            </w:r>
          </w:p>
        </w:tc>
      </w:tr>
      <w:tr>
        <w:trPr>
          <w:cantSplit/>
        </w:trPr>
        <w:tc>
          <w:tcPr>
            <w:tcW w:type="dxa" w:w="1337"/>
            <w:tcMar>
              <w:top w:w="100" w:type="dxa"/>
              <w:bottom w:w="100" w:type="dxa"/>
              <w:left w:w="150" w:type="dxa"/>
              <w:right w:w="150" w:type="dxa"/>
            </w:tcMar>
          </w:tcPr>
          <w:p>
            <w:pPr>
              <w:spacing w:after="40" w:before="40"/>
            </w:pPr>
            <w:r>
              <w:rPr>
                <w:sz w:val="20"/>
              </w:rPr>
            </w:r>
            <w:r>
              <w:rPr>
                <w:rFonts w:ascii="Times New Roman" w:hAnsi="Times New Roman"/>
                <w:b/>
                <w:sz w:val="20"/>
              </w:rPr>
              <w:t>Profile 2: Academic Scholar</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H=22</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H=45</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H=68</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H=81</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+1.64  pts/mo</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AU DIC Transcripts + Course Marks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3: Competitive Coder</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H=18</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H=42</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H=71</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H=88</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+1.94  pts/mo</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LeetCode Solved Problems + Algorithms</w:t>
            </w:r>
          </w:p>
        </w:tc>
      </w:tr>
      <w:tr>
        <w:trPr>
          <w:cantSplit/>
        </w:trPr>
        <w:tc>
          <w:tcPr>
            <w:tcW w:type="dxa" w:w="1337"/>
            <w:tcMar>
              <w:top w:w="100" w:type="dxa"/>
              <w:bottom w:w="100" w:type="dxa"/>
              <w:left w:w="150" w:type="dxa"/>
              <w:right w:w="150" w:type="dxa"/>
            </w:tcMar>
          </w:tcPr>
          <w:p>
            <w:pPr>
              <w:spacing w:after="40" w:before="40"/>
            </w:pPr>
            <w:r>
              <w:rPr>
                <w:sz w:val="20"/>
              </w:rPr>
            </w:r>
            <w:r>
              <w:rPr>
                <w:rFonts w:ascii="Times New Roman" w:hAnsi="Times New Roman"/>
                <w:b/>
                <w:sz w:val="20"/>
              </w:rPr>
              <w:t>Profile 4: Multi-Source Achiever</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H=20</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H=51</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H=79</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H=94</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+2.05  pts/mo</w:t>
            </w:r>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AU DIC + GitHub + LeetCode + Certs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5: Inactive / Plateaued</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H=25</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H=38</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H=36</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H=32</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-0.17  pts/mo</w:t>
            </w:r>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Skill Decay due to 18-mo Inactivity</w:t>
            </w:r>
          </w:p>
        </w:tc>
      </w:tr>
    </w:tbl>
    <w:p/>
    <w:p>
      <w:pPr>
        <w:keepNext/>
        <w:spacing w:before="200" w:after="80"/>
      </w:pPr>
      <w:r>
        <w:rPr>
          <w:rFonts w:ascii="Times New Roman" w:hAnsi="Times New Roman"/>
          <w:b/>
          <w:color w:val="0F172A"/>
          <w:sz w:val="23"/>
        </w:rPr>
        <w:t>6.2 Key Simulation Observations</w:t>
      </w:r>
    </w:p>
    <w:p>
      <w:r>
        <w:rPr>
          <w:rFonts w:ascii="Times New Roman" w:hAnsi="Times New Roman"/>
          <w:sz w:val="22"/>
        </w:rPr>
        <w:t xml:space="preserve">1. </w:t>
      </w:r>
      <w:r>
        <w:rPr>
          <w:rFonts w:ascii="Times New Roman" w:hAnsi="Times New Roman"/>
          <w:b/>
          <w:sz w:val="22"/>
        </w:rPr>
        <w:t>Multi-Source Synergy</w:t>
      </w:r>
      <w:r>
        <w:rPr>
          <w:rFonts w:ascii="Times New Roman" w:hAnsi="Times New Roman"/>
          <w:sz w:val="22"/>
        </w:rPr>
        <w:t>: Profile 4 (Multi-Source Achiever) achieved the highest simulated growth index (H=94) and growth velocity (μᵥ = +2.05  pts/mo), indicating that combining academic transcripts with empirical coding evidence provides higher metric stability and confidence density within the evaluated benchmark cohort.</w:t>
      </w:r>
    </w:p>
    <w:p>
      <w:r>
        <w:rPr>
          <w:rFonts w:ascii="Times New Roman" w:hAnsi="Times New Roman"/>
          <w:sz w:val="22"/>
        </w:rPr>
        <w:t xml:space="preserve">2. </w:t>
      </w:r>
      <w:r>
        <w:rPr>
          <w:rFonts w:ascii="Times New Roman" w:hAnsi="Times New Roman"/>
          <w:b/>
          <w:sz w:val="22"/>
        </w:rPr>
        <w:t>Decay Sensitivity</w:t>
      </w:r>
      <w:r>
        <w:rPr>
          <w:rFonts w:ascii="Times New Roman" w:hAnsi="Times New Roman"/>
          <w:sz w:val="22"/>
        </w:rPr>
        <w:t>: Profile 5 reflected non-linear technical skill decay when no evidence was recorded for 18 months, reducing the growth index from 38 to 32.</w:t>
      </w:r>
    </w:p>
    <w:p>
      <w:pPr>
        <w:keepNext/>
        <w:spacing w:before="200" w:after="80"/>
      </w:pPr>
      <w:r>
        <w:rPr>
          <w:rFonts w:ascii="Times New Roman" w:hAnsi="Times New Roman"/>
          <w:b/>
          <w:color w:val="0F172A"/>
          <w:sz w:val="23"/>
        </w:rPr>
        <w:t>6.3 Sensitivity Analysis of Decay Coefficient (λ)</w:t>
      </w:r>
    </w:p>
    <w:p>
      <w:r>
        <w:rPr>
          <w:rFonts w:ascii="Times New Roman" w:hAnsi="Times New Roman"/>
          <w:sz w:val="22"/>
        </w:rPr>
        <w:t>To evaluate the mathematical stability of the exponential decay model Eq. (3), we varied the decay parameter λ in [0.01, 0.02, 0.03, 0.04, 0.05]  month^-1 across an initial proficiency S₀ = 80% over 6, 12, 18,  and  24  months of inactivity.</w:t>
      </w:r>
    </w:p>
    <w:p>
      <w:pPr>
        <w:keepNext/>
        <w:spacing w:before="200" w:after="80"/>
        <w:jc w:val="center"/>
      </w:pPr>
      <w:r>
        <w:rPr>
          <w:rFonts w:ascii="Times New Roman" w:hAnsi="Times New Roman"/>
          <w:b/>
          <w:color w:val="0F172A"/>
          <w:sz w:val="19"/>
        </w:rPr>
        <w:t xml:space="preserve">TABLE I. </w:t>
      </w:r>
      <w:r>
        <w:rPr>
          <w:rFonts w:ascii="Times New Roman" w:hAnsi="Times New Roman"/>
          <w:sz w:val="19"/>
        </w:rPr>
        <w:t>Sensitivity Analysis of Proficiency Decay S(t) under Varied λ Coefficients (S₀ = 80%).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cantSplit/>
          <w:tblHeader/>
        </w:trPr>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Decay Parameter (λ)</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6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12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18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24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Half-Life (t₁⁄₂)</w:t>
            </w:r>
          </w:p>
        </w:tc>
      </w:tr>
      <w:tr>
        <w:trPr>
          <w:cantSplit/>
        </w:trPr>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λ = 0.01  (Slow)</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75.3%</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70.9%</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66.8%</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62.9%</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69.3  months</w:t>
            </w:r>
          </w:p>
        </w:tc>
      </w:tr>
      <w:tr>
        <w:trPr>
          <w:cantSplit/>
        </w:trPr>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λ = 0.02  (Moderate)</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70.9%</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62.9%</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55.8%</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49.5%</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34.7  months</w:t>
            </w:r>
          </w:p>
        </w:tc>
      </w:tr>
      <w:tr>
        <w:trPr>
          <w:cantSplit/>
        </w:trPr>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λ = 0.03  (Baseline)</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66.8%</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55.8%</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46.6%</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38.9%</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23.1  months</w:t>
            </w:r>
          </w:p>
        </w:tc>
      </w:tr>
      <w:tr>
        <w:trPr>
          <w:cantSplit/>
        </w:trPr>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λ = 0.04  (Fast)</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62.9%</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49.5%</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38.9%</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30.6%</w:t>
            </w:r>
          </w:p>
        </w:tc>
        <w:tc>
          <w:tcPr>
            <w:tcW w:type="dxa" w:w="1560"/>
            <w:tcMar>
              <w:top w:w="100" w:type="dxa"/>
              <w:bottom w:w="100" w:type="dxa"/>
              <w:left w:w="150" w:type="dxa"/>
              <w:right w:w="150" w:type="dxa"/>
            </w:tcMar>
          </w:tcPr>
          <w:p>
            <w:pPr>
              <w:spacing w:after="40" w:before="40"/>
            </w:pPr>
            <w:r>
              <w:rPr>
                <w:sz w:val="20"/>
              </w:rPr>
            </w:r>
            <w:r>
              <w:rPr>
                <w:rFonts w:ascii="Times New Roman" w:hAnsi="Times New Roman"/>
                <w:sz w:val="20"/>
              </w:rPr>
              <w:t>17.3  months</w:t>
            </w:r>
          </w:p>
        </w:tc>
      </w:tr>
      <w:tr>
        <w:trPr>
          <w:cantSplit/>
        </w:trPr>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λ = 0.05  (Aggressive)</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59.3%</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43.9%</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32.5%</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24.1%</w:t>
            </w:r>
          </w:p>
        </w:tc>
        <w:tc>
          <w:tcPr>
            <w:tcW w:type="dxa" w:w="1560"/>
            <w:tcMar>
              <w:top w:w="100" w:type="dxa"/>
              <w:bottom w:w="100" w:type="dxa"/>
              <w:left w:w="150" w:type="dxa"/>
              <w:right w:w="150" w:type="dxa"/>
            </w:tcMar>
            <w:shd w:fill="F8FAFC"/>
          </w:tcPr>
          <w:p>
            <w:pPr>
              <w:spacing w:after="40" w:before="40"/>
            </w:pPr>
            <w:r>
              <w:rPr>
                <w:sz w:val="20"/>
              </w:rPr>
            </w:r>
            <w:r>
              <w:rPr>
                <w:rFonts w:ascii="Times New Roman" w:hAnsi="Times New Roman"/>
                <w:sz w:val="20"/>
              </w:rPr>
              <w:t>13.9  months</w:t>
            </w:r>
          </w:p>
        </w:tc>
      </w:tr>
    </w:tbl>
    <w:p/>
    <w:p>
      <w:pPr>
        <w:keepNext/>
        <w:spacing w:before="240" w:after="80"/>
        <w:jc w:val="center"/>
      </w:pPr>
      <w:r>
        <w:drawing>
          <wp:inline xmlns:a="http://schemas.openxmlformats.org/drawingml/2006/main" xmlns:pic="http://schemas.openxmlformats.org/drawingml/2006/picture">
            <wp:extent cx="5303520" cy="3625191"/>
            <wp:docPr id="2" name="Picture 2"/>
            <wp:cNvGraphicFramePr>
              <a:graphicFrameLocks noChangeAspect="1"/>
            </wp:cNvGraphicFramePr>
            <a:graphic>
              <a:graphicData uri="http://schemas.openxmlformats.org/drawingml/2006/picture">
                <pic:pic>
                  <pic:nvPicPr>
                    <pic:cNvPr id="0" name="Figure2_Decay_Sensitivity_Curves.png"/>
                    <pic:cNvPicPr/>
                  </pic:nvPicPr>
                  <pic:blipFill>
                    <a:blip r:embed="rId10"/>
                    <a:stretch>
                      <a:fillRect/>
                    </a:stretch>
                  </pic:blipFill>
                  <pic:spPr>
                    <a:xfrm>
                      <a:off x="0" y="0"/>
                      <a:ext cx="5303520" cy="3625191"/>
                    </a:xfrm>
                    <a:prstGeom prst="rect"/>
                  </pic:spPr>
                </pic:pic>
              </a:graphicData>
            </a:graphic>
          </wp:inline>
        </w:drawing>
      </w:r>
    </w:p>
    <w:p>
      <w:pPr>
        <w:keepNext/>
        <w:spacing w:after="240"/>
        <w:jc w:val="center"/>
      </w:pPr>
      <w:r>
        <w:rPr>
          <w:rFonts w:ascii="Times New Roman" w:hAnsi="Times New Roman"/>
          <w:b/>
          <w:sz w:val="18"/>
        </w:rPr>
        <w:t xml:space="preserve">Fig. 2. </w:t>
      </w:r>
      <w:r>
        <w:rPr>
          <w:rFonts w:ascii="Times New Roman" w:hAnsi="Times New Roman"/>
          <w:color w:val="475569"/>
          <w:sz w:val="18"/>
        </w:rPr>
        <w:t>Sensitivity analysis of technical skill proficiency decay S(t) under varied decay parameter λ coefficients.</w:t>
      </w:r>
    </w:p>
    <w:p>
      <w:r>
        <w:rPr>
          <w:rFonts w:ascii="Times New Roman" w:hAnsi="Times New Roman"/>
          <w:b/>
          <w:sz w:val="22"/>
        </w:rPr>
        <w:t>Sensitivity Findings</w:t>
      </w:r>
      <w:r>
        <w:rPr>
          <w:rFonts w:ascii="Times New Roman" w:hAnsi="Times New Roman"/>
          <w:sz w:val="22"/>
        </w:rPr>
        <w:t>: The baseline parameter λ = 0.03  month^-1 yields a half-life t₁⁄₂ = 23.1  months, which aligns closely with empirical software industry estimates for technical skill recency decay without total knowledge loss.</w:t>
      </w:r>
    </w:p>
    <w:p>
      <w:pPr>
        <w:spacing w:before="80" w:after="80"/>
      </w:pPr>
    </w:p>
    <w:p>
      <w:pPr>
        <w:keepNext/>
        <w:spacing w:before="280" w:after="120"/>
      </w:pPr>
      <w:r>
        <w:rPr>
          <w:rFonts w:ascii="Times New Roman" w:hAnsi="Times New Roman"/>
          <w:b/>
          <w:color w:val="1E3A8A"/>
          <w:sz w:val="26"/>
        </w:rPr>
        <w:t>7. End-to-End Case Study Scenarios</w:t>
      </w:r>
    </w:p>
    <w:p>
      <w:pPr>
        <w:keepNext/>
        <w:spacing w:before="200" w:after="80"/>
      </w:pPr>
      <w:r>
        <w:rPr>
          <w:rFonts w:ascii="Times New Roman" w:hAnsi="Times New Roman"/>
          <w:b/>
          <w:color w:val="0F172A"/>
          <w:sz w:val="23"/>
        </w:rPr>
        <w:t>7.1 Case Study Scenario: Simulated Student Growth Trajectory</w:t>
      </w:r>
    </w:p>
    <w:p>
      <w:r>
        <w:rPr>
          <w:rFonts w:ascii="Times New Roman" w:hAnsi="Times New Roman"/>
          <w:sz w:val="22"/>
        </w:rPr>
        <w:t xml:space="preserve">- </w:t>
      </w:r>
      <w:r>
        <w:rPr>
          <w:rFonts w:ascii="Times New Roman" w:hAnsi="Times New Roman"/>
          <w:b/>
          <w:sz w:val="22"/>
        </w:rPr>
        <w:t>Subject Archetype</w:t>
      </w:r>
      <w:r>
        <w:rPr>
          <w:rFonts w:ascii="Times New Roman" w:hAnsi="Times New Roman"/>
          <w:sz w:val="22"/>
        </w:rPr>
        <w:t xml:space="preserve">: </w:t>
      </w:r>
      <w:r>
        <w:rPr>
          <w:rFonts w:ascii="Times New Roman" w:hAnsi="Times New Roman"/>
          <w:i/>
          <w:sz w:val="22"/>
        </w:rPr>
        <w:t>Computer Science Undergraduate Profile</w:t>
      </w:r>
      <w:r>
        <w:rPr>
          <w:rFonts w:ascii="Times New Roman" w:hAnsi="Times New Roman"/>
          <w:sz w:val="22"/>
        </w:rPr>
        <w:t>.</w:t>
      </w:r>
    </w:p>
    <w:p>
      <w:r>
        <w:rPr>
          <w:rFonts w:ascii="Times New Roman" w:hAnsi="Times New Roman"/>
          <w:sz w:val="22"/>
        </w:rPr>
        <w:t xml:space="preserve">- </w:t>
      </w:r>
      <w:r>
        <w:rPr>
          <w:rFonts w:ascii="Times New Roman" w:hAnsi="Times New Roman"/>
          <w:b/>
          <w:sz w:val="22"/>
        </w:rPr>
        <w:t>Initial State (2023)</w:t>
      </w:r>
      <w:r>
        <w:rPr>
          <w:rFonts w:ascii="Times New Roman" w:hAnsi="Times New Roman"/>
          <w:sz w:val="22"/>
        </w:rPr>
        <w:t xml:space="preserve">: 1 basic C++ repository (S = 15%, C = 46%, status = </w:t>
      </w:r>
      <w:r>
        <w:rPr>
          <w:rFonts w:ascii="Courier New" w:hAnsi="Courier New"/>
          <w:color w:val="1E293B"/>
          <w:sz w:val="20"/>
        </w:rPr>
        <w:t>LOW_CONFIDENCE</w:t>
      </w:r>
      <w:r>
        <w:rPr>
          <w:rFonts w:ascii="Times New Roman" w:hAnsi="Times New Roman"/>
          <w:sz w:val="22"/>
        </w:rPr>
        <w:t>).</w:t>
      </w:r>
    </w:p>
    <w:p>
      <w:r>
        <w:rPr>
          <w:rFonts w:ascii="Times New Roman" w:hAnsi="Times New Roman"/>
          <w:sz w:val="22"/>
        </w:rPr>
        <w:t xml:space="preserve">- </w:t>
      </w:r>
      <w:r>
        <w:rPr>
          <w:rFonts w:ascii="Times New Roman" w:hAnsi="Times New Roman"/>
          <w:b/>
          <w:sz w:val="22"/>
        </w:rPr>
        <w:t>Midway State (2025)</w:t>
      </w:r>
      <w:r>
        <w:rPr>
          <w:rFonts w:ascii="Times New Roman" w:hAnsi="Times New Roman"/>
          <w:sz w:val="22"/>
        </w:rPr>
        <w:t xml:space="preserve">: Added AU DIC course credits in </w:t>
      </w:r>
      <w:r>
        <w:rPr>
          <w:rFonts w:ascii="Times New Roman" w:hAnsi="Times New Roman"/>
          <w:i/>
          <w:sz w:val="22"/>
        </w:rPr>
        <w:t>Web Technologies</w:t>
      </w:r>
      <w:r>
        <w:rPr>
          <w:rFonts w:ascii="Times New Roman" w:hAnsi="Times New Roman"/>
          <w:sz w:val="22"/>
        </w:rPr>
        <w:t xml:space="preserve"> + 8 GitHub Next.js repositories (S = 75%, C = 85%, status = </w:t>
      </w:r>
      <w:r>
        <w:rPr>
          <w:rFonts w:ascii="Courier New" w:hAnsi="Courier New"/>
          <w:color w:val="1E293B"/>
          <w:sz w:val="20"/>
        </w:rPr>
        <w:t>VERIFIED</w:t>
      </w:r>
      <w:r>
        <w:rPr>
          <w:rFonts w:ascii="Times New Roman" w:hAnsi="Times New Roman"/>
          <w:sz w:val="22"/>
        </w:rPr>
        <w:t>).</w:t>
      </w:r>
    </w:p>
    <w:p>
      <w:r>
        <w:rPr>
          <w:rFonts w:ascii="Times New Roman" w:hAnsi="Times New Roman"/>
          <w:sz w:val="22"/>
        </w:rPr>
        <w:t xml:space="preserve">- </w:t>
      </w:r>
      <w:r>
        <w:rPr>
          <w:rFonts w:ascii="Times New Roman" w:hAnsi="Times New Roman"/>
          <w:b/>
          <w:sz w:val="22"/>
        </w:rPr>
        <w:t>Simulated Outcome (2026)</w:t>
      </w:r>
      <w:r>
        <w:rPr>
          <w:rFonts w:ascii="Times New Roman" w:hAnsi="Times New Roman"/>
          <w:sz w:val="22"/>
        </w:rPr>
        <w:t>: Full-stack profile with verified TypeScript, Node.js, and MongoDB proficiencies (H = 88).</w:t>
      </w:r>
    </w:p>
    <w:p>
      <w:pPr>
        <w:keepNext/>
        <w:spacing w:before="200" w:after="80"/>
      </w:pPr>
      <w:r>
        <w:rPr>
          <w:rFonts w:ascii="Times New Roman" w:hAnsi="Times New Roman"/>
          <w:b/>
          <w:color w:val="0F172A"/>
          <w:sz w:val="23"/>
        </w:rPr>
        <w:t>7.2 Recruiter &amp; Academic Advisor Perspectives</w:t>
      </w:r>
    </w:p>
    <w:p>
      <w:r>
        <w:rPr>
          <w:rFonts w:ascii="Times New Roman" w:hAnsi="Times New Roman"/>
          <w:sz w:val="22"/>
        </w:rPr>
        <w:t xml:space="preserve">- </w:t>
      </w:r>
      <w:r>
        <w:rPr>
          <w:rFonts w:ascii="Times New Roman" w:hAnsi="Times New Roman"/>
          <w:b/>
          <w:sz w:val="22"/>
        </w:rPr>
        <w:t>Recruiter Proof View</w:t>
      </w:r>
      <w:r>
        <w:rPr>
          <w:rFonts w:ascii="Times New Roman" w:hAnsi="Times New Roman"/>
          <w:sz w:val="22"/>
        </w:rPr>
        <w:t xml:space="preserve">: Displays a one-click verified proof statement: </w:t>
      </w:r>
      <w:r>
        <w:rPr>
          <w:rFonts w:ascii="Times New Roman" w:hAnsi="Times New Roman"/>
          <w:i/>
          <w:sz w:val="22"/>
        </w:rPr>
        <w:t>"Advanced proficiency (75%) supported by 14 verified evidence artifacts across AU DIC and GitHub over 24 months of active usage (Confidence: 85%)."</w:t>
      </w:r>
    </w:p>
    <w:p>
      <w:r>
        <w:rPr>
          <w:rFonts w:ascii="Times New Roman" w:hAnsi="Times New Roman"/>
          <w:sz w:val="22"/>
        </w:rPr>
        <w:t xml:space="preserve">- </w:t>
      </w:r>
      <w:r>
        <w:rPr>
          <w:rFonts w:ascii="Times New Roman" w:hAnsi="Times New Roman"/>
          <w:b/>
          <w:sz w:val="22"/>
        </w:rPr>
        <w:t>Academic Advisor View</w:t>
      </w:r>
      <w:r>
        <w:rPr>
          <w:rFonts w:ascii="Times New Roman" w:hAnsi="Times New Roman"/>
          <w:sz w:val="22"/>
        </w:rPr>
        <w:t>: Highlights skill gaps and recommends targeted coursework or open-source contribution to address areas of low evidence confidence density.</w:t>
      </w:r>
    </w:p>
    <w:p>
      <w:pPr>
        <w:spacing w:before="80" w:after="80"/>
      </w:pPr>
    </w:p>
    <w:p>
      <w:pPr>
        <w:keepNext/>
        <w:spacing w:before="280" w:after="120"/>
      </w:pPr>
      <w:r>
        <w:rPr>
          <w:rFonts w:ascii="Times New Roman" w:hAnsi="Times New Roman"/>
          <w:b/>
          <w:color w:val="1E3A8A"/>
          <w:sz w:val="26"/>
        </w:rPr>
        <w:t>8. Discussion</w:t>
      </w:r>
    </w:p>
    <w:p>
      <w:pPr>
        <w:keepNext/>
        <w:spacing w:before="200" w:after="80"/>
      </w:pPr>
      <w:r>
        <w:rPr>
          <w:rFonts w:ascii="Times New Roman" w:hAnsi="Times New Roman"/>
          <w:b/>
          <w:color w:val="0F172A"/>
          <w:sz w:val="23"/>
        </w:rPr>
        <w:t>8.1 Benefits</w:t>
      </w:r>
    </w:p>
    <w:p>
      <w:r>
        <w:rPr>
          <w:rFonts w:ascii="Times New Roman" w:hAnsi="Times New Roman"/>
          <w:sz w:val="22"/>
        </w:rPr>
        <w:t xml:space="preserve">- </w:t>
      </w:r>
      <w:r>
        <w:rPr>
          <w:rFonts w:ascii="Times New Roman" w:hAnsi="Times New Roman"/>
          <w:b/>
          <w:sz w:val="22"/>
        </w:rPr>
        <w:t>Explainability</w:t>
      </w:r>
      <w:r>
        <w:rPr>
          <w:rFonts w:ascii="Times New Roman" w:hAnsi="Times New Roman"/>
          <w:sz w:val="22"/>
        </w:rPr>
        <w:t>: Eliminates opaque "black-box" AI scores by providing mathematical breakdowns for every metric.</w:t>
      </w:r>
    </w:p>
    <w:p>
      <w:r>
        <w:rPr>
          <w:rFonts w:ascii="Times New Roman" w:hAnsi="Times New Roman"/>
          <w:sz w:val="22"/>
        </w:rPr>
        <w:t xml:space="preserve">- </w:t>
      </w:r>
      <w:r>
        <w:rPr>
          <w:rFonts w:ascii="Times New Roman" w:hAnsi="Times New Roman"/>
          <w:b/>
          <w:sz w:val="22"/>
        </w:rPr>
        <w:t>Multi-Source Flexibility</w:t>
      </w:r>
      <w:r>
        <w:rPr>
          <w:rFonts w:ascii="Times New Roman" w:hAnsi="Times New Roman"/>
          <w:sz w:val="22"/>
        </w:rPr>
        <w:t>: Ingests data from any current or future provider via the immutable Evidence Intelligence Layer.</w:t>
      </w:r>
    </w:p>
    <w:p>
      <w:r>
        <w:rPr>
          <w:rFonts w:ascii="Times New Roman" w:hAnsi="Times New Roman"/>
          <w:sz w:val="22"/>
        </w:rPr>
        <w:t xml:space="preserve">- </w:t>
      </w:r>
      <w:r>
        <w:rPr>
          <w:rFonts w:ascii="Times New Roman" w:hAnsi="Times New Roman"/>
          <w:b/>
          <w:sz w:val="22"/>
        </w:rPr>
        <w:t>Academic &amp; Industry Synergy</w:t>
      </w:r>
      <w:r>
        <w:rPr>
          <w:rFonts w:ascii="Times New Roman" w:hAnsi="Times New Roman"/>
          <w:sz w:val="22"/>
        </w:rPr>
        <w:t>: Unifies institutional grades with practical open-source proof.</w:t>
      </w:r>
    </w:p>
    <w:p>
      <w:pPr>
        <w:keepNext/>
        <w:spacing w:before="200" w:after="80"/>
      </w:pPr>
      <w:r>
        <w:rPr>
          <w:rFonts w:ascii="Times New Roman" w:hAnsi="Times New Roman"/>
          <w:b/>
          <w:color w:val="0F172A"/>
          <w:sz w:val="23"/>
        </w:rPr>
        <w:t>8.2 Threats to Validity &amp; Limitations (Expanded)</w:t>
      </w:r>
    </w:p>
    <w:p>
      <w:pPr>
        <w:keepNext/>
        <w:spacing w:before="160" w:after="40"/>
      </w:pPr>
      <w:r>
        <w:rPr>
          <w:rFonts w:ascii="Times New Roman" w:hAnsi="Times New Roman"/>
          <w:b/>
          <w:i/>
          <w:color w:val="334155"/>
          <w:sz w:val="22"/>
        </w:rPr>
        <w:t>8.2.1 Synthetic Benchmark Limitations</w:t>
      </w:r>
    </w:p>
    <w:p>
      <w:r>
        <w:rPr>
          <w:rFonts w:ascii="Times New Roman" w:hAnsi="Times New Roman"/>
          <w:sz w:val="22"/>
        </w:rPr>
        <w:t>The evaluation in Section 6 is conducted on synthetic profile archetypes (N=5). While synthetic benchmarks verify model stability, mathematical continuity, and algorithm determinism, they do not capture the behavioral noise, erratic submission patterns, or motivation fluctuations of real-world human students.</w:t>
      </w:r>
    </w:p>
    <w:p>
      <w:pPr>
        <w:keepNext/>
        <w:spacing w:before="160" w:after="40"/>
      </w:pPr>
      <w:r>
        <w:rPr>
          <w:rFonts w:ascii="Times New Roman" w:hAnsi="Times New Roman"/>
          <w:b/>
          <w:i/>
          <w:color w:val="334155"/>
          <w:sz w:val="22"/>
        </w:rPr>
        <w:t>8.2.2 Limited Student Diversity &amp; Domain Assumptions</w:t>
      </w:r>
    </w:p>
    <w:p>
      <w:r>
        <w:rPr>
          <w:rFonts w:ascii="Times New Roman" w:hAnsi="Times New Roman"/>
          <w:sz w:val="22"/>
        </w:rPr>
        <w:t>Model weights (W_source) and taxonomy categories are currently optimized for Computer Science and Software Engineering disciplines. Extending Academic Universe to disciplines such as Mechanical Engineering, Biotechnology, or Business Administration requires recalibrating domain curriculum weights (w_k) and adding domain-specific evidence adapters.</w:t>
      </w:r>
    </w:p>
    <w:p>
      <w:pPr>
        <w:keepNext/>
        <w:spacing w:before="160" w:after="40"/>
      </w:pPr>
      <w:r>
        <w:rPr>
          <w:rFonts w:ascii="Times New Roman" w:hAnsi="Times New Roman"/>
          <w:b/>
          <w:i/>
          <w:color w:val="334155"/>
          <w:sz w:val="22"/>
        </w:rPr>
        <w:t>8.2.3 GitHub Activity Noise</w:t>
      </w:r>
    </w:p>
    <w:p>
      <w:r>
        <w:rPr>
          <w:rFonts w:ascii="Times New Roman" w:hAnsi="Times New Roman"/>
          <w:sz w:val="22"/>
        </w:rPr>
        <w:t>Counting repository size or commit volume can introduce noise if student repositories contain third-party libraries, auto-generated boilerplate code, or vendor dependencies. Future iterations must incorporate abstract syntax tree (AST) code quality parsing to filter non-original code artifacts.</w:t>
      </w:r>
    </w:p>
    <w:p>
      <w:pPr>
        <w:keepNext/>
        <w:spacing w:before="160" w:after="40"/>
      </w:pPr>
      <w:r>
        <w:rPr>
          <w:rFonts w:ascii="Times New Roman" w:hAnsi="Times New Roman"/>
          <w:b/>
          <w:i/>
          <w:color w:val="334155"/>
          <w:sz w:val="22"/>
        </w:rPr>
        <w:t>8.2.4 Evidence Quality &amp; Fraud Risks</w:t>
      </w:r>
    </w:p>
    <w:p>
      <w:r>
        <w:rPr>
          <w:rFonts w:ascii="Times New Roman" w:hAnsi="Times New Roman"/>
          <w:sz w:val="22"/>
        </w:rPr>
        <w:t xml:space="preserve">While institutional AU DIC transcripts carry high verification reliability (W=1.00), user-submitted certificates or self-reported project entries carry higher potential for misrepresentation. The multi-factor confidence model (C) mitigates this risk by requiring multi-provider cross-verification before granting </w:t>
      </w:r>
      <w:r>
        <w:rPr>
          <w:rFonts w:ascii="Courier New" w:hAnsi="Courier New"/>
          <w:color w:val="1E293B"/>
          <w:sz w:val="20"/>
        </w:rPr>
        <w:t>VERIFIED</w:t>
      </w:r>
      <w:r>
        <w:rPr>
          <w:rFonts w:ascii="Times New Roman" w:hAnsi="Times New Roman"/>
          <w:sz w:val="22"/>
        </w:rPr>
        <w:t xml:space="preserve"> status.</w:t>
      </w:r>
    </w:p>
    <w:p>
      <w:pPr>
        <w:keepNext/>
        <w:spacing w:before="160" w:after="40"/>
      </w:pPr>
      <w:r>
        <w:rPr>
          <w:rFonts w:ascii="Times New Roman" w:hAnsi="Times New Roman"/>
          <w:b/>
          <w:i/>
          <w:color w:val="334155"/>
          <w:sz w:val="22"/>
        </w:rPr>
        <w:t>8.2.5 Future Multi-Institution Clinical Validation</w:t>
      </w:r>
    </w:p>
    <w:p>
      <w:r>
        <w:rPr>
          <w:rFonts w:ascii="Times New Roman" w:hAnsi="Times New Roman"/>
          <w:sz w:val="22"/>
        </w:rPr>
        <w:t>To achieve full empirical validation, a multi-phase human clinical study is planned across N ≥ 500 undergraduate students spanning 3 university campuses over a 2-year trial period.</w:t>
      </w:r>
    </w:p>
    <w:p>
      <w:pPr>
        <w:spacing w:before="80" w:after="80"/>
      </w:pPr>
    </w:p>
    <w:p>
      <w:pPr>
        <w:keepNext/>
        <w:spacing w:before="280" w:after="120"/>
      </w:pPr>
      <w:r>
        <w:rPr>
          <w:rFonts w:ascii="Times New Roman" w:hAnsi="Times New Roman"/>
          <w:b/>
          <w:color w:val="1E3A8A"/>
          <w:sz w:val="26"/>
        </w:rPr>
        <w:t>9. Conclusion</w:t>
      </w:r>
    </w:p>
    <w:p>
      <w:r>
        <w:rPr>
          <w:rFonts w:ascii="Times New Roman" w:hAnsi="Times New Roman"/>
          <w:sz w:val="22"/>
        </w:rPr>
        <w:t xml:space="preserve">This paper presented </w:t>
      </w:r>
      <w:r>
        <w:rPr>
          <w:rFonts w:ascii="Times New Roman" w:hAnsi="Times New Roman"/>
          <w:b/>
          <w:sz w:val="22"/>
        </w:rPr>
        <w:t>Academic Universe</w:t>
      </w:r>
      <w:r>
        <w:rPr>
          <w:rFonts w:ascii="Times New Roman" w:hAnsi="Times New Roman"/>
          <w:sz w:val="22"/>
        </w:rPr>
        <w:t>, an AI-powered holistic student growth intelligence ecosystem. By organizing student growth into an Evidence Intelligence Layer, a validated Skill Intelligence Engine (SIE-1.0), and a Growth Intelligence Engine (GIE), Academic Universe provides a transparent, scientifically reproducible framework for quantifying student development. Proof-of-concept synthetic simulations demonstrate that multi-source evidence integration enhances proficiency explainability and confidence precision, establishing a foundation for Next-Generation Learning Analytics in modern higher education.</w:t>
      </w:r>
    </w:p>
    <w:p>
      <w:pPr>
        <w:spacing w:before="80" w:after="80"/>
      </w:pPr>
    </w:p>
    <w:p>
      <w:pPr>
        <w:keepNext/>
        <w:spacing w:before="280" w:after="120"/>
      </w:pPr>
      <w:r>
        <w:rPr>
          <w:rFonts w:ascii="Times New Roman" w:hAnsi="Times New Roman"/>
          <w:b/>
          <w:color w:val="1E3A8A"/>
          <w:sz w:val="26"/>
        </w:rPr>
        <w:t>References</w:t>
      </w:r>
    </w:p>
    <w:p>
      <w:r>
        <w:rPr>
          <w:rFonts w:ascii="Times New Roman" w:hAnsi="Times New Roman"/>
          <w:sz w:val="22"/>
        </w:rPr>
        <w:t xml:space="preserve">1. Baker, R. S., &amp; Yacef, K. (2009). The state of educational data mining in 2009: A review and future directions. </w:t>
      </w:r>
      <w:r>
        <w:rPr>
          <w:rFonts w:ascii="Times New Roman" w:hAnsi="Times New Roman"/>
          <w:i/>
          <w:sz w:val="22"/>
        </w:rPr>
        <w:t>Journal of Educational Data Mining</w:t>
      </w:r>
      <w:r>
        <w:rPr>
          <w:rFonts w:ascii="Times New Roman" w:hAnsi="Times New Roman"/>
          <w:sz w:val="22"/>
        </w:rPr>
        <w:t>, 1(1), 3-17.</w:t>
      </w:r>
    </w:p>
    <w:p>
      <w:r>
        <w:rPr>
          <w:rFonts w:ascii="Times New Roman" w:hAnsi="Times New Roman"/>
          <w:sz w:val="22"/>
        </w:rPr>
        <w:t xml:space="preserve">2. Siemens, G., &amp; Long, P. (2011). Penetrating the fog: Analytics in learning and higher education. </w:t>
      </w:r>
      <w:r>
        <w:rPr>
          <w:rFonts w:ascii="Times New Roman" w:hAnsi="Times New Roman"/>
          <w:i/>
          <w:sz w:val="22"/>
        </w:rPr>
        <w:t>EDUCAUSE Review</w:t>
      </w:r>
      <w:r>
        <w:rPr>
          <w:rFonts w:ascii="Times New Roman" w:hAnsi="Times New Roman"/>
          <w:sz w:val="22"/>
        </w:rPr>
        <w:t>, 46(5), 30-40.</w:t>
      </w:r>
    </w:p>
    <w:p>
      <w:r>
        <w:rPr>
          <w:rFonts w:ascii="Times New Roman" w:hAnsi="Times New Roman"/>
          <w:sz w:val="22"/>
        </w:rPr>
        <w:t xml:space="preserve">3. Romero, C., &amp; Ventura, S. (2020). Educational data mining and learning analytics: An updated survey. </w:t>
      </w:r>
      <w:r>
        <w:rPr>
          <w:rFonts w:ascii="Times New Roman" w:hAnsi="Times New Roman"/>
          <w:i/>
          <w:sz w:val="22"/>
        </w:rPr>
        <w:t>WIREs Data Mining and Knowledge Discovery</w:t>
      </w:r>
      <w:r>
        <w:rPr>
          <w:rFonts w:ascii="Times New Roman" w:hAnsi="Times New Roman"/>
          <w:sz w:val="22"/>
        </w:rPr>
        <w:t>, 10(3), e1355.</w:t>
      </w:r>
    </w:p>
    <w:p>
      <w:r>
        <w:rPr>
          <w:rFonts w:ascii="Times New Roman" w:hAnsi="Times New Roman"/>
          <w:sz w:val="22"/>
        </w:rPr>
        <w:t xml:space="preserve">4. Rajput, A., et al. (2026). </w:t>
      </w:r>
      <w:r>
        <w:rPr>
          <w:rFonts w:ascii="Times New Roman" w:hAnsi="Times New Roman"/>
          <w:i/>
          <w:sz w:val="22"/>
        </w:rPr>
        <w:t>AU DIC: Document Intelligence Layer for Automated Transcript &amp; Portal Ingestion</w:t>
      </w:r>
      <w:r>
        <w:rPr>
          <w:rFonts w:ascii="Times New Roman" w:hAnsi="Times New Roman"/>
          <w:sz w:val="22"/>
        </w:rPr>
        <w:t>. Academic Universe Technical Report Series, Paper 1.</w:t>
      </w:r>
    </w:p>
    <w:p>
      <w:pPr>
        <w:spacing w:before="80" w:after="80"/>
      </w:pPr>
    </w:p>
    <w:p>
      <w:pPr>
        <w:keepNext/>
        <w:spacing w:before="200" w:after="80"/>
      </w:pPr>
      <w:r>
        <w:rPr>
          <w:rFonts w:ascii="Times New Roman" w:hAnsi="Times New Roman"/>
          <w:b/>
          <w:color w:val="0F172A"/>
          <w:sz w:val="23"/>
        </w:rPr>
        <w:t>Manuscript Version 1.0 (Feature Frozen &amp; Publication Ready)</w:t>
      </w:r>
    </w:p>
    <w:p/>
    <w:p>
      <w:pPr>
        <w:keepNext/>
      </w:pPr>
      <w:r>
        <w:rPr>
          <w:rFonts w:ascii="Times New Roman" w:hAnsi="Times New Roman"/>
          <w:b/>
          <w:color w:val="1E3A8A"/>
          <w:sz w:val="22"/>
        </w:rPr>
        <w:t>Foundational Literature Additions (IEEE / ACM Learning Analytics Corpus):</w:t>
      </w:r>
    </w:p>
    <w:p>
      <w:pPr>
        <w:spacing w:after="80"/>
        <w:ind w:left="360"/>
      </w:pPr>
      <w:r>
        <w:rPr>
          <w:rFonts w:ascii="Times New Roman" w:hAnsi="Times New Roman"/>
          <w:sz w:val="20"/>
        </w:rPr>
        <w:t>5. Corbett, A. T., &amp; Anderson, J. R. (1994). Knowledge tracing: Modeling the acquisition of procedural knowledge. User Modeling and User-Adapted Interaction, 4(4), 253-278.</w:t>
      </w:r>
    </w:p>
    <w:p>
      <w:pPr>
        <w:spacing w:after="80"/>
        <w:ind w:left="360"/>
      </w:pPr>
      <w:r>
        <w:rPr>
          <w:rFonts w:ascii="Times New Roman" w:hAnsi="Times New Roman"/>
          <w:sz w:val="20"/>
        </w:rPr>
        <w:t>6. Piech, C., Bassen, J., Huang, J., Ganguli, S., Sahami, M., Guibas, L. J., &amp; Sohl-Dickstein, J. (2015). Deep knowledge tracing. Advances in Neural Information Processing Systems (NeurIPS), 28, 505-513.</w:t>
      </w:r>
    </w:p>
    <w:p>
      <w:pPr>
        <w:spacing w:after="80"/>
        <w:ind w:left="360"/>
      </w:pPr>
      <w:r>
        <w:rPr>
          <w:rFonts w:ascii="Times New Roman" w:hAnsi="Times New Roman"/>
          <w:sz w:val="20"/>
        </w:rPr>
        <w:t>7. Bodily, R., &amp; Verbert, K. (2017). Review of research on student-facing learning analytics dashboards. Journal of Learning Analytics, 4(3), 67-89.</w:t>
      </w:r>
    </w:p>
    <w:p>
      <w:pPr>
        <w:spacing w:after="80"/>
        <w:ind w:left="360"/>
      </w:pPr>
      <w:r>
        <w:rPr>
          <w:rFonts w:ascii="Times New Roman" w:hAnsi="Times New Roman"/>
          <w:sz w:val="20"/>
        </w:rPr>
        <w:t>8. Ferguson, R. (2012). Learning analytics: Drivers, developments and challenges. International Journal of Technology Enhanced Learning, 4(5-6), 304-317.</w:t>
      </w:r>
    </w:p>
    <w:p>
      <w:pPr>
        <w:spacing w:after="80"/>
        <w:ind w:left="360"/>
      </w:pPr>
      <w:r>
        <w:rPr>
          <w:rFonts w:ascii="Times New Roman" w:hAnsi="Times New Roman"/>
          <w:sz w:val="20"/>
        </w:rPr>
        <w:t>9. Jivet, I., Scheffel, M., Specht, M., &amp; Drachsler, H. (2018). License to evaluate: Preparing learning analytics dashboards for educational practice. Proceedings of the 8th International Conference on Learning Analytics &amp; Knowledge (LAK '18), 31-40.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