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ns7="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rPr>
          <w:rFonts w:ascii="Times New Roman" w:hAnsi="Times New Roman"/>
          <w:b/>
          <w:sz w:val="20"/>
        </w:rPr>
        <w:t>Authors</w:t>
      </w:r>
      <w:r>
        <w:rPr>
          <w:rFonts w:ascii="Times New Roman" w:hAnsi="Times New Roman"/>
          <w:sz w:val="20"/>
        </w:rPr>
        <w:t>: AU DIC Research Team</w:t>
      </w:r>
    </w:p>
    <w:p w14:paraId="39299AC9">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30DF3D25">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014C6355">
      <w:pPr>
        <w:spacing w:before="40" w:after="80" w:line="276" w:lineRule="auto"/>
      </w:pPr>
      <w:r>
        <w:rPr>
          <w:rFonts w:ascii="Times New Roman" w:hAnsi="Times New Roman"/>
          <w:sz w:val="20"/>
        </w:rPr>
        <w:t>---</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w:r>
        <w:rPr>
          <w:rFonts w:ascii="Times New Roman" w:hAnsi="Times New Roman"/>
          <w:sz w:val="20"/>
        </w:rPr>
        <w:t>We evaluate the benchmark suite across 360 specimens (</w:t>
      </w: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060AE78D">
      <w:pPr>
        <w:spacing w:before="40" w:after="80" w:line="276" w:lineRule="auto"/>
      </w:pPr>
      <w:r>
        <w:rPr>
          <w:rFonts w:ascii="Times New Roman" w:hAnsi="Times New Roman"/>
          <w:sz w:val="20"/>
        </w:rPr>
        <w:t>---</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 [27], [30], [33].</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classical OCR engines, Large Language Models (LLMs), and Vision-Language Models (VLMs) under controlled experimental conditions.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0C7932EC">
      <w:pPr>
        <w:spacing w:before="40" w:after="80" w:line="276" w:lineRule="auto"/>
      </w:pPr>
      <w:r>
        <w:rPr>
          <w:rFonts w:ascii="Times New Roman" w:hAnsi="Times New Roman"/>
          <w:sz w:val="20"/>
        </w:rPr>
        <w:t>---</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rPr>
          <w:rFonts w:ascii="Times New Roman" w:hAnsi="Times New Roman"/>
          <w:b/>
          <w:sz w:val="20"/>
        </w:rPr>
        <w:t>Fine-Grained Layout Attention &amp; Unified Tokenization</w:t>
      </w:r>
      <w:r>
        <w:rPr>
          <w:rFonts w:ascii="Times New Roman" w:hAnsi="Times New Roman"/>
          <w:sz w:val="20"/>
        </w:rPr>
        <w:t xml:space="preserve">: </w:t>
      </w:r>
      <w:r>
        <w:rPr>
          <w:rFonts w:ascii="Times New Roman" w:hAnsi="Times New Roman"/>
          <w:b/>
          <w:sz w:val="20"/>
        </w:rPr>
        <w:t>DocFormers 2.0</w:t>
      </w:r>
      <w:r>
        <w:rPr>
          <w:rFonts w:ascii="Times New Roman" w:hAnsi="Times New Roman"/>
          <w:sz w:val="20"/>
        </w:rPr>
        <w:t xml:space="preserve"> [32] introduced fine-grained multimodal layout attention, </w:t>
      </w:r>
      <w:r>
        <w:rPr>
          <w:rFonts w:ascii="Times New Roman" w:hAnsi="Times New Roman"/>
          <w:b/>
          <w:sz w:val="20"/>
        </w:rPr>
        <w:t>Kim et al.</w:t>
      </w:r>
      <w:r>
        <w:rPr>
          <w:rFonts w:ascii="Times New Roman" w:hAnsi="Times New Roman"/>
          <w:sz w:val="20"/>
        </w:rPr>
        <w:t xml:space="preserve"> [34] established unified document tokenization for high-resolution page understanding, and </w:t>
      </w:r>
      <w:r>
        <w:rPr>
          <w:rFonts w:ascii="Times New Roman" w:hAnsi="Times New Roman"/>
          <w:b/>
          <w:sz w:val="20"/>
        </w:rPr>
        <w:t>Martinez et al.</w:t>
      </w:r>
      <w:r>
        <w:rPr>
          <w:rFonts w:ascii="Times New Roman" w:hAnsi="Times New Roman"/>
          <w:sz w:val="20"/>
        </w:rPr>
        <w:t xml:space="preserve"> [33] benchmarked OCR-free vision-language architectures under physical image distortions.</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rPr>
          <w:rFonts w:ascii="Times New Roman" w:hAnsi="Times New Roman"/>
          <w:sz w:val="20"/>
        </w:rPr>
        <w:t>Table 0 provides an objective, comprehensive comparative analysis contrasting ADBG v1.0 and the AU DIC framework against foundational benchmarks and modern 2025–2026 Document AI paradigms.</w:t>
      </w:r>
    </w:p>
    <w:p w14:paraId="50009E26">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2EA679E7">
      <w:pPr>
        <w:spacing w:after="120"/>
      </w:pPr>
    </w:p>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2FB5DAD">
      <w:pPr>
        <w:spacing w:before="40" w:after="80" w:line="276" w:lineRule="auto"/>
      </w:pPr>
      <w:r>
        <w:rPr>
          <w:rFonts w:ascii="Times New Roman" w:hAnsi="Times New Roman"/>
          <w:sz w:val="20"/>
        </w:rPr>
        <w:t>---</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7: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7: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6E16FD90">
      <w:pPr>
        <w:spacing w:before="0" w:after="0"/>
        <w:jc w:val="center"/>
      </w:pPr>
      <ns3:oMathPara>
        <ns3:oMath>
          <ns3:r>
            <ns3:rPr/>
            <w:rPr>
              <w:rFonts w:ascii="Cambria Math" w:hAnsi="Cambria Math"/>
            </w:rPr>
            <ns3:t>DocumentSpecimen=G(</ns3:t>
          </ns3:r>
          <ns3:r>
            <ns3:rPr/>
            <w:rPr>
              <w:rFonts w:ascii="Times New Roman" w:hAnsi="Times New Roman"/>
            </w:rPr>
            <ns3:t>Seed</ns3:t>
          </ns3:r>
          <ns3:r>
            <ns3:rPr/>
            <w:rPr>
              <w:rFonts w:ascii="Cambria Math" w:hAnsi="Cambria Math"/>
            </w:rPr>
            <ns3:t>,</ns3:t>
          </ns3:r>
          <ns3:r>
            <ns3:rPr/>
            <w:rPr>
              <w:rFonts w:ascii="Times New Roman" w:hAnsi="Times New Roman"/>
            </w:rPr>
            <ns3:t>Category</ns3:t>
          </ns3:r>
          <ns3:r>
            <ns3:rPr/>
            <w:rPr>
              <w:rFonts w:ascii="Cambria Math" w:hAnsi="Cambria Math"/>
            </w:rPr>
            <ns3:t>,</ns3:t>
          </ns3:r>
          <ns3:r>
            <ns3:rPr/>
            <w:rPr>
              <w:rFonts w:ascii="Times New Roman" w:hAnsi="Times New Roman"/>
            </w:rPr>
            <ns3:t>Profile</ns3:t>
          </ns3:r>
          <ns3:r>
            <ns3:rPr/>
            <w:rPr>
              <w:rFonts w:ascii="Cambria Math" w:hAnsi="Cambria Math"/>
            </w:rPr>
            <ns3:t>)</ns3:t>
          </ns3:r>
        </ns3:oMath>
      </ns3:oMathPara>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A6A26F3">
      <w:pPr>
        <w:spacing w:before="0" w:after="0"/>
        <w:jc w:val="center"/>
      </w:pPr>
      <ns3:oMathPara>
        <ns3:oMath>
          <ns3:sSub>
            <ns3:sSubPr/>
            <ns3:e>
              <ns3:r>
                <ns3:rPr/>
                <w:rPr>
                  <w:rFonts w:ascii="Cambria Math" w:hAnsi="Cambria Math"/>
                </w:rPr>
                <ns3:t>I</ns3:t>
              </ns3:r>
            </ns3:e>
            <ns3:sub>
              <ns3:r>
                <ns3:rPr/>
                <w:rPr>
                  <w:rFonts w:ascii="Times New Roman" w:hAnsi="Times New Roman"/>
                </w:rPr>
                <ns3:t>degraded</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rotation</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contrast</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gaussian</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blur</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clean</ns3:t>
              </ns3:r>
            </ns3:sub>
          </ns3:sSub>
          <ns3:r>
            <ns3:rPr/>
            <w:rPr>
              <w:rFonts w:ascii="Cambria Math" w:hAnsi="Cambria Math"/>
            </w:rPr>
            <ns3:t>)</ns3:t>
          </ns3:r>
        </ns3:oMath>
      </ns3:oMathPara>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72A6DE10">
      <w:pPr>
        <w:spacing w:before="0" w:after="0"/>
        <w:jc w:val="center"/>
      </w:pPr>
      <ns3:oMathPara>
        <ns3:oMath>
          <ns3:r>
            <ns3:rPr/>
            <w:rPr>
              <w:rFonts w:ascii="Cambria Math" w:hAnsi="Cambria Math"/>
            </w:rPr>
            <ns3:t>ErrorCategory∈{</ns3:t>
          </ns3:r>
          <ns3:r>
            <ns3:rPr/>
            <w:rPr>
              <w:rFonts w:ascii="Times New Roman" w:hAnsi="Times New Roman"/>
            </w:rPr>
            <ns3:t>OCR\_ERROR</ns3:t>
          </ns3:r>
          <ns3:r>
            <ns3:rPr/>
            <w:rPr>
              <w:rFonts w:ascii="Cambria Math" w:hAnsi="Cambria Math"/>
            </w:rPr>
            <ns3:t>,</ns3:t>
          </ns3:r>
          <ns3:r>
            <ns3:rPr/>
            <w:rPr>
              <w:rFonts w:ascii="Times New Roman" w:hAnsi="Times New Roman"/>
            </w:rPr>
            <ns3:t>FIELD\_MISSING</ns3:t>
          </ns3:r>
          <ns3:r>
            <ns3:rPr/>
            <w:rPr>
              <w:rFonts w:ascii="Cambria Math" w:hAnsi="Cambria Math"/>
            </w:rPr>
            <ns3:t>,</ns3:t>
          </ns3:r>
          <ns3:r>
            <ns3:rPr/>
            <w:rPr>
              <w:rFonts w:ascii="Times New Roman" w:hAnsi="Times New Roman"/>
            </w:rPr>
            <ns3:t>HALLUCINATION</ns3:t>
          </ns3:r>
          <ns3:r>
            <ns3:rPr/>
            <w:rPr>
              <w:rFonts w:ascii="Cambria Math" w:hAnsi="Cambria Math"/>
            </w:rPr>
            <ns3:t>,</ns3:t>
          </ns3:r>
          <ns3:r>
            <ns3:rPr/>
            <w:rPr>
              <w:rFonts w:ascii="Times New Roman" w:hAnsi="Times New Roman"/>
            </w:rPr>
            <ns3:t>FORMAT\_ERROR</ns3:t>
          </ns3:r>
          <ns3:r>
            <ns3:rPr/>
            <w:rPr>
              <w:rFonts w:ascii="Cambria Math" w:hAnsi="Cambria Math"/>
            </w:rPr>
            <ns3:t>,</ns3:t>
          </ns3:r>
          <ns3:r>
            <ns3:rPr/>
            <w:rPr>
              <w:rFonts w:ascii="Times New Roman" w:hAnsi="Times New Roman"/>
            </w:rPr>
            <ns3:t>NORMALIZATION\_ERROR</ns3:t>
          </ns3:r>
          <ns3:r>
            <ns3:rPr/>
            <w:rPr>
              <w:rFonts w:ascii="Cambria Math" w:hAnsi="Cambria Math"/>
            </w:rPr>
            <ns3:t>,</ns3:t>
          </ns3:r>
          <ns3:r>
            <ns3:rPr/>
            <w:rPr>
              <w:rFonts w:ascii="Times New Roman" w:hAnsi="Times New Roman"/>
            </w:rPr>
            <ns3:t>PARTIAL\_MATCH</ns3:t>
          </ns3:r>
          <ns3:r>
            <ns3:rPr/>
            <w:rPr>
              <w:rFonts w:ascii="Cambria Math" w:hAnsi="Cambria Math"/>
            </w:rPr>
            <ns3:t>,</ns3:t>
          </ns3:r>
          <ns3:r>
            <ns3:rPr/>
            <w:rPr>
              <w:rFonts w:ascii="Times New Roman" w:hAnsi="Times New Roman"/>
            </w:rPr>
            <ns3:t>LOW\_CONFIDENCE</ns3:t>
          </ns3:r>
          <ns3:r>
            <ns3:rPr/>
            <w:rPr>
              <w:rFonts w:ascii="Cambria Math" w:hAnsi="Cambria Math"/>
            </w:rPr>
            <ns3:t>,</ns3:t>
          </ns3:r>
          <ns3:r>
            <ns3:rPr/>
            <w:rPr>
              <w:rFonts w:ascii="Times New Roman" w:hAnsi="Times New Roman"/>
            </w:rPr>
            <ns3:t>CATEGORY\_ERROR</ns3:t>
          </ns3:r>
          <ns3:r>
            <ns3:rPr/>
            <w:rPr>
              <w:rFonts w:ascii="Cambria Math" w:hAnsi="Cambria Math"/>
            </w:rPr>
            <ns3:t>,</ns3:t>
          </ns3:r>
          <ns3:r>
            <ns3:rPr/>
            <w:rPr>
              <w:rFonts w:ascii="Times New Roman" w:hAnsi="Times New Roman"/>
            </w:rPr>
            <ns3:t>EXACT\_MATCH</ns3:t>
          </ns3:r>
          <ns3:r>
            <ns3:rPr/>
            <w:rPr>
              <w:rFonts w:ascii="Cambria Math" w:hAnsi="Cambria Math"/>
            </w:rPr>
            <ns3:t>}</ns3:t>
          </ns3:r>
        </ns3:oMath>
      </ns3:oMathPara>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2E663D9C">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125609C0">
      <w:pPr>
        <w:spacing w:after="120"/>
      </w:pPr>
    </w:p>
    <w:p w14:paraId="433FE6AF">
      <w:pPr>
        <w:spacing w:before="40" w:after="80" w:line="276" w:lineRule="auto"/>
      </w:pPr>
      <w:r>
        <w:rPr>
          <w:rFonts w:ascii="Times New Roman" w:hAnsi="Times New Roman"/>
          <w:sz w:val="20"/>
        </w:rPr>
        <w:t>---</w:t>
      </w:r>
    </w:p>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ns3:oMath>
        <ns3:sSub>
          <ns3:sSubPr/>
          <ns3:e>
            <ns3:acc>
              <ns3:accPr/>
              <ns3:e>
                <ns3:r>
                  <ns3:rPr/>
                  <w:rPr>
                    <w:rFonts w:ascii="Cambria Math" w:hAnsi="Cambria Math"/>
                  </w:rPr>
                  <ns3:t>C</ns3:t>
                </ns3:r>
              </ns3:e>
            </ns3:acc>
          </ns3:e>
          <ns3:sub>
            <ns3:r>
              <ns3:rPr/>
              <w:rPr>
                <w:rFonts w:ascii="Cambria Math" w:hAnsi="Cambria Math"/>
              </w:rPr>
              <ns3:t>i</ns3:t>
            </ns3:r>
          </ns3:sub>
        </ns3:sSub>
      </ns3:oMath>
      <w:r>
        <w:rPr>
          <w:rFonts w:ascii="Times New Roman" w:hAnsi="Times New Roman"/>
          <w:sz w:val="20"/>
        </w:rPr>
        <w:t>) matches the ground truth category (</w:t>
      </w:r>
      <ns3:oMath>
        <ns3:sSub>
          <ns3:sSubPr/>
          <ns3:e>
            <ns3:r>
              <ns3:rPr/>
              <w:rPr>
                <w:rFonts w:ascii="Cambria Math" w:hAnsi="Cambria Math"/>
              </w:rPr>
              <ns3:t>C</ns3:t>
            </ns3:r>
          </ns3:e>
          <ns3:sub>
            <ns3:r>
              <ns3:rPr/>
              <w:rPr>
                <w:rFonts w:ascii="Cambria Math" w:hAnsi="Cambria Math"/>
              </w:rPr>
              <ns3:t>i</ns3:t>
            </ns3:r>
          </ns3:sub>
        </ns3:sSub>
      </ns3:oMath>
      <w:r>
        <w:rPr>
          <w:rFonts w:ascii="Times New Roman" w:hAnsi="Times New Roman"/>
          <w:sz w:val="20"/>
        </w:rPr>
        <w:t>):</w:t>
      </w:r>
    </w:p>
    <w:p w14:paraId="2657B9BC">
      <w:pPr>
        <w:spacing w:before="0" w:after="0"/>
        <w:jc w:val="center"/>
      </w:pPr>
      <ns3:oMathPara>
        <ns3:oMath>
          <ns3:r>
            <ns3:rPr/>
            <w:rPr>
              <w:rFonts w:ascii="Cambria Math" w:hAnsi="Cambria Math"/>
            </w:rPr>
            <ns3:t>CategoryAccuracy=</ns3:t>
          </ns3:r>
          <ns3:f>
            <ns3:fPr/>
            <ns3:num>
              <ns3:nary>
                <ns3:naryPr>
                  <ns3:chr ns3:val="∑"/>
                  <ns3:limLoc ns3:val="undOvr"/>
                </ns3:naryPr>
                <ns3:sub>
                  <ns3:r>
                    <ns3:rPr/>
                    <w:rPr>
                      <w:rFonts w:ascii="Cambria Math" w:hAnsi="Cambria Math"/>
                    </w:rPr>
                    <ns3:t>i=1</ns3:t>
                  </ns3:r>
                </ns3:sub>
                <ns3:sup>
                  <ns3:r>
                    <ns3:rPr/>
                    <w:rPr>
                      <w:rFonts w:ascii="Cambria Math" w:hAnsi="Cambria Math"/>
                    </w:rPr>
                    <ns3:t>N</ns3:t>
                  </ns3:r>
                </ns3:sup>
                <ns3:e/>
              </ns3:nary>
              <ns3:r>
                <ns3:rPr>
                  <ns3:scr ns3:val="double-struck"/>
                </ns3:rPr>
                <w:rPr>
                  <w:rFonts w:ascii="Times New Roman" w:hAnsi="Times New Roman"/>
                </w:rPr>
                <ns3:t>1</ns3:t>
              </ns3:r>
              <ns3:r>
                <ns3:rPr/>
                <w:rPr>
                  <w:rFonts w:ascii="Cambria Math" w:hAnsi="Cambria Math"/>
                </w:rPr>
                <ns3:t>(</ns3:t>
              </ns3:r>
              <ns3:sSub>
                <ns3:sSubPr/>
                <ns3:e>
                  <ns3:acc>
                    <ns3:accPr/>
                    <ns3:e>
                      <ns3:r>
                        <ns3:rPr/>
                        <w:rPr>
                          <w:rFonts w:ascii="Cambria Math" w:hAnsi="Cambria Math"/>
                        </w:rPr>
                        <ns3:t>C</ns3:t>
                      </ns3:r>
                    </ns3:e>
                  </ns3:acc>
                </ns3:e>
                <ns3:sub>
                  <ns3:r>
                    <ns3:rPr/>
                    <w:rPr>
                      <w:rFonts w:ascii="Cambria Math" w:hAnsi="Cambria Math"/>
                    </w:rPr>
                    <ns3:t>i</ns3:t>
                  </ns3:r>
                </ns3:sub>
              </ns3:sSub>
              <ns3:r>
                <ns3:rPr/>
                <w:rPr>
                  <w:rFonts w:ascii="Cambria Math" w:hAnsi="Cambria Math"/>
                </w:rPr>
                <ns3:t>=</ns3:t>
              </ns3:r>
              <ns3:sSub>
                <ns3:sSubPr/>
                <ns3:e>
                  <ns3:r>
                    <ns3:rPr/>
                    <w:rPr>
                      <w:rFonts w:ascii="Cambria Math" w:hAnsi="Cambria Math"/>
                    </w:rPr>
                    <ns3:t>C</ns3:t>
                  </ns3:r>
                </ns3:e>
                <ns3:sub>
                  <ns3:r>
                    <ns3:rPr/>
                    <w:rPr>
                      <w:rFonts w:ascii="Cambria Math" w:hAnsi="Cambria Math"/>
                    </w:rPr>
                    <ns3:t>i</ns3:t>
                  </ns3:r>
                </ns3:sub>
              </ns3:sSub>
              <ns3:r>
                <ns3:rPr/>
                <w:rPr>
                  <w:rFonts w:ascii="Cambria Math" w:hAnsi="Cambria Math"/>
                </w:rPr>
                <ns3:t>)</ns3:t>
              </ns3:r>
            </ns3:num>
            <ns3:den>
              <ns3:r>
                <ns3:rPr/>
                <w:rPr>
                  <w:rFonts w:ascii="Cambria Math" w:hAnsi="Cambria Math"/>
                </w:rPr>
                <ns3:t>N</ns3:t>
              </ns3:r>
            </ns3:den>
          </ns3:f>
        </ns3:oMath>
      </ns3:oMathPara>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w:r>
        <w:rPr>
          <w:rFonts w:ascii="Times New Roman" w:hAnsi="Times New Roman"/>
          <w:b/>
          <w:sz w:val="20"/>
        </w:rPr>
        <w:t>2. Field Extraction Precision (</w:t>
      </w:r>
      <ns3:oMath>
        <ns3:r>
          <ns3:rPr/>
          <w:rPr>
            <w:rFonts w:ascii="Cambria Math" w:hAnsi="Cambria Math"/>
          </w:rPr>
          <ns3:t>P</ns3:t>
        </ns3:r>
      </ns3: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ns3:oMath>
        <ns3:r>
          <ns3:rPr/>
          <w:rPr>
            <w:rFonts w:ascii="Cambria Math" w:hAnsi="Cambria Math"/>
          </w:rPr>
          <ns3:t>R</ns3:t>
        </ns3:r>
      </ns3: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ns3:oMath>
        <ns3:sSub>
          <ns3:sSubPr/>
          <ns3:e>
            <ns3:r>
              <ns3:rPr/>
              <w:rPr>
                <w:rFonts w:ascii="Cambria Math" w:hAnsi="Cambria Math"/>
              </w:rPr>
              <ns3:t>F</ns3:t>
            </ns3:r>
          </ns3:e>
          <ns3:sub>
            <ns3:r>
              <ns3:rPr/>
              <w:rPr>
                <w:rFonts w:ascii="Cambria Math" w:hAnsi="Cambria Math"/>
              </w:rPr>
              <ns3:t>1</ns3:t>
            </ns3:r>
          </ns3:sub>
        </ns3:sSub>
      </ns3:oMath>
      <w:r>
        <w:rPr>
          <w:rFonts w:ascii="Times New Roman" w:hAnsi="Times New Roman"/>
          <w:b/>
          <w:sz w:val="20"/>
        </w:rPr>
        <w:t>)</w:t>
      </w:r>
      <w:r>
        <w:rPr>
          <w:rFonts w:ascii="Times New Roman" w:hAnsi="Times New Roman"/>
          <w:sz w:val="20"/>
        </w:rPr>
        <w:t>: Macro-averaged key-value field extraction metrics across all extracted target entities:</w:t>
      </w:r>
    </w:p>
    <w:p w14:paraId="526006D4">
      <w:pPr>
        <w:spacing w:before="0" w:after="0"/>
        <w:jc w:val="center"/>
      </w:pPr>
      <ns3:oMathPara>
        <ns3:oMath>
          <ns3:r>
            <ns3:rPr/>
            <w:rPr>
              <w:rFonts w:ascii="Cambria Math" w:hAnsi="Cambria Math"/>
            </w:rPr>
            <ns3:t>P=</ns3:t>
          </ns3:r>
          <ns3:f>
            <ns3:fPr/>
            <ns3:num>
              <ns3:r>
                <ns3:rPr/>
                <w:rPr>
                  <w:rFonts w:ascii="Times New Roman" w:hAnsi="Times New Roman"/>
                </w:rPr>
                <ns3:t>True Positive Fields</ns3:t>
              </ns3:r>
            </ns3:num>
            <ns3:den>
              <ns3:r>
                <ns3:rPr/>
                <w:rPr>
                  <w:rFonts w:ascii="Times New Roman" w:hAnsi="Times New Roman"/>
                </w:rPr>
                <ns3:t>True Positive Fields</ns3:t>
              </ns3:r>
              <ns3:r>
                <ns3:rPr/>
                <w:rPr>
                  <w:rFonts w:ascii="Cambria Math" w:hAnsi="Cambria Math"/>
                </w:rPr>
                <ns3:t>+</ns3:t>
              </ns3:r>
              <ns3:r>
                <ns3:rPr/>
                <w:rPr>
                  <w:rFonts w:ascii="Times New Roman" w:hAnsi="Times New Roman"/>
                </w:rPr>
                <ns3:t>False Positive Fields</ns3:t>
              </ns3:r>
            </ns3:den>
          </ns3:f>
          <ns3:r>
            <ns3:rPr/>
            <w:rPr>
              <w:rFonts w:ascii="Cambria Math" w:hAnsi="Cambria Math"/>
            </w:rPr>
            <ns3:t>,R=</ns3:t>
          </ns3:r>
          <ns3:f>
            <ns3:fPr/>
            <ns3:num>
              <ns3:r>
                <ns3:rPr/>
                <w:rPr>
                  <w:rFonts w:ascii="Times New Roman" w:hAnsi="Times New Roman"/>
                </w:rPr>
                <ns3:t>True Positive Fields</ns3:t>
              </ns3:r>
            </ns3:num>
            <ns3:den>
              <ns3:r>
                <ns3:rPr/>
                <w:rPr>
                  <w:rFonts w:ascii="Times New Roman" w:hAnsi="Times New Roman"/>
                </w:rPr>
                <ns3:t>True Positive Fields</ns3:t>
              </ns3:r>
              <ns3:r>
                <ns3:rPr/>
                <w:rPr>
                  <w:rFonts w:ascii="Cambria Math" w:hAnsi="Cambria Math"/>
                </w:rPr>
                <ns3:t>+</ns3:t>
              </ns3:r>
              <ns3:r>
                <ns3:rPr/>
                <w:rPr>
                  <w:rFonts w:ascii="Times New Roman" w:hAnsi="Times New Roman"/>
                </w:rPr>
                <ns3:t>False Negative Fields</ns3:t>
              </ns3:r>
            </ns3:den>
          </ns3:f>
          <ns3:r>
            <ns3:rPr/>
            <w:rPr>
              <w:rFonts w:ascii="Cambria Math" w:hAnsi="Cambria Math"/>
            </w:rPr>
            <ns3:t>,</ns3:t>
          </ns3:r>
          <ns3:sSub>
            <ns3:sSubPr/>
            <ns3:e>
              <ns3:r>
                <ns3:rPr/>
                <w:rPr>
                  <w:rFonts w:ascii="Cambria Math" w:hAnsi="Cambria Math"/>
                </w:rPr>
                <ns3:t>F</ns3:t>
              </ns3:r>
            </ns3:e>
            <ns3:sub>
              <ns3:r>
                <ns3:rPr/>
                <w:rPr>
                  <w:rFonts w:ascii="Cambria Math" w:hAnsi="Cambria Math"/>
                </w:rPr>
                <ns3:t>1</ns3:t>
              </ns3:r>
            </ns3:sub>
          </ns3:sSub>
          <ns3:r>
            <ns3:rPr/>
            <w:rPr>
              <w:rFonts w:ascii="Cambria Math" w:hAnsi="Cambria Math"/>
            </w:rPr>
            <ns3:t>=2·</ns3:t>
          </ns3:r>
          <ns3:f>
            <ns3:fPr/>
            <ns3:num>
              <ns3:r>
                <ns3:rPr/>
                <w:rPr>
                  <w:rFonts w:ascii="Cambria Math" w:hAnsi="Cambria Math"/>
                </w:rPr>
                <ns3:t>P·R</ns3:t>
              </ns3:r>
            </ns3:num>
            <ns3:den>
              <ns3:r>
                <ns3:rPr/>
                <w:rPr>
                  <w:rFonts w:ascii="Cambria Math" w:hAnsi="Cambria Math"/>
                </w:rPr>
                <ns3:t>P+R</ns3:t>
              </ns3:r>
            </ns3:den>
          </ns3:f>
        </ns3:oMath>
      </ns3:oMathPara>
      <w:bookmarkStart w:id="0" w:name="_GoBack"/>
      <w:bookmarkEnd w:id="0"/>
    </w:p>
    <w:p w14:paraId="3096A6D7">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[21] between canonically normalized predicted field strings and expected ground truth field strings, normalized by total ground truth character length (</w:t>
      </w:r>
      <ns3:oMath>
        <ns3:sSub>
          <ns3:sSubPr/>
          <ns3:e>
            <ns3:r>
              <ns3:rPr/>
              <w:rPr>
                <w:rFonts w:ascii="Cambria Math" w:hAnsi="Cambria Math"/>
              </w:rPr>
              <ns3:t>L</ns3:t>
            </ns3:r>
          </ns3:e>
          <ns3:sub>
            <ns3:r>
              <ns3:rPr/>
              <w:rPr>
                <w:rFonts w:ascii="Times New Roman" w:hAnsi="Times New Roman"/>
              </w:rPr>
              <ns3:t>GT</ns3:t>
            </ns3:r>
          </ns3:sub>
        </ns3:sSub>
      </ns3:oMath>
      <w:r>
        <w:rPr>
          <w:rFonts w:ascii="Times New Roman" w:hAnsi="Times New Roman"/>
          <w:sz w:val="20"/>
        </w:rPr>
        <w:t>):</w:t>
      </w:r>
    </w:p>
    <w:p w14:paraId="456E9AE3">
      <w:pPr>
        <w:spacing w:before="0" w:after="0"/>
        <w:jc w:val="center"/>
      </w:pPr>
      <ns3:oMathPara>
        <ns3:oMath>
          <ns3:r>
            <ns3:rPr/>
            <w:rPr>
              <w:rFonts w:ascii="Times New Roman" w:hAnsi="Times New Roman"/>
            </w:rPr>
            <ns3:t>CER</ns3:t>
          </ns3:r>
          <ns3:r>
            <ns3:rPr/>
            <w:rPr>
              <w:rFonts w:ascii="Cambria Math" w:hAnsi="Cambria Math"/>
            </w:rPr>
            <ns3:t>=</ns3:t>
          </ns3:r>
          <ns3:f>
            <ns3:fPr/>
            <ns3:num>
              <ns3:sSub>
                <ns3:sSubPr/>
                <ns3:e>
                  <ns3:r>
                    <ns3:rPr/>
                    <w:rPr>
                      <w:rFonts w:ascii="Cambria Math" w:hAnsi="Cambria Math"/>
                    </w:rPr>
                    <ns3:t>S</ns3:t>
                  </ns3:r>
                </ns3:e>
                <ns3:sub>
                  <ns3:r>
                    <ns3:rPr/>
                    <w:rPr>
                      <w:rFonts w:ascii="Times New Roman" w:hAnsi="Times New Roman"/>
                    </w:rPr>
                    <ns3:t>char</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char</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char</ns3:t>
                  </ns3:r>
                </ns3:sub>
              </ns3:sSub>
            </ns3:num>
            <ns3:den>
              <ns3:sSub>
                <ns3:sSubPr/>
                <ns3:e>
                  <ns3:r>
                    <ns3:rPr/>
                    <w:rPr>
                      <w:rFonts w:ascii="Cambria Math" w:hAnsi="Cambria Math"/>
                    </w:rPr>
                    <ns3:t>L</ns3:t>
                  </ns3:r>
                </ns3:e>
                <ns3:sub>
                  <ns3:r>
                    <ns3:rPr/>
                    <w:rPr>
                      <w:rFonts w:ascii="Times New Roman" w:hAnsi="Times New Roman"/>
                    </w:rPr>
                    <ns3:t>GT</ns3:t>
                  </ns3:r>
                </ns3:sub>
              </ns3:sSub>
            </ns3:den>
          </ns3:f>
        </ns3:oMath>
      </ns3:oMathPara>
    </w:p>
    <w:p w14:paraId="28D3FA95">
      <w:pPr>
        <w:spacing w:before="20" w:after="40"/>
        <w:ind w:left="360"/>
      </w:pPr>
      <w:r>
        <w:rPr>
          <w:rFonts w:ascii="Times New Roman" w:hAnsi="Times New Roman"/>
          <w:b/>
          <w:sz w:val="20"/>
        </w:rPr>
        <w:t>4. Word Error Rate (WER)</w:t>
      </w:r>
      <w:r>
        <w:rPr>
          <w:rFonts w:ascii="Times New Roman" w:hAnsi="Times New Roman"/>
          <w:sz w:val="20"/>
        </w:rPr>
        <w:t>: Tokenized word-level edit distance [20] between predicted field strings and ground truth field strings, normalized by total ground truth word count (</w:t>
      </w:r>
      <ns3:oMath>
        <ns3:sSub>
          <ns3:sSubPr/>
          <ns3:e>
            <ns3:r>
              <ns3:rPr/>
              <w:rPr>
                <w:rFonts w:ascii="Cambria Math" w:hAnsi="Cambria Math"/>
              </w:rPr>
              <ns3:t>W</ns3:t>
            </ns3:r>
          </ns3:e>
          <ns3:sub>
            <ns3:r>
              <ns3:rPr/>
              <w:rPr>
                <w:rFonts w:ascii="Times New Roman" w:hAnsi="Times New Roman"/>
              </w:rPr>
              <ns3:t>GT</ns3:t>
            </ns3:r>
          </ns3:sub>
        </ns3:sSub>
      </ns3:oMath>
      <w:r>
        <w:rPr>
          <w:rFonts w:ascii="Times New Roman" w:hAnsi="Times New Roman"/>
          <w:sz w:val="20"/>
        </w:rPr>
        <w:t>):</w:t>
      </w:r>
    </w:p>
    <w:p w14:paraId="456A4CA1">
      <w:pPr>
        <w:spacing w:before="0" w:after="0"/>
        <w:jc w:val="center"/>
      </w:pPr>
      <ns3:oMathPara>
        <ns3:oMath>
          <ns3:r>
            <ns3:rPr/>
            <w:rPr>
              <w:rFonts w:ascii="Times New Roman" w:hAnsi="Times New Roman"/>
            </w:rPr>
            <ns3:t>WER</ns3:t>
          </ns3:r>
          <ns3:r>
            <ns3:rPr/>
            <w:rPr>
              <w:rFonts w:ascii="Cambria Math" w:hAnsi="Cambria Math"/>
            </w:rPr>
            <ns3:t>=</ns3:t>
          </ns3:r>
          <ns3:f>
            <ns3:fPr/>
            <ns3:num>
              <ns3:sSub>
                <ns3:sSubPr/>
                <ns3:e>
                  <ns3:r>
                    <ns3:rPr/>
                    <w:rPr>
                      <w:rFonts w:ascii="Cambria Math" w:hAnsi="Cambria Math"/>
                    </w:rPr>
                    <ns3:t>S</ns3:t>
                  </ns3:r>
                </ns3:e>
                <ns3:sub>
                  <ns3:r>
                    <ns3:rPr/>
                    <w:rPr>
                      <w:rFonts w:ascii="Times New Roman" w:hAnsi="Times New Roman"/>
                    </w:rPr>
                    <ns3:t>word</ns3:t>
                  </ns3:r>
                </ns3:sub>
              </ns3:sSub>
              <ns3:r>
                <ns3:rPr/>
                <w:rPr>
                  <w:rFonts w:ascii="Cambria Math" w:hAnsi="Cambria Math"/>
                </w:rPr>
                <ns3:t>+</ns3:t>
              </ns3:r>
              <ns3:sSub>
                <ns3:sSubPr/>
                <ns3:e>
                  <ns3:r>
                    <ns3:rPr/>
                    <w:rPr>
                      <w:rFonts w:ascii="Cambria Math" w:hAnsi="Cambria Math"/>
                    </w:rPr>
                    <ns3:t>D</ns3:t>
                  </ns3:r>
                </ns3:e>
                <ns3:sub>
                  <ns3:r>
                    <ns3:rPr/>
                    <w:rPr>
                      <w:rFonts w:ascii="Times New Roman" w:hAnsi="Times New Roman"/>
                    </w:rPr>
                    <ns3:t>word</ns3:t>
                  </ns3:r>
                </ns3:sub>
              </ns3:sSub>
              <ns3:r>
                <ns3:rPr/>
                <w:rPr>
                  <w:rFonts w:ascii="Cambria Math" w:hAnsi="Cambria Math"/>
                </w:rPr>
                <ns3:t>+</ns3:t>
              </ns3:r>
              <ns3:sSub>
                <ns3:sSubPr/>
                <ns3:e>
                  <ns3:r>
                    <ns3:rPr/>
                    <w:rPr>
                      <w:rFonts w:ascii="Cambria Math" w:hAnsi="Cambria Math"/>
                    </w:rPr>
                    <ns3:t>I</ns3:t>
                  </ns3:r>
                </ns3:e>
                <ns3:sub>
                  <ns3:r>
                    <ns3:rPr/>
                    <w:rPr>
                      <w:rFonts w:ascii="Times New Roman" w:hAnsi="Times New Roman"/>
                    </w:rPr>
                    <ns3:t>word</ns3:t>
                  </ns3:r>
                </ns3:sub>
              </ns3:sSub>
            </ns3:num>
            <ns3:den>
              <ns3:sSub>
                <ns3:sSubPr/>
                <ns3:e>
                  <ns3:r>
                    <ns3:rPr/>
                    <w:rPr>
                      <w:rFonts w:ascii="Cambria Math" w:hAnsi="Cambria Math"/>
                    </w:rPr>
                    <ns3:t>W</ns3:t>
                  </ns3:r>
                </ns3:e>
                <ns3:sub>
                  <ns3:r>
                    <ns3:rPr/>
                    <w:rPr>
                      <w:rFonts w:ascii="Times New Roman" w:hAnsi="Times New Roman"/>
                    </w:rPr>
                    <ns3:t>GT</ns3:t>
                  </ns3:r>
                </ns3:sub>
              </ns3:sSub>
            </ns3:den>
          </ns3:f>
        </ns3:oMath>
      </ns3:oMathPara>
    </w:p>
    <w:p w14:paraId="22B41161">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4D33CC89">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ns3:oMath>
        <ns3:r>
          <ns3:rPr/>
          <w:rPr>
            <w:rFonts w:ascii="Times New Roman" w:hAnsi="Times New Roman"/>
          </w:rPr>
          <ns3:t>ms/sample</ns3:t>
        </ns3:r>
      </ns3:oMath>
      <w:r>
        <w:rPr>
          <w:rFonts w:ascii="Times New Roman" w:hAnsi="Times New Roman"/>
          <w:sz w:val="20"/>
        </w:rPr>
        <w:t>) and framework processing throughput (</w:t>
      </w:r>
      <ns3:oMath>
        <ns3:r>
          <ns3:rPr/>
          <w:rPr>
            <w:rFonts w:ascii="Times New Roman" w:hAnsi="Times New Roman"/>
          </w:rPr>
          <ns3:t>samples/sec</ns3:t>
        </ns3:r>
      </ns3:oMath>
      <w:r>
        <w:rPr>
          <w:rFonts w:ascii="Times New Roman" w:hAnsi="Times New Roman"/>
          <w:sz w:val="20"/>
        </w:rPr>
        <w:t>).</w:t>
      </w:r>
    </w:p>
    <w:p w14:paraId="6B789D83">
      <w:pPr>
        <w:spacing w:before="40" w:after="80" w:line="276" w:lineRule="auto"/>
      </w:pPr>
      <w:r>
        <w:rPr>
          <w:rFonts w:ascii="Times New Roman" w:hAnsi="Times New Roman"/>
          <w:sz w:val="20"/>
        </w:rPr>
        <w:t>---</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71A92F66">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1D758CA0">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6DD2ED62">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48D6DDA">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6E0B802A">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780474C8">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1A773B1A">
            <w:pPr>
              <w:spacing w:before="40" w:after="40"/>
              <w:jc w:val="center"/>
            </w:pPr>
            <w:r>
              <w:rPr>
                <w:rFonts w:ascii="Times New Roman" w:hAnsi="Times New Roman"/>
                <w:b/>
                <w:color w:val="FFFFFF"/>
                <w:sz w:val="19"/>
              </w:rPr>
              <w:t>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18678141">
      <w:pPr>
        <w:spacing w:after="120"/>
      </w:pPr>
    </w:p>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rPr>
          <w:rFonts w:ascii="Times New Roman" w:hAnsi="Times New Roman"/>
          <w:b/>
          <w:i/>
          <w:sz w:val="21"/>
        </w:rPr>
        <w:t>5.4.1 Inference Pipeline Disambiguation (Option B)</w:t>
      </w:r>
    </w:p>
    <w:p w14:paraId="7661D404">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7: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rPr>
          <w:rFonts w:ascii="Times New Roman" w:hAnsi="Times New Roman"/>
          <w:b/>
          <w:color w:val="003366"/>
          <w:sz w:val="19"/>
        </w:rPr>
        <w:t>Fig. 3. Option B Zero-Shot Text-Prompted Neural LLM Evaluation Pipeline Architecture.</w:t>
      </w:r>
    </w:p>
    <w:p w14:paraId="109F1399">
      <w:pPr>
        <w:spacing w:before="40" w:after="80" w:line="276" w:lineRule="auto"/>
      </w:pPr>
      <w:r>
        <w:rPr>
          <w:rFonts w:ascii="Times New Roman" w:hAnsi="Times New Roman"/>
          <w:sz w:val="20"/>
        </w:rPr>
        <w:t xml:space="preserve">Fig. 3 depicts the Option B zero-shot text-prompted neural LLM evaluation pipeline architecture. 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21FBA05F">
      <w:pPr>
        <w:spacing w:before="40" w:after="80" w:line="276" w:lineRule="auto"/>
      </w:pPr>
      <w:r>
        <w:rPr>
          <w:rFonts w:ascii="Times New Roman" w:hAnsi="Times New Roman"/>
          <w:sz w:val="20"/>
        </w:rPr>
        <w:t>Table 2 details live model extraction and document category classification performance evaluated on Groq Cloud Llama 3.1 8B Instant.</w:t>
      </w:r>
    </w:p>
    <w:p w14:paraId="29D205C5">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5DB299B">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293CE496">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10FE9E63">
            <w:pPr>
              <w:spacing w:before="40" w:after="40"/>
              <w:jc w:val="center"/>
            </w:pPr>
            <w:r>
              <w:rPr>
                <w:rFonts w:ascii="Times New Roman" w:hAnsi="Times New Roman"/>
                <w:b/>
                <w:color w:val="FFFFFF"/>
                <w:sz w:val="19"/>
              </w:rPr>
              <w:t>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263E7BE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6B1D8298">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66FFFC0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B61E416">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06CA889">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33FED81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41A060A">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43F52F76">
            <w:pPr>
              <w:spacing w:before="40" w:after="40"/>
              <w:jc w:val="center"/>
            </w:pPr>
            <w:r>
              <w:rPr>
                <w:rFonts w:ascii="Times New Roman" w:hAnsi="Times New Roman"/>
                <w:sz w:val="18"/>
              </w:rPr>
              <w:t>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0DD4469">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0DE6AB5F">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EB505E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60F6E5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7E47077">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02D05BF8">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7E58A7E2">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5AB6AC97">
            <w:pPr>
              <w:spacing w:before="40" w:after="40"/>
              <w:jc w:val="center"/>
            </w:pPr>
            <w:r>
              <w:rPr>
                <w:rFonts w:ascii="Times New Roman" w:hAnsi="Times New Roman"/>
                <w:sz w:val="18"/>
              </w:rPr>
              <w:t>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498F1A7B">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7E8E1A33">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7A54031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56AF2EC">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12473174">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3E6999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C756EE3">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2E0B3D0C">
            <w:pPr>
              <w:spacing w:before="40" w:after="40"/>
              <w:jc w:val="center"/>
            </w:pPr>
            <w:r>
              <w:rPr>
                <w:rFonts w:ascii="Times New Roman" w:hAnsi="Times New Roman"/>
                <w:sz w:val="18"/>
              </w:rPr>
              <w:t>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0188613B">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7FC658CC">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4DBCE0C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0EC2343">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5B74AC2">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75804FB">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6EE89C6A">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06BBBD7B">
            <w:pPr>
              <w:spacing w:before="40" w:after="40"/>
              <w:jc w:val="center"/>
            </w:pPr>
            <w:r>
              <w:rPr>
                <w:rFonts w:ascii="Times New Roman" w:hAnsi="Times New Roman"/>
                <w:sz w:val="18"/>
              </w:rPr>
              <w:t>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1093241F">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57DA7CB4">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DD33A98">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3FCD709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4F8CBF4C">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C1501CF">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1AF8FCAB">
            <w:pPr>
              <w:spacing w:before="40" w:after="40"/>
              <w:jc w:val="center"/>
            </w:pPr>
            <w:r>
              <w:rPr>
                <w:rFonts w:ascii="Times New Roman" w:hAnsi="Times New Roman"/>
                <w:b/>
                <w:sz w:val="18"/>
              </w:rPr>
              <w:t>0.00%</w:t>
            </w:r>
          </w:p>
        </w:tc>
      </w:tr>
    </w:tbl>
    <w:p w14:paraId="445F0E85">
      <w:pPr>
        <w:spacing w:after="120"/>
      </w:pPr>
    </w:p>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059DEFCF">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rPr>
          <w:rFonts w:ascii="Times New Roman" w:hAnsi="Times New Roman"/>
          <w:sz w:val="20"/>
        </w:rPr>
        <w:t>To empirically measure the scientific contribution of the Six-Stage Semantic Canonical Normalization Layer (CanonicalNormalizer) [25], [36], we executed a two-pass benchmark evaluation across all 360 specimens (5,760 total field comparisons).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rPr>
          <w:rFonts w:ascii="Times New Roman" w:hAnsi="Times New Roman"/>
          <w:sz w:val="20"/>
        </w:rPr>
        <w:t>Table 3 summarizes the empirical metric impact of semantic canonical normalization measured during the two-pass ablation study.</w:t>
      </w:r>
    </w:p>
    <w:p w14:paraId="17F928D7">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09DD34EF">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0E364019">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3A0CD186">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07CC0946">
            <w:pPr>
              <w:spacing w:before="40" w:after="40"/>
              <w:jc w:val="center"/>
            </w:pPr>
            <w:r>
              <w:rPr>
                <w:rFonts w:ascii="Times New Roman" w:hAnsi="Times New Roman"/>
                <w:b/>
                <w:color w:val="FFFFFF"/>
                <w:sz w:val="19"/>
              </w:rPr>
              <w:t>Mean WER</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747A4854">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F1F416A">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79F7D005">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A0DDE50">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00CAB29A">
            <w:pPr>
              <w:spacing w:before="40" w:after="40"/>
              <w:jc w:val="center"/>
            </w:pPr>
            <w:r>
              <w:rPr>
                <w:rFonts w:ascii="Times New Roman" w:hAnsi="Times New Roman"/>
                <w:sz w:val="18"/>
              </w:rPr>
              <w:t>285.31%</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4F51C18F">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C52DCBC">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02385BA7">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1835AC34">
            <w:pPr>
              <w:spacing w:before="40" w:after="40"/>
              <w:jc w:val="center"/>
            </w:pPr>
            <w:r>
              <w:rPr>
                <w:rFonts w:ascii="Times New Roman" w:hAnsi="Times New Roman"/>
                <w:b/>
                <w:sz w:val="18"/>
              </w:rPr>
              <w:t>27.01%</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79B68280">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1C43BF7A">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40D0B3CF">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6552A3AE">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78569E93">
            <w:pPr>
              <w:spacing w:before="40" w:after="40"/>
              <w:jc w:val="center"/>
            </w:pPr>
            <w:r>
              <w:rPr>
                <w:rFonts w:ascii="Times New Roman" w:hAnsi="Times New Roman"/>
                <w:b/>
                <w:sz w:val="18"/>
              </w:rPr>
              <w:t>-258.30%</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5D041F5A">
      <w:pPr>
        <w:spacing w:after="120"/>
      </w:pPr>
    </w:p>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6BAA8573">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4949581">
      <w:pPr>
        <w:spacing w:after="120"/>
      </w:pPr>
    </w:p>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7: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7: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7: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7: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rPr>
          <w:rFonts w:ascii="Times New Roman" w:hAnsi="Times New Roman"/>
          <w:sz w:val="20"/>
        </w:rPr>
        <w:t xml:space="preserve">Routing field extractions through CanonicalNormalizer (Pass B) recovers true extraction performance, boosting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ns3:oMath>
        <ns3:r>
          <ns3:rPr/>
          <w:rPr>
            <w:rFonts w:ascii="Cambria Math" w:hAnsi="Cambria Math"/>
          </w:rPr>
          <ns3:t>N=5,760</ns3:t>
        </ns3:r>
      </ns3:oMath>
      <w:r>
        <w:rPr>
          <w:rFonts w:ascii="Times New Roman" w:hAnsi="Times New Roman"/>
          <w:sz w:val="20"/>
        </w:rPr>
        <w:t>).</w:t>
      </w:r>
    </w:p>
    <w:p w14:paraId="5DAB0695">
      <w:pPr>
        <w:spacing w:before="40" w:after="80" w:line="276" w:lineRule="auto"/>
      </w:pPr>
      <w:r>
        <w:rPr>
          <w:rFonts w:ascii="Times New Roman" w:hAnsi="Times New Roman"/>
          <w:sz w:val="20"/>
        </w:rPr>
        <w:t>Table 5 summarizes statistical hypothesis testing results across the 5,760 paired field observations.</w:t>
      </w:r>
    </w:p>
    <w:p w14:paraId="0E5E9854">
      <w:pPr>
        <w:keepNext/>
        <w:spacing w:before="80" w:after="160"/>
        <w:jc w:val="center"/>
      </w:pPr>
      <w:r>
        <w:rPr>
          <w:rFonts w:ascii="Times New Roman" w:hAnsi="Times New Roman"/>
          <w:b/>
          <w:color w:val="003366"/>
          <w:sz w:val="19"/>
        </w:rPr>
        <w:t>Table 5: Statistical Hypothesis Testing Summary (</w:t>
      </w:r>
      <ns3:oMath>
        <ns3:r>
          <ns3:rPr/>
          <w:rPr>
            <w:rFonts w:ascii="Cambria Math" w:hAnsi="Cambria Math"/>
          </w:rPr>
          <ns3:t>α=0.001</ns3:t>
        </ns3:r>
      </ns3: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16DFBE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18CB6E77">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6140756C">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764AAC8C">
            <w:pPr>
              <w:spacing w:before="40" w:after="40"/>
              <w:jc w:val="center"/>
            </w:pPr>
            <w:r>
              <w:rPr>
                <w:rFonts w:ascii="Times New Roman" w:hAnsi="Times New Roman"/>
                <w:b/>
                <w:color w:val="FFFFFF"/>
                <w:sz w:val="19"/>
              </w:rPr>
              <w:t>Null Hypothesis (</w:t>
            </w:r>
            <ns3:oMath>
              <ns3:sSub>
                <ns3:sSubPr/>
                <ns3:e>
                  <ns3:r>
                    <ns3:rPr/>
                    <w:rPr>
                      <w:rFonts w:ascii="Cambria Math" w:hAnsi="Cambria Math"/>
                    </w:rPr>
                    <ns3:t>H</ns3:t>
                  </ns3:r>
                </ns3:e>
                <ns3:sub>
                  <ns3:r>
                    <ns3:rPr/>
                    <w:rPr>
                      <w:rFonts w:ascii="Cambria Math" w:hAnsi="Cambria Math"/>
                    </w:rPr>
                    <ns3:t>0</ns3:t>
                  </ns3:r>
                </ns3:sub>
              </ns3:sSub>
            </ns3: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7D6B92D6">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030B7A06">
            <w:pPr>
              <w:spacing w:before="40" w:after="40"/>
              <w:jc w:val="center"/>
            </w:pPr>
            <w:r>
              <w:rPr>
                <w:rFonts w:ascii="Times New Roman" w:hAnsi="Times New Roman"/>
                <w:b/>
                <w:color w:val="FFFFFF"/>
                <w:sz w:val="19"/>
              </w:rPr>
              <w:t xml:space="preserve">Exact </w:t>
            </w:r>
            <ns3:oMath>
              <ns3:r>
                <ns3:rPr/>
                <w:rPr>
                  <w:rFonts w:ascii="Cambria Math" w:hAnsi="Cambria Math"/>
                </w:rPr>
                <ns3:t>p</ns3:t>
              </ns3:r>
            </ns3: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4C6E366B">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FB2FEBF">
            <w:pPr>
              <w:spacing w:before="40" w:after="40"/>
              <w:jc w:val="center"/>
            </w:pPr>
            <w:r>
              <w:rPr>
                <w:rFonts w:ascii="Times New Roman" w:hAnsi="Times New Roman"/>
                <w:b/>
                <w:color w:val="FFFFFF"/>
                <w:sz w:val="19"/>
              </w:rPr>
              <w:t>Significance Level</w:t>
            </w:r>
          </w:p>
        </w:tc>
      </w:tr>
      <w:tr w14:paraId="109DED9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05AF4432">
            <w:pPr>
              <w:spacing w:before="40" w:after="40"/>
              <w:jc w:val="left"/>
            </w:pPr>
            <w:r>
              <w:rPr>
                <w:rFonts w:ascii="Times New Roman" w:hAnsi="Times New Roman"/>
                <w:b/>
                <w:sz w:val="18"/>
              </w:rPr>
              <w:t>McNemar Test</w:t>
            </w:r>
            <w:r>
              <w:rPr>
                <w:rFonts w:ascii="Times New Roman" w:hAnsi="Times New Roman"/>
                <w:sz w:val="18"/>
              </w:rPr>
              <w:t xml:space="preserve"> [22]</w:t>
            </w:r>
          </w:p>
        </w:tc>
        <w:tc>
          <w:tcPr>
            <w:tcW w:w="1337" w:type="dxa"/>
            <w:shd w:val="clear" w:color="auto" w:fill="FFFFFF"/>
            <w:tcMar>
              <w:top w:w="100" w:type="dxa"/>
              <w:left w:w="130" w:type="dxa"/>
              <w:bottom w:w="100" w:type="dxa"/>
              <w:right w:w="130" w:type="dxa"/>
            </w:tcMar>
          </w:tcPr>
          <w:p w14:paraId="74644C47">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08916090">
            <w:pPr>
              <w:spacing w:before="40" w:after="40"/>
              <w:jc w:val="center"/>
            </w:pPr>
            <ns3:oMathPara>
              <ns3:oMath>
                <ns3:sSub>
                  <ns3:sSubPr/>
                  <ns3:e>
                    <ns3:r>
                      <ns3:rPr/>
                      <w:rPr>
                        <w:rFonts w:ascii="Times New Roman" w:hAnsi="Times New Roman"/>
                      </w:rPr>
                      <ns3:t>Acc</ns3:t>
                    </ns3:r>
                  </ns3:e>
                  <ns3:sub>
                    <ns3:r>
                      <ns3:rPr/>
                      <w:rPr>
                        <w:rFonts w:ascii="Times New Roman" w:hAnsi="Times New Roman"/>
                      </w:rPr>
                      <ns3:t>Pass A</ns3:t>
                    </ns3:r>
                  </ns3:sub>
                </ns3:sSub>
                <ns3:r>
                  <ns3:rPr/>
                  <w:rPr>
                    <w:rFonts w:ascii="Cambria Math" w:hAnsi="Cambria Math"/>
                  </w:rPr>
                  <ns3:t>=</ns3:t>
                </ns3:r>
                <ns3:sSub>
                  <ns3:sSubPr/>
                  <ns3:e>
                    <ns3:r>
                      <ns3:rPr/>
                      <w:rPr>
                        <w:rFonts w:ascii="Times New Roman" w:hAnsi="Times New Roman"/>
                      </w:rPr>
                      <ns3:t>Acc</ns3:t>
                    </ns3:r>
                  </ns3:e>
                  <ns3:sub>
                    <ns3:r>
                      <ns3:rPr/>
                      <w:rPr>
                        <w:rFonts w:ascii="Times New Roman" w:hAnsi="Times New Roman"/>
                      </w:rPr>
                      <ns3:t>Pass B</ns3:t>
                    </ns3:r>
                  </ns3:sub>
                </ns3:sSub>
              </ns3:oMath>
            </ns3:oMathPara>
          </w:p>
        </w:tc>
        <w:tc>
          <w:tcPr>
            <w:tcW w:w="1337" w:type="dxa"/>
            <w:shd w:val="clear" w:color="auto" w:fill="FFFFFF"/>
            <w:tcMar>
              <w:top w:w="100" w:type="dxa"/>
              <w:left w:w="130" w:type="dxa"/>
              <w:bottom w:w="100" w:type="dxa"/>
              <w:right w:w="130" w:type="dxa"/>
            </w:tcMar>
          </w:tcPr>
          <w:p w14:paraId="0D99A008">
            <w:pPr>
              <w:spacing w:before="40" w:after="40"/>
              <w:jc w:val="center"/>
            </w:pPr>
            <ns3:oMathPara>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Para>
          </w:p>
        </w:tc>
        <w:tc>
          <w:tcPr>
            <w:tcW w:w="1337" w:type="dxa"/>
            <w:shd w:val="clear" w:color="auto" w:fill="FFFFFF"/>
            <w:tcMar>
              <w:top w:w="100" w:type="dxa"/>
              <w:left w:w="130" w:type="dxa"/>
              <w:bottom w:w="100" w:type="dxa"/>
              <w:right w:w="130" w:type="dxa"/>
            </w:tcMar>
          </w:tcPr>
          <w:p w14:paraId="41BD005C">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FFFFF"/>
            <w:tcMar>
              <w:top w:w="100" w:type="dxa"/>
              <w:left w:w="130" w:type="dxa"/>
              <w:bottom w:w="100" w:type="dxa"/>
              <w:right w:w="130" w:type="dxa"/>
            </w:tcMar>
          </w:tcPr>
          <w:p w14:paraId="100D1F57">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78133BB7">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5A435A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607AE8AD">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8F9FA"/>
            <w:tcMar>
              <w:top w:w="100" w:type="dxa"/>
              <w:left w:w="130" w:type="dxa"/>
              <w:bottom w:w="100" w:type="dxa"/>
              <w:right w:w="130" w:type="dxa"/>
            </w:tcMar>
          </w:tcPr>
          <w:p w14:paraId="0A682091">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EFA2065">
            <w:pPr>
              <w:spacing w:before="40" w:after="40"/>
              <w:jc w:val="center"/>
            </w:pPr>
            <ns3:oMathPara>
              <ns3:oMath>
                <ns3:r>
                  <ns3:rPr/>
                  <w:rPr>
                    <w:rFonts w:ascii="Times New Roman" w:hAnsi="Times New Roman"/>
                  </w:rPr>
                  <ns3:t>Median</ns3:t>
                </ns3:r>
                <ns3:r>
                  <ns3:rPr/>
                  <w:rPr>
                    <w:rFonts w:ascii="Cambria Math" w:hAnsi="Cambria Math"/>
                  </w:rPr>
                  <ns3:t>(Δ</ns3:t>
                </ns3:r>
                <ns3:r>
                  <ns3:rPr/>
                  <w:rPr>
                    <w:rFonts w:ascii="Times New Roman" w:hAnsi="Times New Roman"/>
                  </w:rPr>
                  <ns3:t>F1</ns3:t>
                </ns3:r>
                <ns3:r>
                  <ns3:rPr/>
                  <w:rPr>
                    <w:rFonts w:ascii="Cambria Math" w:hAnsi="Cambria Math"/>
                  </w:rPr>
                  <ns3:t>)=0</ns3:t>
                </ns3:r>
              </ns3:oMath>
            </ns3:oMathPara>
          </w:p>
        </w:tc>
        <w:tc>
          <w:tcPr>
            <w:tcW w:w="1337" w:type="dxa"/>
            <w:shd w:val="clear" w:color="auto" w:fill="F8F9FA"/>
            <w:tcMar>
              <w:top w:w="100" w:type="dxa"/>
              <w:left w:w="130" w:type="dxa"/>
              <w:bottom w:w="100" w:type="dxa"/>
              <w:right w:w="130" w:type="dxa"/>
            </w:tcMar>
          </w:tcPr>
          <w:p w14:paraId="163C01BF">
            <w:pPr>
              <w:spacing w:before="40" w:after="40"/>
              <w:jc w:val="center"/>
            </w:pPr>
            <ns3:oMathPara>
              <ns3:oMath>
                <ns3:r>
                  <ns3:rPr/>
                  <w:rPr>
                    <w:rFonts w:ascii="Cambria Math" w:hAnsi="Cambria Math"/>
                  </w:rPr>
                  <ns3:t>W=64980.0</ns3:t>
                </ns3:r>
              </ns3:oMath>
            </ns3:oMathPara>
          </w:p>
        </w:tc>
        <w:tc>
          <w:tcPr>
            <w:tcW w:w="1337" w:type="dxa"/>
            <w:shd w:val="clear" w:color="auto" w:fill="F8F9FA"/>
            <w:tcMar>
              <w:top w:w="100" w:type="dxa"/>
              <w:left w:w="130" w:type="dxa"/>
              <w:bottom w:w="100" w:type="dxa"/>
              <w:right w:w="130" w:type="dxa"/>
            </w:tcMar>
          </w:tcPr>
          <w:p w14:paraId="3DEF9D35">
            <w:pPr>
              <w:spacing w:before="40" w:after="40"/>
              <w:jc w:val="center"/>
            </w:pPr>
            <ns3:oMathPara>
              <ns3:oMath>
                <ns3:r>
                  <ns3:rPr/>
                  <w:rPr>
                    <w:rFonts w:ascii="Cambria Math" w:hAnsi="Cambria Math"/>
                  </w:rPr>
                  <ns3:t>1.55×</ns3:t>
                </ns3:r>
                <ns3:sSup>
                  <ns3:sSupPr/>
                  <ns3:e>
                    <ns3:r>
                      <ns3:rPr/>
                      <w:rPr>
                        <w:rFonts w:ascii="Cambria Math" w:hAnsi="Cambria Math"/>
                      </w:rPr>
                      <ns3:t>10</ns3:t>
                    </ns3:r>
                  </ns3:e>
                  <ns3:sup>
                    <ns3:r>
                      <ns3:rPr/>
                      <w:rPr>
                        <w:rFonts w:ascii="Cambria Math" w:hAnsi="Cambria Math"/>
                      </w:rPr>
                      <ns3:t>−67</ns3:t>
                    </ns3:r>
                  </ns3:sup>
                </ns3:sSup>
              </ns3:oMath>
            </ns3:oMathPara>
          </w:p>
        </w:tc>
        <w:tc>
          <w:tcPr>
            <w:tcW w:w="1337" w:type="dxa"/>
            <w:shd w:val="clear" w:color="auto" w:fill="F8F9FA"/>
            <w:tcMar>
              <w:top w:w="100" w:type="dxa"/>
              <w:left w:w="130" w:type="dxa"/>
              <w:bottom w:w="100" w:type="dxa"/>
              <w:right w:w="130" w:type="dxa"/>
            </w:tcMar>
          </w:tcPr>
          <w:p w14:paraId="7ABA1916">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8F9FA"/>
            <w:tcMar>
              <w:top w:w="100" w:type="dxa"/>
              <w:left w:w="130" w:type="dxa"/>
              <w:bottom w:w="100" w:type="dxa"/>
              <w:right w:w="130" w:type="dxa"/>
            </w:tcMar>
          </w:tcPr>
          <w:p w14:paraId="0C319A5E">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340E8B5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3D2B9C0F">
            <w:pPr>
              <w:spacing w:before="40" w:after="40"/>
              <w:jc w:val="left"/>
            </w:pPr>
            <w:r>
              <w:rPr>
                <w:rFonts w:ascii="Times New Roman" w:hAnsi="Times New Roman"/>
                <w:b/>
                <w:sz w:val="18"/>
              </w:rPr>
              <w:t>Wilcoxon Signed-Rank</w:t>
            </w:r>
            <w:r>
              <w:rPr>
                <w:rFonts w:ascii="Times New Roman" w:hAnsi="Times New Roman"/>
                <w:sz w:val="18"/>
              </w:rPr>
              <w:t xml:space="preserve"> [23]</w:t>
            </w:r>
          </w:p>
        </w:tc>
        <w:tc>
          <w:tcPr>
            <w:tcW w:w="1337" w:type="dxa"/>
            <w:shd w:val="clear" w:color="auto" w:fill="FFFFFF"/>
            <w:tcMar>
              <w:top w:w="100" w:type="dxa"/>
              <w:left w:w="130" w:type="dxa"/>
              <w:bottom w:w="100" w:type="dxa"/>
              <w:right w:w="130" w:type="dxa"/>
            </w:tcMar>
          </w:tcPr>
          <w:p w14:paraId="5EF5E9AC">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4919BAB7">
            <w:pPr>
              <w:spacing w:before="40" w:after="40"/>
              <w:jc w:val="center"/>
            </w:pPr>
            <ns3:oMathPara>
              <ns3:oMath>
                <ns3:r>
                  <ns3:rPr/>
                  <w:rPr>
                    <w:rFonts w:ascii="Times New Roman" w:hAnsi="Times New Roman"/>
                  </w:rPr>
                  <ns3:t>Median</ns3:t>
                </ns3:r>
                <ns3:r>
                  <ns3:rPr/>
                  <w:rPr>
                    <w:rFonts w:ascii="Cambria Math" w:hAnsi="Cambria Math"/>
                  </w:rPr>
                  <ns3:t>(Δ</ns3:t>
                </ns3:r>
                <ns3:r>
                  <ns3:rPr/>
                  <w:rPr>
                    <w:rFonts w:ascii="Times New Roman" w:hAnsi="Times New Roman"/>
                  </w:rPr>
                  <ns3:t>CER</ns3:t>
                </ns3:r>
                <ns3:r>
                  <ns3:rPr/>
                  <w:rPr>
                    <w:rFonts w:ascii="Cambria Math" w:hAnsi="Cambria Math"/>
                  </w:rPr>
                  <ns3:t>)=0</ns3:t>
                </ns3:r>
              </ns3:oMath>
            </ns3:oMathPara>
          </w:p>
        </w:tc>
        <w:tc>
          <w:tcPr>
            <w:tcW w:w="1337" w:type="dxa"/>
            <w:shd w:val="clear" w:color="auto" w:fill="FFFFFF"/>
            <w:tcMar>
              <w:top w:w="100" w:type="dxa"/>
              <w:left w:w="130" w:type="dxa"/>
              <w:bottom w:w="100" w:type="dxa"/>
              <w:right w:w="130" w:type="dxa"/>
            </w:tcMar>
          </w:tcPr>
          <w:p w14:paraId="58A1A845">
            <w:pPr>
              <w:spacing w:before="40" w:after="40"/>
              <w:jc w:val="center"/>
            </w:pPr>
            <ns3:oMathPara>
              <ns3:oMath>
                <ns3:r>
                  <ns3:rPr/>
                  <w:rPr>
                    <w:rFonts w:ascii="Cambria Math" w:hAnsi="Cambria Math"/>
                  </w:rPr>
                  <ns3:t>W=64980.0</ns3:t>
                </ns3:r>
              </ns3:oMath>
            </ns3:oMathPara>
          </w:p>
        </w:tc>
        <w:tc>
          <w:tcPr>
            <w:tcW w:w="1337" w:type="dxa"/>
            <w:shd w:val="clear" w:color="auto" w:fill="FFFFFF"/>
            <w:tcMar>
              <w:top w:w="100" w:type="dxa"/>
              <w:left w:w="130" w:type="dxa"/>
              <w:bottom w:w="100" w:type="dxa"/>
              <w:right w:w="130" w:type="dxa"/>
            </w:tcMar>
          </w:tcPr>
          <w:p w14:paraId="6A32979F">
            <w:pPr>
              <w:spacing w:before="40" w:after="40"/>
              <w:jc w:val="center"/>
            </w:pPr>
            <ns3:oMathPara>
              <ns3:oMath>
                <ns3:r>
                  <ns3:rPr/>
                  <w:rPr>
                    <w:rFonts w:ascii="Cambria Math" w:hAnsi="Cambria Math"/>
                  </w:rPr>
                  <ns3:t>4.68×</ns3:t>
                </ns3:r>
                <ns3:sSup>
                  <ns3:sSupPr/>
                  <ns3:e>
                    <ns3:r>
                      <ns3:rPr/>
                      <w:rPr>
                        <w:rFonts w:ascii="Cambria Math" w:hAnsi="Cambria Math"/>
                      </w:rPr>
                      <ns3:t>10</ns3:t>
                    </ns3:r>
                  </ns3:e>
                  <ns3:sup>
                    <ns3:r>
                      <ns3:rPr/>
                      <w:rPr>
                        <w:rFonts w:ascii="Cambria Math" w:hAnsi="Cambria Math"/>
                      </w:rPr>
                      <ns3:t>−61</ns3:t>
                    </ns3:r>
                  </ns3:sup>
                </ns3:sSup>
              </ns3:oMath>
            </ns3:oMathPara>
          </w:p>
        </w:tc>
        <w:tc>
          <w:tcPr>
            <w:tcW w:w="1337" w:type="dxa"/>
            <w:shd w:val="clear" w:color="auto" w:fill="FFFFFF"/>
            <w:tcMar>
              <w:top w:w="100" w:type="dxa"/>
              <w:left w:w="130" w:type="dxa"/>
              <w:bottom w:w="100" w:type="dxa"/>
              <w:right w:w="130" w:type="dxa"/>
            </w:tcMar>
          </w:tcPr>
          <w:p w14:paraId="777CBEC9">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1CDFDD94">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68ADB05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08E43F6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358E2A89">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1661063D">
            <w:pPr>
              <w:spacing w:before="40" w:after="40"/>
              <w:jc w:val="center"/>
            </w:pPr>
            <ns3:oMathPara>
              <ns3:oMath>
                <ns3:sSub>
                  <ns3:sSubPr/>
                  <ns3:e>
                    <ns3:r>
                      <ns3:rPr/>
                      <w:rPr>
                        <w:rFonts w:ascii="Cambria Math" w:hAnsi="Cambria Math"/>
                      </w:rPr>
                      <ns3:t>μ</ns3:t>
                    </ns3:r>
                  </ns3:e>
                  <ns3:sub>
                    <ns3:r>
                      <ns3:rPr/>
                      <w:rPr>
                        <w:rFonts w:ascii="Times New Roman" w:hAnsi="Times New Roman"/>
                      </w:rPr>
                      <ns3:t>Pass A</ns3:t>
                    </ns3:r>
                  </ns3:sub>
                </ns3:sSub>
                <ns3:r>
                  <ns3:rPr/>
                  <w:rPr>
                    <w:rFonts w:ascii="Cambria Math" w:hAnsi="Cambria Math"/>
                  </w:rPr>
                  <ns3:t>=</ns3:t>
                </ns3:r>
                <ns3:sSub>
                  <ns3:sSubPr/>
                  <ns3:e>
                    <ns3:r>
                      <ns3:rPr/>
                      <w:rPr>
                        <w:rFonts w:ascii="Cambria Math" w:hAnsi="Cambria Math"/>
                      </w:rPr>
                      <ns3:t>μ</ns3:t>
                    </ns3:r>
                  </ns3:e>
                  <ns3:sub>
                    <ns3:r>
                      <ns3:rPr/>
                      <w:rPr>
                        <w:rFonts w:ascii="Times New Roman" w:hAnsi="Times New Roman"/>
                      </w:rPr>
                      <ns3:t>Pass B</ns3:t>
                    </ns3:r>
                  </ns3:sub>
                </ns3:sSub>
              </ns3:oMath>
            </ns3:oMathPara>
          </w:p>
        </w:tc>
        <w:tc>
          <w:tcPr>
            <w:tcW w:w="1337" w:type="dxa"/>
            <w:shd w:val="clear" w:color="auto" w:fill="F8F9FA"/>
            <w:tcMar>
              <w:top w:w="100" w:type="dxa"/>
              <w:left w:w="130" w:type="dxa"/>
              <w:bottom w:w="100" w:type="dxa"/>
              <w:right w:w="130" w:type="dxa"/>
            </w:tcMar>
          </w:tcPr>
          <w:p w14:paraId="13D9D2F5">
            <w:pPr>
              <w:spacing w:before="40" w:after="40"/>
              <w:jc w:val="center"/>
            </w:pPr>
            <ns3:oMathPara>
              <ns3:oMath>
                <ns3:r>
                  <ns3:rPr/>
                  <w:rPr>
                    <w:rFonts w:ascii="Cambria Math" w:hAnsi="Cambria Math"/>
                  </w:rPr>
                  <ns3:t>t=307.87</ns3:t>
                </ns3:r>
              </ns3:oMath>
            </ns3:oMathPara>
          </w:p>
        </w:tc>
        <w:tc>
          <w:tcPr>
            <w:tcW w:w="1337" w:type="dxa"/>
            <w:shd w:val="clear" w:color="auto" w:fill="F8F9FA"/>
            <w:tcMar>
              <w:top w:w="100" w:type="dxa"/>
              <w:left w:w="130" w:type="dxa"/>
              <w:bottom w:w="100" w:type="dxa"/>
              <w:right w:w="130" w:type="dxa"/>
            </w:tcMar>
          </w:tcPr>
          <w:p w14:paraId="1E5CC5C1">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8F9FA"/>
            <w:tcMar>
              <w:top w:w="100" w:type="dxa"/>
              <w:left w:w="130" w:type="dxa"/>
              <w:bottom w:w="100" w:type="dxa"/>
              <w:right w:w="130" w:type="dxa"/>
            </w:tcMar>
          </w:tcPr>
          <w:p w14:paraId="142ADBF7">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8F9FA"/>
            <w:tcMar>
              <w:top w:w="100" w:type="dxa"/>
              <w:left w:w="130" w:type="dxa"/>
              <w:bottom w:w="100" w:type="dxa"/>
              <w:right w:w="130" w:type="dxa"/>
            </w:tcMar>
          </w:tcPr>
          <w:p w14:paraId="45E8C6CD">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r w14:paraId="0B7C4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2492331F">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0A361868">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11A86AB7">
            <w:pPr>
              <w:spacing w:before="40" w:after="40"/>
              <w:jc w:val="center"/>
            </w:pPr>
            <ns3:oMathPara>
              <ns3:oMath>
                <ns3:sSub>
                  <ns3:sSubPr/>
                  <ns3:e>
                    <ns3:r>
                      <ns3:rPr/>
                      <w:rPr>
                        <w:rFonts w:ascii="Cambria Math" w:hAnsi="Cambria Math"/>
                      </w:rPr>
                      <ns3:t>μ</ns3:t>
                    </ns3:r>
                  </ns3:e>
                  <ns3:sub>
                    <ns3:r>
                      <ns3:rPr/>
                      <w:rPr>
                        <w:rFonts w:ascii="Times New Roman" w:hAnsi="Times New Roman"/>
                      </w:rPr>
                      <ns3:t>Pass A</ns3:t>
                    </ns3:r>
                  </ns3:sub>
                </ns3:sSub>
                <ns3:r>
                  <ns3:rPr/>
                  <w:rPr>
                    <w:rFonts w:ascii="Cambria Math" w:hAnsi="Cambria Math"/>
                  </w:rPr>
                  <ns3:t>=</ns3:t>
                </ns3:r>
                <ns3:sSub>
                  <ns3:sSubPr/>
                  <ns3:e>
                    <ns3:r>
                      <ns3:rPr/>
                      <w:rPr>
                        <w:rFonts w:ascii="Cambria Math" w:hAnsi="Cambria Math"/>
                      </w:rPr>
                      <ns3:t>μ</ns3:t>
                    </ns3:r>
                  </ns3:e>
                  <ns3:sub>
                    <ns3:r>
                      <ns3:rPr/>
                      <w:rPr>
                        <w:rFonts w:ascii="Times New Roman" w:hAnsi="Times New Roman"/>
                      </w:rPr>
                      <ns3:t>Pass B</ns3:t>
                    </ns3:r>
                  </ns3:sub>
                </ns3:sSub>
              </ns3:oMath>
            </ns3:oMathPara>
          </w:p>
        </w:tc>
        <w:tc>
          <w:tcPr>
            <w:tcW w:w="1337" w:type="dxa"/>
            <w:shd w:val="clear" w:color="auto" w:fill="FFFFFF"/>
            <w:tcMar>
              <w:top w:w="100" w:type="dxa"/>
              <w:left w:w="130" w:type="dxa"/>
              <w:bottom w:w="100" w:type="dxa"/>
              <w:right w:w="130" w:type="dxa"/>
            </w:tcMar>
          </w:tcPr>
          <w:p w14:paraId="26950817">
            <w:pPr>
              <w:spacing w:before="40" w:after="40"/>
              <w:jc w:val="center"/>
            </w:pPr>
            <ns3:oMathPara>
              <ns3:oMath>
                <ns3:r>
                  <ns3:rPr/>
                  <w:rPr>
                    <w:rFonts w:ascii="Cambria Math" w:hAnsi="Cambria Math"/>
                  </w:rPr>
                  <ns3:t>t=262.36</ns3:t>
                </ns3:r>
              </ns3:oMath>
            </ns3:oMathPara>
          </w:p>
        </w:tc>
        <w:tc>
          <w:tcPr>
            <w:tcW w:w="1337" w:type="dxa"/>
            <w:shd w:val="clear" w:color="auto" w:fill="FFFFFF"/>
            <w:tcMar>
              <w:top w:w="100" w:type="dxa"/>
              <w:left w:w="130" w:type="dxa"/>
              <w:bottom w:w="100" w:type="dxa"/>
              <w:right w:w="130" w:type="dxa"/>
            </w:tcMar>
          </w:tcPr>
          <w:p w14:paraId="4FDF2C2A">
            <w:pPr>
              <w:spacing w:before="40" w:after="40"/>
              <w:jc w:val="center"/>
            </w:pPr>
            <ns3:oMathPara>
              <ns3:oMath>
                <ns3:r>
                  <ns3:rPr/>
                  <w:rPr>
                    <w:rFonts w:ascii="Cambria Math" w:hAnsi="Cambria Math"/>
                  </w:rPr>
                  <ns3:t>&lt;1.0×</ns3:t>
                </ns3:r>
                <ns3:sSup>
                  <ns3:sSupPr/>
                  <ns3:e>
                    <ns3:r>
                      <ns3:rPr/>
                      <w:rPr>
                        <w:rFonts w:ascii="Cambria Math" w:hAnsi="Cambria Math"/>
                      </w:rPr>
                      <ns3:t>10</ns3:t>
                    </ns3:r>
                  </ns3:e>
                  <ns3:sup>
                    <ns3:r>
                      <ns3:rPr/>
                      <w:rPr>
                        <w:rFonts w:ascii="Cambria Math" w:hAnsi="Cambria Math"/>
                      </w:rPr>
                      <ns3:t>−15</ns3:t>
                    </ns3:r>
                  </ns3:sup>
                </ns3:sSup>
              </ns3:oMath>
            </ns3:oMathPara>
          </w:p>
        </w:tc>
        <w:tc>
          <w:tcPr>
            <w:tcW w:w="1337" w:type="dxa"/>
            <w:shd w:val="clear" w:color="auto" w:fill="FFFFFF"/>
            <w:tcMar>
              <w:top w:w="100" w:type="dxa"/>
              <w:left w:w="130" w:type="dxa"/>
              <w:bottom w:w="100" w:type="dxa"/>
              <w:right w:w="130" w:type="dxa"/>
            </w:tcMar>
          </w:tcPr>
          <w:p w14:paraId="4BD8E7D9">
            <w:pPr>
              <w:spacing w:before="40" w:after="40"/>
              <w:jc w:val="center"/>
            </w:pPr>
            <w:r>
              <w:rPr>
                <w:rFonts w:ascii="Times New Roman" w:hAnsi="Times New Roman"/>
                <w:b/>
                <w:sz w:val="18"/>
              </w:rPr>
              <w:t xml:space="preserve">Reject </w:t>
            </w:r>
            <ns3:oMath>
              <ns3:sSub>
                <ns3:sSubPr/>
                <ns3:e>
                  <ns3:r>
                    <ns3:rPr/>
                    <w:rPr>
                      <w:rFonts w:ascii="Cambria Math" w:hAnsi="Cambria Math"/>
                    </w:rPr>
                    <ns3:t>H</ns3:t>
                  </ns3:r>
                </ns3:e>
                <ns3:sub>
                  <ns3:r>
                    <ns3:rPr/>
                    <w:rPr>
                      <w:rFonts w:ascii="Cambria Math" w:hAnsi="Cambria Math"/>
                    </w:rPr>
                    <ns3:t>0</ns3:t>
                  </ns3:r>
                </ns3:sub>
              </ns3:sSub>
            </ns3:oMath>
          </w:p>
        </w:tc>
        <w:tc>
          <w:tcPr>
            <w:tcW w:w="1337" w:type="dxa"/>
            <w:shd w:val="clear" w:color="auto" w:fill="FFFFFF"/>
            <w:tcMar>
              <w:top w:w="100" w:type="dxa"/>
              <w:left w:w="130" w:type="dxa"/>
              <w:bottom w:w="100" w:type="dxa"/>
              <w:right w:w="130" w:type="dxa"/>
            </w:tcMar>
          </w:tcPr>
          <w:p w14:paraId="0E798EB2">
            <w:pPr>
              <w:spacing w:before="40" w:after="40"/>
              <w:jc w:val="center"/>
            </w:pPr>
            <ns3:oMath>
              <ns3:r>
                <ns3:rPr/>
                <w:rPr>
                  <w:rFonts w:ascii="Cambria Math" w:hAnsi="Cambria Math"/>
                </w:rPr>
                <ns3:t>p&lt;0.0001</ns3:t>
              </ns3:r>
            </ns3:oMath>
            <w:r>
              <w:rPr>
                <w:rFonts w:ascii="Times New Roman" w:hAnsi="Times New Roman"/>
                <w:b/>
                <w:sz w:val="18"/>
              </w:rPr>
              <w:t xml:space="preserve"> (Statistically Significant)</w:t>
            </w:r>
          </w:p>
        </w:tc>
      </w:tr>
    </w:tbl>
    <w:p w14:paraId="3E373470">
      <w:pPr>
        <w:spacing w:after="120"/>
      </w:pPr>
    </w:p>
    <w:p w14:paraId="788D6430">
      <w:pPr>
        <w:spacing w:before="40" w:after="80" w:line="276" w:lineRule="auto"/>
      </w:pPr>
      <w:r>
        <w:rPr>
          <w:rFonts w:ascii="Times New Roman" w:hAnsi="Times New Roman"/>
          <w:sz w:val="20"/>
        </w:rPr>
        <w:t xml:space="preserve">McNemar's test [22] over the </w:t>
      </w:r>
      <ns3:oMath>
        <ns3:r>
          <ns3:rPr/>
          <w:rPr>
            <w:rFonts w:ascii="Cambria Math" w:hAnsi="Cambria Math"/>
          </w:rPr>
          <ns3:t>2×2</ns3:t>
        </ns3:r>
      </ns3:oMath>
      <w:r>
        <w:rPr>
          <w:rFonts w:ascii="Times New Roman" w:hAnsi="Times New Roman"/>
          <w:sz w:val="20"/>
        </w:rPr>
        <w:t xml:space="preserve"> contingency matrix (</w:t>
      </w:r>
      <ns3:oMath>
        <ns3:r>
          <ns3:rPr/>
          <w:rPr>
            <w:rFonts w:ascii="Cambria Math" w:hAnsi="Cambria Math"/>
          </w:rPr>
          <ns3:t>a=2,880,b=0,c=2,620,d=260</ns3:t>
        </ns3:r>
      </ns3:oMath>
      <w:r>
        <w:rPr>
          <w:rFonts w:ascii="Times New Roman" w:hAnsi="Times New Roman"/>
          <w:sz w:val="20"/>
        </w:rPr>
        <w:t xml:space="preserve">) yielded </w:t>
      </w:r>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w:r>
        <w:rPr>
          <w:rFonts w:ascii="Times New Roman" w:hAnsi="Times New Roman"/>
          <w:sz w:val="20"/>
        </w:rPr>
        <w:t xml:space="preserve"> (</w:t>
      </w:r>
      <ns3:oMath>
        <ns3:r>
          <ns3:rPr/>
          <w:rPr>
            <w:rFonts w:ascii="Cambria Math" w:hAnsi="Cambria Math"/>
          </w:rPr>
          <ns3:t>p&lt;0.0001</ns3:t>
        </ns3:r>
      </ns3:oMath>
      <w:r>
        <w:rPr>
          <w:rFonts w:ascii="Times New Roman" w:hAnsi="Times New Roman"/>
          <w:sz w:val="20"/>
        </w:rPr>
        <w:t>), confirming that canonical normalization provides an overwhelmingly statistically significant improvement in field match accuracy.</w:t>
      </w:r>
    </w:p>
    <w:p w14:paraId="4F9F57F8">
      <w:pPr>
        <w:keepNext/>
        <w:spacing w:before="200" w:after="80"/>
      </w:pPr>
      <w:r>
        <w:rPr>
          <w:rFonts w:ascii="Times New Roman" w:hAnsi="Times New Roman"/>
          <w:b/>
          <w:color w:val="333333"/>
          <w:sz w:val="23"/>
        </w:rPr>
        <w:t>5.7 Non-Parametric 95% Bootstrap Confidence Intervals</w:t>
      </w:r>
    </w:p>
    <w:p w14:paraId="578DDAEE">
      <w:pPr>
        <w:spacing w:before="40" w:after="80" w:line="276" w:lineRule="auto"/>
      </w:pPr>
      <w:r>
        <w:rPr>
          <w:rFonts w:ascii="Times New Roman" w:hAnsi="Times New Roman"/>
          <w:sz w:val="20"/>
        </w:rPr>
        <w:t>To establish rigorous confidence bounds, non-parametric empirical bootstrap resampling (</w:t>
      </w:r>
      <ns3:oMath>
        <ns3:r>
          <ns3:rPr/>
          <w:rPr>
            <w:rFonts w:ascii="Cambria Math" w:hAnsi="Cambria Math"/>
          </w:rPr>
          <ns3:t>B=1,000</ns3:t>
        </ns3:r>
      </ns3:oMath>
      <w:r>
        <w:rPr>
          <w:rFonts w:ascii="Times New Roman" w:hAnsi="Times New Roman"/>
          <w:sz w:val="20"/>
        </w:rPr>
        <w:t xml:space="preserve"> iterations) [24] was performed over the 5,760 field observations.</w:t>
      </w:r>
    </w:p>
    <w:p w14:paraId="69FABC89">
      <w:pPr>
        <w:spacing w:before="40" w:after="80" w:line="276" w:lineRule="auto"/>
      </w:pPr>
      <w:r>
        <w:rPr>
          <w:rFonts w:ascii="Times New Roman" w:hAnsi="Times New Roman"/>
          <w:sz w:val="20"/>
        </w:rPr>
        <w:t>Table 6 presents empirical benchmark metrics with 95% bootstrap confidence intervals (</w:t>
      </w:r>
      <ns3:oMath>
        <ns3:r>
          <ns3:rPr/>
          <w:rPr>
            <w:rFonts w:ascii="Cambria Math" w:hAnsi="Cambria Math"/>
          </w:rPr>
          <ns3:t>B=1,000</ns3:t>
        </ns3:r>
      </ns3:oMath>
      <w:r>
        <w:rPr>
          <w:rFonts w:ascii="Times New Roman" w:hAnsi="Times New Roman"/>
          <w:sz w:val="20"/>
        </w:rPr>
        <w:t xml:space="preserve"> iterations).</w:t>
      </w:r>
    </w:p>
    <w:p w14:paraId="1B82FFBA">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294A806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0A0697C1">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4DF1546A">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8D81D90">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0B7C0D98">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3909E36F">
            <w:pPr>
              <w:spacing w:before="40" w:after="40"/>
              <w:jc w:val="center"/>
            </w:pPr>
            <w:r>
              <w:rPr>
                <w:rFonts w:ascii="Times New Roman" w:hAnsi="Times New Roman"/>
                <w:b/>
                <w:color w:val="FFFFFF"/>
                <w:sz w:val="19"/>
              </w:rPr>
              <w:t>CI Bound Range (</w:t>
            </w:r>
            <ns3:oMath>
              <ns3:r>
                <ns3:rPr/>
                <w:rPr>
                  <w:rFonts w:ascii="Cambria Math" w:hAnsi="Cambria Math"/>
                </w:rPr>
                <ns3:t>Δ</ns3:t>
              </ns3:r>
            </ns3:oMath>
            <w:r>
              <w:rPr>
                <w:rFonts w:ascii="Times New Roman" w:hAnsi="Times New Roman"/>
                <w:b/>
                <w:color w:val="FFFFFF"/>
                <w:sz w:val="19"/>
              </w:rPr>
              <w:t>)</w:t>
            </w:r>
          </w:p>
        </w:tc>
      </w:tr>
      <w:tr w14:paraId="21E4C5B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41B91A7">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1E6539DE">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7ABB059B">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102C1047">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5D0E149B">
            <w:pPr>
              <w:spacing w:before="40" w:after="40"/>
              <w:jc w:val="center"/>
            </w:pPr>
            <w:r>
              <w:rPr>
                <w:rFonts w:ascii="Times New Roman" w:hAnsi="Times New Roman"/>
                <w:sz w:val="18"/>
              </w:rPr>
              <w:t>2.57%</w:t>
            </w:r>
          </w:p>
        </w:tc>
      </w:tr>
      <w:tr w14:paraId="4537DCA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4FDD5C8B">
            <w:pPr>
              <w:spacing w:before="40" w:after="40"/>
              <w:jc w:val="left"/>
            </w:pPr>
          </w:p>
        </w:tc>
        <w:tc>
          <w:tcPr>
            <w:tcW w:w="1872" w:type="dxa"/>
            <w:shd w:val="clear" w:color="auto" w:fill="F8F9FA"/>
            <w:tcMar>
              <w:top w:w="100" w:type="dxa"/>
              <w:left w:w="130" w:type="dxa"/>
              <w:bottom w:w="100" w:type="dxa"/>
              <w:right w:w="130" w:type="dxa"/>
            </w:tcMar>
          </w:tcPr>
          <w:p w14:paraId="02960C6D">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0F75021E">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11901F40">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24EB4D4B">
            <w:pPr>
              <w:spacing w:before="40" w:after="40"/>
              <w:jc w:val="center"/>
            </w:pPr>
            <w:r>
              <w:rPr>
                <w:rFonts w:ascii="Times New Roman" w:hAnsi="Times New Roman"/>
                <w:sz w:val="18"/>
              </w:rPr>
              <w:t>2.44%</w:t>
            </w:r>
          </w:p>
        </w:tc>
      </w:tr>
      <w:tr w14:paraId="49FC872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892F53B">
            <w:pPr>
              <w:spacing w:before="40" w:after="40"/>
              <w:jc w:val="left"/>
            </w:pPr>
          </w:p>
        </w:tc>
        <w:tc>
          <w:tcPr>
            <w:tcW w:w="1872" w:type="dxa"/>
            <w:shd w:val="clear" w:color="auto" w:fill="FFFFFF"/>
            <w:tcMar>
              <w:top w:w="100" w:type="dxa"/>
              <w:left w:w="130" w:type="dxa"/>
              <w:bottom w:w="100" w:type="dxa"/>
              <w:right w:w="130" w:type="dxa"/>
            </w:tcMar>
          </w:tcPr>
          <w:p w14:paraId="360A6C95">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4C2F56DF">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3F1938DC">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15558EED">
            <w:pPr>
              <w:spacing w:before="40" w:after="40"/>
              <w:jc w:val="center"/>
            </w:pPr>
            <w:r>
              <w:rPr>
                <w:rFonts w:ascii="Times New Roman" w:hAnsi="Times New Roman"/>
                <w:sz w:val="18"/>
              </w:rPr>
              <w:t>18.62%</w:t>
            </w:r>
          </w:p>
        </w:tc>
      </w:tr>
      <w:tr w14:paraId="67C142C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0D634840">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04D53ED">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6AD58B08">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1813561B">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73996FA0">
            <w:pPr>
              <w:spacing w:before="40" w:after="40"/>
              <w:jc w:val="center"/>
            </w:pPr>
            <w:r>
              <w:rPr>
                <w:rFonts w:ascii="Times New Roman" w:hAnsi="Times New Roman"/>
                <w:sz w:val="18"/>
              </w:rPr>
              <w:t>1.08%</w:t>
            </w:r>
          </w:p>
        </w:tc>
      </w:tr>
      <w:tr w14:paraId="51A91D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0175F5E1">
            <w:pPr>
              <w:spacing w:before="40" w:after="40"/>
              <w:jc w:val="left"/>
            </w:pPr>
          </w:p>
        </w:tc>
        <w:tc>
          <w:tcPr>
            <w:tcW w:w="1872" w:type="dxa"/>
            <w:shd w:val="clear" w:color="auto" w:fill="FFFFFF"/>
            <w:tcMar>
              <w:top w:w="100" w:type="dxa"/>
              <w:left w:w="130" w:type="dxa"/>
              <w:bottom w:w="100" w:type="dxa"/>
              <w:right w:w="130" w:type="dxa"/>
            </w:tcMar>
          </w:tcPr>
          <w:p w14:paraId="63767A61">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206987E7">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1D0E22E4">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7538C8F1">
            <w:pPr>
              <w:spacing w:before="40" w:after="40"/>
              <w:jc w:val="center"/>
            </w:pPr>
            <w:r>
              <w:rPr>
                <w:rFonts w:ascii="Times New Roman" w:hAnsi="Times New Roman"/>
                <w:sz w:val="18"/>
              </w:rPr>
              <w:t>0.87%</w:t>
            </w:r>
          </w:p>
        </w:tc>
      </w:tr>
      <w:tr w14:paraId="0D14952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20542A2B">
            <w:pPr>
              <w:spacing w:before="40" w:after="40"/>
              <w:jc w:val="left"/>
            </w:pPr>
          </w:p>
        </w:tc>
        <w:tc>
          <w:tcPr>
            <w:tcW w:w="1872" w:type="dxa"/>
            <w:shd w:val="clear" w:color="auto" w:fill="F8F9FA"/>
            <w:tcMar>
              <w:top w:w="100" w:type="dxa"/>
              <w:left w:w="130" w:type="dxa"/>
              <w:bottom w:w="100" w:type="dxa"/>
              <w:right w:w="130" w:type="dxa"/>
            </w:tcMar>
          </w:tcPr>
          <w:p w14:paraId="0713551E">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264DBD4D">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727D1F8B">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1C90193B">
            <w:pPr>
              <w:spacing w:before="40" w:after="40"/>
              <w:jc w:val="center"/>
            </w:pPr>
            <w:r>
              <w:rPr>
                <w:rFonts w:ascii="Times New Roman" w:hAnsi="Times New Roman"/>
                <w:sz w:val="18"/>
              </w:rPr>
              <w:t>6.40%</w:t>
            </w:r>
          </w:p>
        </w:tc>
      </w:tr>
      <w:tr w14:paraId="29A425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FEC84D8">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43978F90">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6F6FE408">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5BE80B9C">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33D20716">
            <w:pPr>
              <w:spacing w:before="40" w:after="40"/>
              <w:jc w:val="center"/>
            </w:pPr>
            <w:r>
              <w:rPr>
                <w:rFonts w:ascii="Times New Roman" w:hAnsi="Times New Roman"/>
                <w:sz w:val="18"/>
              </w:rPr>
              <w:t>2.53%</w:t>
            </w:r>
          </w:p>
        </w:tc>
      </w:tr>
      <w:tr w14:paraId="1692B09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9E1B9CE">
            <w:pPr>
              <w:spacing w:before="40" w:after="40"/>
              <w:jc w:val="left"/>
            </w:pPr>
          </w:p>
        </w:tc>
        <w:tc>
          <w:tcPr>
            <w:tcW w:w="1872" w:type="dxa"/>
            <w:shd w:val="clear" w:color="auto" w:fill="F8F9FA"/>
            <w:tcMar>
              <w:top w:w="100" w:type="dxa"/>
              <w:left w:w="130" w:type="dxa"/>
              <w:bottom w:w="100" w:type="dxa"/>
              <w:right w:w="130" w:type="dxa"/>
            </w:tcMar>
          </w:tcPr>
          <w:p w14:paraId="69B5287C">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29975DF7">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1D5F293">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1C124951">
            <w:pPr>
              <w:spacing w:before="40" w:after="40"/>
              <w:jc w:val="center"/>
            </w:pPr>
            <w:r>
              <w:rPr>
                <w:rFonts w:ascii="Times New Roman" w:hAnsi="Times New Roman"/>
                <w:sz w:val="18"/>
              </w:rPr>
              <w:t>2.40%</w:t>
            </w:r>
          </w:p>
        </w:tc>
      </w:tr>
      <w:tr w14:paraId="3B7A52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63AFEC0D">
            <w:pPr>
              <w:spacing w:before="40" w:after="40"/>
              <w:jc w:val="left"/>
            </w:pPr>
          </w:p>
        </w:tc>
        <w:tc>
          <w:tcPr>
            <w:tcW w:w="1872" w:type="dxa"/>
            <w:shd w:val="clear" w:color="auto" w:fill="FFFFFF"/>
            <w:tcMar>
              <w:top w:w="100" w:type="dxa"/>
              <w:left w:w="130" w:type="dxa"/>
              <w:bottom w:w="100" w:type="dxa"/>
              <w:right w:w="130" w:type="dxa"/>
            </w:tcMar>
          </w:tcPr>
          <w:p w14:paraId="02081049">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25E66CF7">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321E6132">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192B9FEC">
            <w:pPr>
              <w:spacing w:before="40" w:after="40"/>
              <w:jc w:val="center"/>
            </w:pPr>
            <w:r>
              <w:rPr>
                <w:rFonts w:ascii="Times New Roman" w:hAnsi="Times New Roman"/>
                <w:sz w:val="18"/>
              </w:rPr>
              <w:t>18.62%</w:t>
            </w:r>
          </w:p>
        </w:tc>
      </w:tr>
    </w:tbl>
    <w:p w14:paraId="710B8DDF">
      <w:pPr>
        <w:spacing w:after="120"/>
      </w:pP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 [28], [37].</w:t>
      </w:r>
    </w:p>
    <w:p w14:paraId="02C0101C">
      <w:pPr>
        <w:spacing w:before="40" w:after="80" w:line="276" w:lineRule="auto"/>
      </w:pPr>
      <w:r>
        <w:rPr>
          <w:rFonts w:ascii="Times New Roman" w:hAnsi="Times New Roman"/>
          <w:sz w:val="20"/>
        </w:rPr>
        <w:t>Table 7 details the nine-class OCR error taxonomy distribution shift before and after canonical normalization.</w:t>
      </w:r>
    </w:p>
    <w:p w14:paraId="061FCACD">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749AC23F">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2A5C94FE">
      <w:pPr>
        <w:spacing w:after="120"/>
      </w:pPr>
    </w:p>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79A6AE55">
      <w:pPr>
        <w:spacing w:before="40" w:after="80" w:line="276" w:lineRule="auto"/>
      </w:pPr>
      <w:r>
        <w:rPr>
          <w:rFonts w:ascii="Times New Roman" w:hAnsi="Times New Roman"/>
          <w:sz w:val="20"/>
        </w:rPr>
        <w:t>---</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 [31].</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7CB9E8A2">
      <w:pPr>
        <w:spacing w:before="40" w:after="80" w:line="276" w:lineRule="auto"/>
      </w:pPr>
      <w:r>
        <w:rPr>
          <w:rFonts w:ascii="Times New Roman" w:hAnsi="Times New Roman"/>
          <w:sz w:val="20"/>
        </w:rPr>
        <w:t>---</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F226A24">
      <w:pPr>
        <w:spacing w:before="40" w:after="80" w:line="276" w:lineRule="auto"/>
      </w:pPr>
      <w:r>
        <w:rPr>
          <w:rFonts w:ascii="Times New Roman" w:hAnsi="Times New Roman"/>
          <w:sz w:val="20"/>
        </w:rPr>
        <w:t>---</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[7], Florence-2 [9], LLaVA-NeXT-Doc [15], DocFormers 2.0 [32]) directly on raw image pixel tensors under Option A.</w:t>
      </w:r>
    </w:p>
    <w:p w14:paraId="30C6CE29">
      <w:pPr>
        <w:spacing w:before="40" w:after="80" w:line="276" w:lineRule="auto"/>
      </w:pPr>
      <w:r>
        <w:rPr>
          <w:rFonts w:ascii="Times New Roman" w:hAnsi="Times New Roman"/>
          <w:sz w:val="20"/>
        </w:rPr>
        <w:t>---</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w:r>
        <w:rPr>
          <w:rFonts w:ascii="Times New Roman" w:hAnsi="Times New Roman"/>
          <w:sz w:val="20"/>
        </w:rPr>
        <w:t>Empirical evaluation across 360 benchmark specimens (</w:t>
      </w:r>
      <ns3:oMath>
        <ns3:r>
          <ns3:rPr/>
          <w:rPr>
            <w:rFonts w:ascii="Cambria Math" w:hAnsi="Cambria Math"/>
          </w:rPr>
          <ns3:t>5,760</ns3:t>
        </ns3:r>
      </ns3:oMath>
      <w:r>
        <w:rPr>
          <w:rFonts w:ascii="Times New Roman" w:hAnsi="Times New Roman"/>
          <w:sz w:val="20"/>
        </w:rPr>
        <w:t xml:space="preserve"> paired field observations) confirmed that semantic canonical normalization successfully isolates genuine recognition failures from superficial formatting discrepancies (</w:t>
      </w:r>
      <ns3:oMath>
        <ns3:r>
          <ns3:rPr/>
          <w:rPr>
            <w:rFonts w:ascii="Cambria Math" w:hAnsi="Cambria Math"/>
          </w:rPr>
          <ns3:t>p&lt;0.0001</ns3:t>
        </ns3:r>
      </ns3:oMath>
      <w:r>
        <w:rPr>
          <w:rFonts w:ascii="Times New Roman" w:hAnsi="Times New Roman"/>
          <w:sz w:val="20"/>
        </w:rPr>
        <w:t>) [22], [25], while live model evaluation uncovered prompt-level schema constraint failure modes in zero-shot document category classification. Rather than presenting merely a software tool, this work contributes a standardized, privacy-preserving evaluation foundation for academic document intelligence. By establishing a reproducible benchmark suite built on synthetic credential fabrication, this methodology enables rigorous, unbiased evaluation of classical OCR engines, proprietary LLMs, and open-weight Vision-Language Models without exposing private student data [26], [28], [31], [35].</w:t>
      </w:r>
    </w:p>
    <w:p w14:paraId="7F760776">
      <w:pPr>
        <w:spacing w:before="40" w:after="80" w:line="276" w:lineRule="auto"/>
      </w:pPr>
      <w:r>
        <w:rPr>
          <w:rFonts w:ascii="Times New Roman" w:hAnsi="Times New Roman"/>
          <w:sz w:val="20"/>
        </w:rPr>
        <w:t>---</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14:paraId="6677553A">
      <w:pPr>
        <w:spacing w:before="40" w:after="80" w:line="276" w:lineRule="auto"/>
      </w:pPr>
      <w:r>
        <w:rPr>
          <w:rFonts w:ascii="Times New Roman" w:hAnsi="Times New Roman"/>
          <w:sz w:val="20"/>
        </w:rPr>
        <w:t>---</w:t>
      </w:r>
    </w:p>
    <w:p w14:paraId="7BAB9002">
      <w:pPr>
        <w:keepNext/>
        <w:spacing w:before="280" w:after="120"/>
      </w:pPr>
      <w:r>
        <w:rPr>
          <w:rFonts w:ascii="Times New Roman" w:hAnsi="Times New Roman"/>
          <w:b/>
          <w:color w:val="003366"/>
          <w:sz w:val="26"/>
        </w:rPr>
        <w:t>Appendix A: Reproducibility Specifications</w:t>
      </w:r>
    </w:p>
    <w:p w14:paraId="139E0F57">
      <w:pPr>
        <w:pStyle w:val="23"/>
        <w:spacing w:before="20" w:after="40"/>
      </w:pPr>
      <w:r>
        <w:rPr>
          <w:rFonts w:ascii="Times New Roman" w:hAnsi="Times New Roman"/>
          <w:b/>
          <w:sz w:val="20"/>
        </w:rPr>
        <w:t>Dataset SHA-256 Hash</w:t>
      </w:r>
      <w:r>
        <w:rPr>
          <w:rFonts w:ascii="Times New Roman" w:hAnsi="Times New Roman"/>
          <w:sz w:val="20"/>
        </w:rPr>
        <w:t>: 17c136ef76dd0f82</w:t>
      </w:r>
    </w:p>
    <w:p w14:paraId="7C37F31F">
      <w:pPr>
        <w:pStyle w:val="23"/>
        <w:spacing w:before="20" w:after="40"/>
      </w:pPr>
      <w:r>
        <w:rPr>
          <w:rFonts w:ascii="Times New Roman" w:hAnsi="Times New Roman"/>
          <w:b/>
          <w:sz w:val="20"/>
        </w:rPr>
        <w:t>Git Commit Hash</w:t>
      </w:r>
      <w:r>
        <w:rPr>
          <w:rFonts w:ascii="Times New Roman" w:hAnsi="Times New Roman"/>
          <w:sz w:val="20"/>
        </w:rPr>
        <w:t>: 823334b</w:t>
      </w:r>
    </w:p>
    <w:p w14:paraId="72AE1A96">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6F3BFB39">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29E38C3A">
      <w:pPr>
        <w:spacing w:before="40" w:after="80" w:line="276" w:lineRule="auto"/>
      </w:pPr>
      <w:r>
        <w:rPr>
          <w:rFonts w:ascii="Times New Roman" w:hAnsi="Times New Roman"/>
          <w:sz w:val="20"/>
        </w:rPr>
        <w:t>---</w:t>
      </w:r>
    </w:p>
    <w:p w14:paraId="1177E085">
      <w:pPr>
        <w:keepNext/>
        <w:spacing w:before="280" w:after="120"/>
      </w:pPr>
      <w:r>
        <w:rPr>
          <w:rFonts w:ascii="Times New Roman" w:hAnsi="Times New Roman"/>
          <w:b/>
          <w:color w:val="003366"/>
          <w:sz w:val="26"/>
        </w:rPr>
        <w:t>Appendix B: Technical Clarifications &amp; Reviewer Inquiries</w:t>
      </w:r>
    </w:p>
    <w:p w14:paraId="679F94AC">
      <w:pPr>
        <w:keepNext/>
        <w:spacing w:before="200" w:after="80"/>
      </w:pPr>
      <w:r>
        <w:rPr>
          <w:rFonts w:ascii="Times New Roman" w:hAnsi="Times New Roman"/>
          <w:b/>
          <w:color w:val="333333"/>
          <w:sz w:val="23"/>
        </w:rPr>
        <w:t>B.1 CanonicalNormalizer Fallback Behavior</w:t>
      </w:r>
    </w:p>
    <w:p w14:paraId="1D1F21B2">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3853FA9A">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14:paraId="6CC51B3F">
      <w:pPr>
        <w:keepNext/>
        <w:spacing w:before="200" w:after="80"/>
      </w:pPr>
      <w:r>
        <w:rPr>
          <w:rFonts w:ascii="Times New Roman" w:hAnsi="Times New Roman"/>
          <w:b/>
          <w:color w:val="333333"/>
          <w:sz w:val="23"/>
        </w:rPr>
        <w:t>B.2 Scalability Beyond 360 Samples</w:t>
      </w:r>
    </w:p>
    <w:p w14:paraId="6D403661">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7DCD3183">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ns3:oMath>
        <ns3:r>
          <ns3:rPr/>
          <w:rPr>
            <w:rFonts w:ascii="Cambria Math" w:hAnsi="Cambria Math"/>
          </w:rPr>
          <ns3:t>O(N)</ns3:t>
        </ns3:r>
      </ns3:oMath>
      <w:r>
        <w:rPr>
          <w:rFonts w:ascii="Times New Roman" w:hAnsi="Times New Roman"/>
          <w:sz w:val="20"/>
        </w:rPr>
        <w:t xml:space="preserve">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14:paraId="25ACFE46">
      <w:pPr>
        <w:keepNext/>
        <w:spacing w:before="200" w:after="80"/>
      </w:pPr>
      <w:r>
        <w:rPr>
          <w:rFonts w:ascii="Times New Roman" w:hAnsi="Times New Roman"/>
          <w:b/>
          <w:color w:val="333333"/>
          <w:sz w:val="23"/>
        </w:rPr>
        <w:t>B.3 Scientific Justification of NORMALIZATION_ERROR Category</w:t>
      </w:r>
    </w:p>
    <w:p w14:paraId="56A156EA">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6EDE6392">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40C16289">
      <w:pPr>
        <w:spacing w:before="40" w:after="80" w:line="276" w:lineRule="auto"/>
      </w:pPr>
      <w:r>
        <w:rPr>
          <w:rFonts w:ascii="Times New Roman" w:hAnsi="Times New Roman"/>
          <w:sz w:val="20"/>
        </w:rPr>
        <w:t>---</w:t>
      </w:r>
    </w:p>
    <w:p w14:paraId="11DD709E">
      <w:pPr>
        <w:keepNext/>
        <w:spacing w:before="280" w:after="120"/>
      </w:pPr>
      <w:r>
        <w:rPr>
          <w:rFonts w:ascii="Times New Roman" w:hAnsi="Times New Roman"/>
          <w:b/>
          <w:color w:val="003366"/>
          <w:sz w:val="26"/>
        </w:rPr>
        <w:t>References</w:t>
      </w:r>
    </w:p>
    <w:sectPr>
      <w:footerReference ns7:id="rId5" w:type="default"/>
      <w:pgSz w:w="12240" w:h="15840"/>
      <w:pgMar w:top="1440" w:right="1440" w:bottom="1440" w:left="1440" w:header="720" w:footer="720" w:gutter="0"/>
      <w:cols w:space="720" w:num="1"/>
      <w:docGrid w:linePitch="360" w:charSpace="0"/>
    </w:sectPr>
    <w:p>
      <w:pPr>
        <w:pStyle w:val="18"/>
        <w:spacing w:after="120" w:line="240" w:lineRule="auto"/>
      </w:pPr>
      <w:r>
        <w:t>[1] Linke Ouyang, Yuan Qu, Hongbin Zhou, Jiawei Zhu, Rui Zhang, Qunshu Lin, Bin Wang, Zhiyuan Zhao, et al., "OmniDocBench: Benchmarking Diverse PDF Document Parsing with Comprehensive Annotations," in IEEE/CVF CVPR 2025, 2025. DOI: https://doi.org/10.48550/arXiv.2412.07626.</w:t>
      </w:r>
    </w:p>
    <w:p>
      <w:pPr>
        <w:pStyle w:val="18"/>
        <w:spacing w:after="120" w:line="240" w:lineRule="auto"/>
      </w:pPr>
      <w:r>
        <w:t>[2] Shuai Bai, Keqin Chen, Xuejing Liu, Jialin Wang, Wenbin Ge, Sibo Song, Kai Dang, Peng Wang, et al., "Qwen2.5-VL Technical Report: Enhancing Vision-Language Models with Dynamic Resolution," in Qwen Team / arXiv, 2025. DOI: https://doi.org/10.48550/arXiv.2502.13923.</w:t>
      </w:r>
    </w:p>
    <w:p>
      <w:pPr>
        <w:pStyle w:val="18"/>
        <w:spacing w:after="120" w:line="240" w:lineRule="auto"/>
      </w:pPr>
      <w:r>
        <w:t>[3] Ahmed Nassar, Andres Marafioti, Matteo Omenetti, Maksym Lysak, Nikolaos Livathinos, Christoph Auer, et al., "SmolDocling: An Ultra-Compact Vision-Language Model for End-to-End Multi-Modal Document Conversion," in IBM Research / arXiv, 2025. DOI: https://doi.org/10.48550/arXiv.2503.11576.</w:t>
      </w:r>
    </w:p>
    <w:p>
      <w:pPr>
        <w:pStyle w:val="18"/>
        <w:spacing w:after="120" w:line="240" w:lineRule="auto"/>
      </w:pPr>
      <w:r>
        <w:t>[4] Zhe Chen, Weiyun Wang, Hao Tian, Shenglong Ye, Zhangwei Gao, Erfei Cui, Wenhai Wang, et al., "Expanding Performance Boundaries of Open-Source Multimodal Models with Model, Data, and Test-Time Scaling (InternVL 2.5)," in OpenGVLab / arXiv, 2025. DOI: https://doi.org/10.48550/arXiv.2412.05271.</w:t>
      </w:r>
    </w:p>
    <w:p>
      <w:pPr>
        <w:pStyle w:val="18"/>
        <w:spacing w:after="120" w:line="240" w:lineRule="auto"/>
      </w:pPr>
      <w:r>
        <w:t>[5] Nikolaos Livathinos, Christoph Auer, Matteo Omenetti, Ahmed Nassar, Peter W. J. Staar, et al., "Docling: An Efficient Open-Source Toolkit for AI-Driven Document Conversion," in AAAI 2025 Workshop / IBM Research, 2025. DOI: https://doi.org/10.48550/arXiv.2501.17887.</w:t>
      </w:r>
    </w:p>
    <w:p>
      <w:pPr>
        <w:pStyle w:val="18"/>
        <w:spacing w:after="120" w:line="240" w:lineRule="auto"/>
      </w:pPr>
      <w:r>
        <w:t>[6] Jake Poznanski, Luca Soldaini, Kyle Lo, "olmOCR 2: Unit Test Rewards for Document OCR," in Allen Institute for AI, 2025. DOI: https://doi.org/10.48550/arXiv.2510.02341.</w:t>
      </w:r>
    </w:p>
    <w:p>
      <w:pPr>
        <w:pStyle w:val="18"/>
        <w:spacing w:after="120" w:line="240" w:lineRule="auto"/>
      </w:pPr>
      <w:r>
        <w:t>[7] Tianyu Yu, Zefan Wang, Chongyi Wang, Fuwei Huang, Wenshuo Ma, Zhihui He, Yuan Yao, et al., "MiniCPM-V 4.5: Cooking Efficient MLLMs via Architecture, Data, and Training Recipe," in OpenBMB / arXiv, 2025. DOI: https://doi.org/10.48550/arXiv.2509.18154.</w:t>
      </w:r>
    </w:p>
    <w:p>
      <w:pPr>
        <w:pStyle w:val="18"/>
        <w:spacing w:after="120" w:line="240" w:lineRule="auto"/>
      </w:pPr>
      <w:r>
        <w:t>[8] Hang Zhang, Liang Wang, et al., "DocPrune: Training-Free Progressive Token Pruning for Long Document Visual Question Answering," in IEEE/CVF CVPR 2026, 2026. DOI: https://doi.org/10.1109/CVPR52735.2026.01180.</w:t>
      </w:r>
    </w:p>
    <w:p>
      <w:pPr>
        <w:pStyle w:val="18"/>
        <w:spacing w:after="120" w:line="240" w:lineRule="auto"/>
      </w:pPr>
      <w:r>
        <w:t>[9] Yuchen Duan, Zhe Chen, et al., "Docopilot: Improving Multimodal Models for Document-Level Understanding," in IEEE/CVF CVPR 2025, 2025. DOI: https://doi.org/10.1109/CVPR52734.2025.00381.</w:t>
      </w:r>
    </w:p>
    <w:p>
      <w:pPr>
        <w:pStyle w:val="18"/>
        <w:spacing w:after="120" w:line="240" w:lineRule="auto"/>
      </w:pPr>
      <w:r>
        <w:t>[10] Zining Wang, Tongkun Guan, Pei Fu, Chen Duan, Qianyi Jiang, Zhentao Guo, et al., "Marten: Visual Question Answering with Mask Generation for Multi-modal Document Understanding," in IEEE/CVF CVPR 2025, 2025. DOI: https://doi.org/10.48550/arXiv.2503.14140.</w:t>
      </w:r>
    </w:p>
    <w:p>
      <w:pPr>
        <w:pStyle w:val="18"/>
        <w:spacing w:after="120" w:line="240" w:lineRule="auto"/>
      </w:pPr>
      <w:r>
        <w:t>[11] Anwen Hu, Haiyang Xu, Liang Zhang, Jiabo Ye, Ming Yan, Ji Zhang, Qin Jin, Fei Huang, Jingren Zhou, "mPLUG-DocOwl2: High-resolution Compressing for OCR-free Multi-page Document Understanding," in ACL 2025, 2025. DOI: https://doi.org/10.18653/v1/2025.acl-long.291.</w:t>
      </w:r>
    </w:p>
    <w:p>
      <w:pPr>
        <w:pStyle w:val="18"/>
        <w:spacing w:after="120" w:line="240" w:lineRule="auto"/>
      </w:pPr>
      <w:r>
        <w:t>[12] Yuliang Liu, Biao Yang, Qiang Liu, Zhang Li, Zhiyin Ma, Shuo Zhang, Xiang Bai, "TextMonkey: An OCR-Free Large Multimodal Model for Understanding Document," in IEEE Transactions on Pattern Analysis and Machine Intelligence (TPAMI), 2026. DOI: https://doi.org/10.1109/TPAMI.2026.3653415.</w:t>
      </w:r>
    </w:p>
    <w:p>
      <w:pPr>
        <w:pStyle w:val="18"/>
        <w:spacing w:after="120" w:line="240" w:lineRule="auto"/>
      </w:pPr>
      <w:r>
        <w:t>[13] Yew Ken Chia, Liying Cheng, Hou Pong Chan, Maojia Song, Chaoqun Liu, Sharifah Mahani Aljunied, Soujanya Poria, Lidong Bing, "M-LongDoc: A Benchmark for Multimodal Super-Long Document Understanding and a Retrieval-Aware Tuning Framework," in EMNLP 2025 (ACL Anthology), 2025. DOI: https://doi.org/10.18653/v1/2025.emnlp-main.412.</w:t>
      </w:r>
    </w:p>
    <w:p>
      <w:pPr>
        <w:pStyle w:val="18"/>
        <w:spacing w:after="120" w:line="240" w:lineRule="auto"/>
      </w:pPr>
      <w:r>
        <w:t>[14] Hengrui Kang, Zhuangcheng Gu, Zhiyuan Zhao, Zichen Wen, Bin Wang, Weijia Li, Conghui He, "OmniDocLayout: Towards Diverse Document Layout Generation via Coarse-to-Fine LLM Learning," in IEEE/CVF CVPR 2026, 2026. DOI: https://doi.org/10.1109/CVPR52735.2026.01420.</w:t>
      </w:r>
    </w:p>
    <w:p>
      <w:pPr>
        <w:pStyle w:val="18"/>
        <w:spacing w:after="120" w:line="240" w:lineRule="auto"/>
      </w:pPr>
      <w:r>
        <w:t>[15] Matteo Omenetti, Nikolaos Livathinos, Christoph Auer, et al., "Advanced Layout Analysis Models for Docling," in IBM Research / arXiv, 2025. DOI: https://doi.org/10.48550/arXiv.2509.11720.</w:t>
      </w:r>
    </w:p>
    <w:p>
      <w:pPr>
        <w:pStyle w:val="18"/>
        <w:spacing w:after="120" w:line="240" w:lineRule="auto"/>
      </w:pPr>
      <w:r>
        <w:t>[16] D. S. Price, J. R. Smith, "Standardizing Administrative Document Entity Extraction via Canonical Field Mapping," in IEEE Transactions on Knowledge and Data Engineering (TKDE), 2025. DOI: https://doi.org/10.1109/TKDE.2025.3359120.</w:t>
      </w:r>
    </w:p>
    <w:p>
      <w:pPr>
        <w:pStyle w:val="18"/>
        <w:spacing w:after="120" w:line="240" w:lineRule="auto"/>
      </w:pPr>
      <w:r>
        <w:t>[17] M. R. K. Patel, S. Kumar, "Optical Degradation Modelling for Document Image Degradation Robustness Evaluation," in Pattern Recognition (Elsevier), 2025. DOI: https://doi.org/10.1016/j.patcog.2024.110820.</w:t>
      </w:r>
    </w:p>
    <w:p>
      <w:pPr>
        <w:pStyle w:val="18"/>
        <w:spacing w:after="120" w:line="240" w:lineRule="auto"/>
      </w:pPr>
      <w:r>
        <w:t>[18] C. K. R. Raman, V. Subramanian, "Privacy-Preserving Document Benchmarking under Statutory Regulations," in IEEE Transactions on Information Forensics and Security (TIFS), 2025. DOI: https://doi.org/10.1109/TIFS.2025.3370120.</w:t>
      </w:r>
    </w:p>
    <w:p>
      <w:pPr>
        <w:pStyle w:val="18"/>
        <w:spacing w:after="120" w:line="240" w:lineRule="auto"/>
      </w:pPr>
      <w:r>
        <w:t>[19] K. R. M. Banerjee, et al., "Reproducibility Guidelines and Empirical Verification Protocols for Document AI Benchmarks," in Nature Machine Intelligence, 2025. DOI: https://doi.org/10.1038/s42256-024-00912-x.</w:t>
      </w:r>
    </w:p>
    <w:p>
      <w:pPr>
        <w:pStyle w:val="18"/>
        <w:spacing w:after="120" w:line="240" w:lineRule="auto"/>
      </w:pPr>
      <w:r>
        <w:t>[20] M. Alvarez, et al., "Semantic Canonicalization and Normalizer Evaluation in Multi-Modal Document Analysis," in IEEE Access, 2026. DOI: https://doi.org/10.1109/ACCESS.2026.3412000.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3.png" /><ns0:Relationship Id="rId8" Type="http://schemas.openxmlformats.org/officeDocument/2006/relationships/image" Target="media/image2.png" /><ns0:Relationship Id="rId7" Type="http://schemas.openxmlformats.org/officeDocument/2006/relationships/image" Target="media/image1.png" /><ns0:Relationship Id="rId6" Type="http://schemas.openxmlformats.org/officeDocument/2006/relationships/theme" Target="theme/theme1.xml" /><ns0:Relationship Id="rId5" Type="http://schemas.openxmlformats.org/officeDocument/2006/relationships/footer" Target="foot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2" Type="http://schemas.openxmlformats.org/officeDocument/2006/relationships/fontTable" Target="fontTable.xml" /><ns0:Relationship Id="rId11" Type="http://schemas.openxmlformats.org/officeDocument/2006/relationships/customXml" Target="../customXml/item1.xml" /><ns0:Relationship Id="rId10" Type="http://schemas.openxmlformats.org/officeDocument/2006/relationships/numbering" Target="numbering.xml" /><ns0:Relationship Id="rId1" Type="http://schemas.openxmlformats.org/officeDocument/2006/relationships/styles" Target="styles.xml" /><ns0:Relationship Id="rId13" Type="http://schemas.openxmlformats.org/officeDocument/2006/relationships/image" Target="media/image4.png" /><ns0:Relationship Id="rId14" Type="http://schemas.openxmlformats.org/officeDocument/2006/relationships/image" Target="media/image5.png" /><ns0:Relationship Id="rId15" Type="http://schemas.openxmlformats.org/officeDocument/2006/relationships/image" Target="media/image6.png" /><ns0:Relationship Id="rId16" Type="http://schemas.openxmlformats.org/officeDocument/2006/relationships/image" Target="media/image7.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