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3="http://schemas.openxmlformats.org/officeDocument/2006/math"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ns1: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rPr>
          <w:rFonts w:ascii="Times New Roman" w:hAnsi="Times New Roman"/>
          <w:b/>
          <w:sz w:val="20"/>
        </w:rPr>
        <w:t>Authors</w:t>
      </w:r>
      <w:r>
        <w:rPr>
          <w:rFonts w:ascii="Times New Roman" w:hAnsi="Times New Roman"/>
          <w:sz w:val="20"/>
        </w:rPr>
        <w:t>: AU DIC Research Team</w:t>
      </w:r>
    </w:p>
    <w:p w14:paraId="39299AC9">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14:paraId="30DF3D25">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14:paraId="014C6355">
      <w:pPr>
        <w:spacing w:before="40" w:after="80" w:line="276" w:lineRule="auto"/>
      </w:pPr>
      <w:r>
        <w:rPr>
          <w:rFonts w:ascii="Times New Roman" w:hAnsi="Times New Roman"/>
          <w:sz w:val="20"/>
        </w:rPr>
        <w:t>---</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w:r>
        <w:rPr>
          <w:rFonts w:ascii="Times New Roman" w:hAnsi="Times New Roman"/>
          <w:sz w:val="20"/>
        </w:rPr>
        <w:t>We evaluate the benchmark suite across 360 specimens (</w:t>
      </w: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060AE78D">
      <w:pPr>
        <w:spacing w:before="40" w:after="80" w:line="276" w:lineRule="auto"/>
      </w:pPr>
      <w:r>
        <w:rPr>
          <w:rFonts w:ascii="Times New Roman" w:hAnsi="Times New Roman"/>
          <w:sz w:val="20"/>
        </w:rPr>
        <w:t>---</w:t>
      </w:r>
    </w:p>
    <w:p w14:paraId="3F76657E">
      <w:pPr>
        <w:keepNext/>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rPr>
          <w:rFonts w:ascii="Times New Roman" w:hAnsi="Times New Roman"/>
          <w:b/>
          <w:sz w:val="20"/>
        </w:rPr>
        <w:t>5. Quality Profile Robustness Framework</w:t>
      </w:r>
      <w:r>
        <w:rPr>
          <w:rFonts w:ascii="Times New Roman" w:hAnsi="Times New Roman"/>
          <w:sz w:val="20"/>
        </w:rPr>
        <w:t>: A systematic evaluation matrix measuring extraction decay across four standardized optical profiles (clean, scanner_copy, mobile_camera, rotated_90) [27], [30], [33].</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classical OCR engines, Large Language Models (LLMs), and Vision-Language Models (VLMs) under controlled experimental conditions.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0C7932EC">
      <w:pPr>
        <w:spacing w:before="40" w:after="80" w:line="276" w:lineRule="auto"/>
      </w:pPr>
      <w:r>
        <w:rPr>
          <w:rFonts w:ascii="Times New Roman" w:hAnsi="Times New Roman"/>
          <w:sz w:val="20"/>
        </w:rPr>
        <w:t>---</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rPr>
          <w:rFonts w:ascii="Times New Roman" w:hAnsi="Times New Roman"/>
          <w:b/>
          <w:sz w:val="20"/>
        </w:rPr>
        <w:t>Fine-Grained Layout Attention &amp; Unified Tokenization</w:t>
      </w:r>
      <w:r>
        <w:rPr>
          <w:rFonts w:ascii="Times New Roman" w:hAnsi="Times New Roman"/>
          <w:sz w:val="20"/>
        </w:rPr>
        <w:t xml:space="preserve">: </w:t>
      </w:r>
      <w:r>
        <w:rPr>
          <w:rFonts w:ascii="Times New Roman" w:hAnsi="Times New Roman"/>
          <w:b/>
          <w:sz w:val="20"/>
        </w:rPr>
        <w:t>DocFormers 2.0</w:t>
      </w:r>
      <w:r>
        <w:rPr>
          <w:rFonts w:ascii="Times New Roman" w:hAnsi="Times New Roman"/>
          <w:sz w:val="20"/>
        </w:rPr>
        <w:t xml:space="preserve"> [32] introduced fine-grained multimodal layout attention, </w:t>
      </w:r>
      <w:r>
        <w:rPr>
          <w:rFonts w:ascii="Times New Roman" w:hAnsi="Times New Roman"/>
          <w:b/>
          <w:sz w:val="20"/>
        </w:rPr>
        <w:t>Kim et al.</w:t>
      </w:r>
      <w:r>
        <w:rPr>
          <w:rFonts w:ascii="Times New Roman" w:hAnsi="Times New Roman"/>
          <w:sz w:val="20"/>
        </w:rPr>
        <w:t xml:space="preserve"> [34] established unified document tokenization for high-resolution page understanding, and </w:t>
      </w:r>
      <w:r>
        <w:rPr>
          <w:rFonts w:ascii="Times New Roman" w:hAnsi="Times New Roman"/>
          <w:b/>
          <w:sz w:val="20"/>
        </w:rPr>
        <w:t>Martinez et al.</w:t>
      </w:r>
      <w:r>
        <w:rPr>
          <w:rFonts w:ascii="Times New Roman" w:hAnsi="Times New Roman"/>
          <w:sz w:val="20"/>
        </w:rPr>
        <w:t xml:space="preserve"> [33] benchmarked OCR-free vision-language architectures under physical image distortions.</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rPr>
          <w:rFonts w:ascii="Times New Roman" w:hAnsi="Times New Roman"/>
          <w:sz w:val="20"/>
        </w:rPr>
        <w:t>Table 0 provides an objective, comprehensive comparative analysis contrasting ADBG v1.0 and the AU DIC framework against foundational benchmarks and modern 2025–2026 Document AI paradigms.</w:t>
      </w:r>
    </w:p>
    <w:p w14:paraId="50009E26">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2EA679E7">
      <w:pPr>
        <w:spacing w:after="120"/>
      </w:pPr>
    </w:p>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2FB5DAD">
      <w:pPr>
        <w:spacing w:before="40" w:after="80" w:line="276" w:lineRule="auto"/>
      </w:pPr>
      <w:r>
        <w:rPr>
          <w:rFonts w:ascii="Times New Roman" w:hAnsi="Times New Roman"/>
          <w:sz w:val="20"/>
        </w:rPr>
        <w:t>---</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wp:inline distT="0" distB="0" distL="0" distR="0">
            <wp:extent cx="5943600" cy="2476500"/>
            <wp:effectExtent l="0" t="0" r="0" b="0"/>
            <wp:docPr id="1" name="Picture 1"/>
            <wp:cNvGraphicFramePr>
              <a:graphicFrameLocks noChangeAspect="1"/>
            </wp:cNvGraphicFramePr>
            <a:graphic>
              <a:graphicData uri="http://schemas.openxmlformats.org/drawingml/2006/picture">
                <pic:pic>
                  <pic:nvPicPr>
                    <pic:cNvPr id="1" name="Picture 1"/>
                    <pic:cNvPicPr>
                      <a:picLocks noChangeAspect="1"/>
                    </pic:cNvPicPr>
                  </pic:nvPicPr>
                  <pic:blipFill>
                    <a:blip r:embed="rId7"/>
                    <a:stretch>
                      <a:fillRect/>
                    </a:stretch>
                  </pic:blipFill>
                  <pic:spPr>
                    <a:xfrm>
                      <a:off x="0" y="0"/>
                      <a:ext cx="5943600" cy="2476500"/>
                    </a:xfrm>
                    <a:prstGeom prst="rect">
                      <a:avLst/>
                    </a:prstGeom>
                  </pic:spPr>
                </pic:pic>
              </a:graphicData>
            </a:graphic>
          </wp: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wp:inline distT="0" distB="0" distL="0" distR="0">
            <wp:extent cx="1950000" cy="5400000"/>
            <wp:effectExtent l="0" t="0" r="5715" b="2540"/>
            <wp:docPr id="2" name="Picture 2"/>
            <wp:cNvGraphicFramePr>
              <a:graphicFrameLocks noChangeAspect="1"/>
            </wp:cNvGraphicFramePr>
            <a:graphic>
              <a:graphicData uri="http://schemas.openxmlformats.org/drawingml/2006/picture">
                <pic:pic>
                  <pic:nvPicPr>
                    <pic:cNvPr id="2" name="Picture 2"/>
                    <pic:cNvPicPr>
                      <a:picLocks noChangeAspect="1"/>
                    </pic:cNvPicPr>
                  </pic:nvPicPr>
                  <pic:blipFill>
                    <a:blip r:embed="rId8"/>
                    <a:stretch>
                      <a:fillRect/>
                    </a:stretch>
                  </pic:blipFill>
                  <pic:spPr>
                    <a:xfrm>
                      <a:off x="0" y="0"/>
                      <a:ext cx="1950000" cy="5400000"/>
                    </a:xfrm>
                    <a:prstGeom prst="rect">
                      <a:avLst/>
                    </a:prstGeom>
                  </pic:spPr>
                </pic:pic>
              </a:graphicData>
            </a:graphic>
          </wp: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6E16FD90">
      <w:pPr>
        <w:spacing w:before="0" w:after="0"/>
        <w:jc w:val="center"/>
      </w:pPr>
      <ns3:oMathPara>
        <ns3:oMath>
          <ns3:r>
            <ns3:rPr/>
            <w:rPr>
              <w:rFonts w:ascii="Cambria Math" w:hAnsi="Cambria Math"/>
            </w:rPr>
            <ns3:t>DocumentSpecimen=G(</ns3:t>
          </ns3:r>
          <ns3:r>
            <ns3:rPr/>
            <w:rPr>
              <w:rFonts w:ascii="Times New Roman" w:hAnsi="Times New Roman"/>
            </w:rPr>
            <ns3:t>Seed</ns3:t>
          </ns3:r>
          <ns3:r>
            <ns3:rPr/>
            <w:rPr>
              <w:rFonts w:ascii="Cambria Math" w:hAnsi="Cambria Math"/>
            </w:rPr>
            <ns3:t>,</ns3:t>
          </ns3:r>
          <ns3:r>
            <ns3:rPr/>
            <w:rPr>
              <w:rFonts w:ascii="Times New Roman" w:hAnsi="Times New Roman"/>
            </w:rPr>
            <ns3:t>Category</ns3:t>
          </ns3:r>
          <ns3:r>
            <ns3:rPr/>
            <w:rPr>
              <w:rFonts w:ascii="Cambria Math" w:hAnsi="Cambria Math"/>
            </w:rPr>
            <ns3:t>,</ns3:t>
          </ns3:r>
          <ns3:r>
            <ns3:rPr/>
            <w:rPr>
              <w:rFonts w:ascii="Times New Roman" w:hAnsi="Times New Roman"/>
            </w:rPr>
            <ns3:t>Profile</ns3:t>
          </ns3:r>
          <ns3:r>
            <ns3:rPr/>
            <w:rPr>
              <w:rFonts w:ascii="Cambria Math" w:hAnsi="Cambria Math"/>
            </w:rPr>
            <ns3:t>)</ns3:t>
          </ns3:r>
        </ns3:oMath>
      </ns3:oMathPara>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A6A26F3">
      <w:pPr>
        <w:spacing w:before="0" w:after="0"/>
        <w:jc w:val="center"/>
      </w:pPr>
      <ns3:oMathPara>
        <ns3:oMath>
          <ns3:sSub>
            <ns3:sSubPr/>
            <ns3:e>
              <ns3:r>
                <ns3:rPr/>
                <w:rPr>
                  <w:rFonts w:ascii="Cambria Math" w:hAnsi="Cambria Math"/>
                </w:rPr>
                <ns3:t>I</ns3:t>
              </ns3:r>
            </ns3:e>
            <ns3:sub>
              <ns3:r>
                <ns3:rPr/>
                <w:rPr>
                  <w:rFonts w:ascii="Times New Roman" w:hAnsi="Times New Roman"/>
                </w:rPr>
                <ns3:t>degraded</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rotation</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contrast</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gaussian</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blur</ns3:t>
              </ns3:r>
            </ns3:sub>
          </ns3:sSub>
          <ns3:r>
            <ns3:rPr/>
            <w:rPr>
              <w:rFonts w:ascii="Cambria Math" w:hAnsi="Cambria Math"/>
            </w:rPr>
            <ns3:t>(</ns3:t>
          </ns3:r>
          <ns3:sSub>
            <ns3:sSubPr/>
            <ns3:e>
              <ns3:r>
                <ns3:rPr/>
                <w:rPr>
                  <w:rFonts w:ascii="Cambria Math" w:hAnsi="Cambria Math"/>
                </w:rPr>
                <ns3:t>I</ns3:t>
              </ns3:r>
            </ns3:e>
            <ns3:sub>
              <ns3:r>
                <ns3:rPr/>
                <w:rPr>
                  <w:rFonts w:ascii="Times New Roman" w:hAnsi="Times New Roman"/>
                </w:rPr>
                <ns3:t>clean</ns3:t>
              </ns3:r>
            </ns3:sub>
          </ns3:sSub>
          <ns3:r>
            <ns3:rPr/>
            <w:rPr>
              <w:rFonts w:ascii="Cambria Math" w:hAnsi="Cambria Math"/>
            </w:rPr>
            <ns3:t>)</ns3:t>
          </ns3:r>
        </ns3:oMath>
      </ns3:oMathPara>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72A6DE10">
      <w:pPr>
        <w:spacing w:before="0" w:after="0"/>
        <w:jc w:val="center"/>
      </w:pPr>
      <ns3:oMathPara>
        <ns3:oMath>
          <ns3:r>
            <ns3:rPr/>
            <w:rPr>
              <w:rFonts w:ascii="Cambria Math" w:hAnsi="Cambria Math"/>
            </w:rPr>
            <ns3:t>ErrorCategory∈{</ns3:t>
          </ns3:r>
          <ns3:r>
            <ns3:rPr/>
            <w:rPr>
              <w:rFonts w:ascii="Times New Roman" w:hAnsi="Times New Roman"/>
            </w:rPr>
            <ns3:t>OCR\_ERROR</ns3:t>
          </ns3:r>
          <ns3:r>
            <ns3:rPr/>
            <w:rPr>
              <w:rFonts w:ascii="Cambria Math" w:hAnsi="Cambria Math"/>
            </w:rPr>
            <ns3:t>,</ns3:t>
          </ns3:r>
          <ns3:r>
            <ns3:rPr/>
            <w:rPr>
              <w:rFonts w:ascii="Times New Roman" w:hAnsi="Times New Roman"/>
            </w:rPr>
            <ns3:t>FIELD\_MISSING</ns3:t>
          </ns3:r>
          <ns3:r>
            <ns3:rPr/>
            <w:rPr>
              <w:rFonts w:ascii="Cambria Math" w:hAnsi="Cambria Math"/>
            </w:rPr>
            <ns3:t>,</ns3:t>
          </ns3:r>
          <ns3:r>
            <ns3:rPr/>
            <w:rPr>
              <w:rFonts w:ascii="Times New Roman" w:hAnsi="Times New Roman"/>
            </w:rPr>
            <ns3:t>HALLUCINATION</ns3:t>
          </ns3:r>
          <ns3:r>
            <ns3:rPr/>
            <w:rPr>
              <w:rFonts w:ascii="Cambria Math" w:hAnsi="Cambria Math"/>
            </w:rPr>
            <ns3:t>,</ns3:t>
          </ns3:r>
          <ns3:r>
            <ns3:rPr/>
            <w:rPr>
              <w:rFonts w:ascii="Times New Roman" w:hAnsi="Times New Roman"/>
            </w:rPr>
            <ns3:t>FORMAT\_ERROR</ns3:t>
          </ns3:r>
          <ns3:r>
            <ns3:rPr/>
            <w:rPr>
              <w:rFonts w:ascii="Cambria Math" w:hAnsi="Cambria Math"/>
            </w:rPr>
            <ns3:t>,</ns3:t>
          </ns3:r>
          <ns3:r>
            <ns3:rPr/>
            <w:rPr>
              <w:rFonts w:ascii="Times New Roman" w:hAnsi="Times New Roman"/>
            </w:rPr>
            <ns3:t>NORMALIZATION\_ERROR</ns3:t>
          </ns3:r>
          <ns3:r>
            <ns3:rPr/>
            <w:rPr>
              <w:rFonts w:ascii="Cambria Math" w:hAnsi="Cambria Math"/>
            </w:rPr>
            <ns3:t>,</ns3:t>
          </ns3:r>
          <ns3:r>
            <ns3:rPr/>
            <w:rPr>
              <w:rFonts w:ascii="Times New Roman" w:hAnsi="Times New Roman"/>
            </w:rPr>
            <ns3:t>PARTIAL\_MATCH</ns3:t>
          </ns3:r>
          <ns3:r>
            <ns3:rPr/>
            <w:rPr>
              <w:rFonts w:ascii="Cambria Math" w:hAnsi="Cambria Math"/>
            </w:rPr>
            <ns3:t>,</ns3:t>
          </ns3:r>
          <ns3:r>
            <ns3:rPr/>
            <w:rPr>
              <w:rFonts w:ascii="Times New Roman" w:hAnsi="Times New Roman"/>
            </w:rPr>
            <ns3:t>LOW\_CONFIDENCE</ns3:t>
          </ns3:r>
          <ns3:r>
            <ns3:rPr/>
            <w:rPr>
              <w:rFonts w:ascii="Cambria Math" w:hAnsi="Cambria Math"/>
            </w:rPr>
            <ns3:t>,</ns3:t>
          </ns3:r>
          <ns3:r>
            <ns3:rPr/>
            <w:rPr>
              <w:rFonts w:ascii="Times New Roman" w:hAnsi="Times New Roman"/>
            </w:rPr>
            <ns3:t>CATEGORY\_ERROR</ns3:t>
          </ns3:r>
          <ns3:r>
            <ns3:rPr/>
            <w:rPr>
              <w:rFonts w:ascii="Cambria Math" w:hAnsi="Cambria Math"/>
            </w:rPr>
            <ns3:t>,</ns3:t>
          </ns3:r>
          <ns3:r>
            <ns3:rPr/>
            <w:rPr>
              <w:rFonts w:ascii="Times New Roman" w:hAnsi="Times New Roman"/>
            </w:rPr>
            <ns3:t>EXACT\_MATCH</ns3:t>
          </ns3:r>
          <ns3:r>
            <ns3:rPr/>
            <w:rPr>
              <w:rFonts w:ascii="Cambria Math" w:hAnsi="Cambria Math"/>
            </w:rPr>
            <ns3:t>}</ns3:t>
          </ns3:r>
        </ns3:oMath>
      </ns3:oMathPara>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rPr>
          <w:rFonts w:ascii="Times New Roman" w:hAnsi="Times New Roman"/>
          <w:sz w:val="20"/>
        </w:rPr>
        <w:t>Table 0.1 illustrates candidate field evaluations across the canonical normalization layer and error taxonomy classifier.</w:t>
      </w:r>
    </w:p>
    <w:p w14:paraId="2E663D9C">
      <w:pPr>
        <w:keepNext/>
        <w:spacing w:before="80" w:after="160"/>
        <w:jc w:val="center"/>
      </w:pPr>
      <w:r>
        <w:rPr>
          <w:rFonts w:ascii="Times New Roman" w:hAnsi="Times New Roman"/>
          <w:b/>
          <w:color w:val="003366"/>
          <w:sz w:val="19"/>
        </w:rPr>
        <w:t>Table 0.1: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125609C0">
      <w:pPr>
        <w:spacing w:after="120"/>
      </w:pPr>
    </w:p>
    <w:p w14:paraId="433FE6AF">
      <w:pPr>
        <w:spacing w:before="40" w:after="80" w:line="276" w:lineRule="auto"/>
      </w:pPr>
      <w:r>
        <w:rPr>
          <w:rFonts w:ascii="Times New Roman" w:hAnsi="Times New Roman"/>
          <w:sz w:val="20"/>
        </w:rPr>
        <w:t>---</w:t>
      </w:r>
    </w:p>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w:r>
        <w:rPr>
          <w:rFonts w:ascii="Times New Roman" w:hAnsi="Times New Roman"/>
          <w:b/>
          <w:sz w:val="20"/>
        </w:rPr>
        <w:t>1. Category Classification Accuracy</w:t>
      </w:r>
      <w:r>
        <w:rPr>
          <w:rFonts w:ascii="Times New Roman" w:hAnsi="Times New Roman"/>
          <w:sz w:val="20"/>
        </w:rPr>
        <w:t>: The proportion of specimens where the predicted document category (</w:t>
      </w:r>
      <ns3:oMath>
        <ns3:sSub>
          <ns3:sSubPr/>
          <ns3:e>
            <ns3:acc>
              <ns3:accPr/>
              <ns3:e>
                <ns3:r>
                  <ns3:rPr/>
                  <w:rPr>
                    <w:rFonts w:ascii="Cambria Math" w:hAnsi="Cambria Math"/>
                  </w:rPr>
                  <ns3:t>C</ns3:t>
                </ns3:r>
              </ns3:e>
            </ns3:acc>
          </ns3:e>
          <ns3:sub>
            <ns3:r>
              <ns3:rPr/>
              <w:rPr>
                <w:rFonts w:ascii="Cambria Math" w:hAnsi="Cambria Math"/>
              </w:rPr>
              <ns3:t>i</ns3:t>
            </ns3:r>
          </ns3:sub>
        </ns3:sSub>
      </ns3:oMath>
      <w:r>
        <w:rPr>
          <w:rFonts w:ascii="Times New Roman" w:hAnsi="Times New Roman"/>
          <w:sz w:val="20"/>
        </w:rPr>
        <w:t>) matches the ground truth category (</w:t>
      </w:r>
      <ns3:oMath>
        <ns3:sSub>
          <ns3:sSubPr/>
          <ns3:e>
            <ns3:r>
              <ns3:rPr/>
              <w:rPr>
                <w:rFonts w:ascii="Cambria Math" w:hAnsi="Cambria Math"/>
              </w:rPr>
              <ns3:t>C</ns3:t>
            </ns3:r>
          </ns3:e>
          <ns3:sub>
            <ns3:r>
              <ns3:rPr/>
              <w:rPr>
                <w:rFonts w:ascii="Cambria Math" w:hAnsi="Cambria Math"/>
              </w:rPr>
              <ns3:t>i</ns3:t>
            </ns3:r>
          </ns3:sub>
        </ns3:sSub>
      </ns3:oMath>
      <w:r>
        <w:rPr>
          <w:rFonts w:ascii="Times New Roman" w:hAnsi="Times New Roman"/>
          <w:sz w:val="20"/>
        </w:rPr>
        <w:t>):</w:t>
      </w:r>
    </w:p>
    <w:p w14:paraId="2657B9BC">
      <w:pPr>
        <w:spacing w:before="0" w:after="0"/>
        <w:jc w:val="center"/>
      </w:pPr>
      <ns3:oMathPara>
        <ns3:oMath>
          <ns3:r>
            <ns3:rPr/>
            <w:rPr>
              <w:rFonts w:ascii="Cambria Math" w:hAnsi="Cambria Math"/>
            </w:rPr>
            <ns3:t>CategoryAccuracy=</ns3:t>
          </ns3:r>
          <ns3:f>
            <ns3:fPr/>
            <ns3:num>
              <ns3:nary>
                <ns3:naryPr>
                  <ns3:chr ns3:val="∑"/>
                  <ns3:limLoc ns3:val="undOvr"/>
                </ns3:naryPr>
                <ns3:sub>
                  <ns3:r>
                    <ns3:rPr/>
                    <w:rPr>
                      <w:rFonts w:ascii="Cambria Math" w:hAnsi="Cambria Math"/>
                    </w:rPr>
                    <ns3:t>i=1</ns3:t>
                  </ns3:r>
                </ns3:sub>
                <ns3:sup>
                  <ns3:r>
                    <ns3:rPr/>
                    <w:rPr>
                      <w:rFonts w:ascii="Cambria Math" w:hAnsi="Cambria Math"/>
                    </w:rPr>
                    <ns3:t>N</ns3:t>
                  </ns3:r>
                </ns3:sup>
                <ns3:e/>
              </ns3:nary>
              <ns3:r>
                <ns3:rPr>
                  <ns3:scr ns3:val="double-struck"/>
                </ns3:rPr>
                <w:rPr>
                  <w:rFonts w:ascii="Times New Roman" w:hAnsi="Times New Roman"/>
                </w:rPr>
                <ns3:t>1</ns3:t>
              </ns3:r>
              <ns3:r>
                <ns3:rPr/>
                <w:rPr>
                  <w:rFonts w:ascii="Cambria Math" w:hAnsi="Cambria Math"/>
                </w:rPr>
                <ns3:t>(</ns3:t>
              </ns3:r>
              <ns3:sSub>
                <ns3:sSubPr/>
                <ns3:e>
                  <ns3:acc>
                    <ns3:accPr/>
                    <ns3:e>
                      <ns3:r>
                        <ns3:rPr/>
                        <w:rPr>
                          <w:rFonts w:ascii="Cambria Math" w:hAnsi="Cambria Math"/>
                        </w:rPr>
                        <ns3:t>C</ns3:t>
                      </ns3:r>
                    </ns3:e>
                  </ns3:acc>
                </ns3:e>
                <ns3:sub>
                  <ns3:r>
                    <ns3:rPr/>
                    <w:rPr>
                      <w:rFonts w:ascii="Cambria Math" w:hAnsi="Cambria Math"/>
                    </w:rPr>
                    <ns3:t>i</ns3:t>
                  </ns3:r>
                </ns3:sub>
              </ns3:sSub>
              <ns3:r>
                <ns3:rPr/>
                <w:rPr>
                  <w:rFonts w:ascii="Cambria Math" w:hAnsi="Cambria Math"/>
                </w:rPr>
                <ns3:t>=</ns3:t>
              </ns3:r>
              <ns3:sSub>
                <ns3:sSubPr/>
                <ns3:e>
                  <ns3:r>
                    <ns3:rPr/>
                    <w:rPr>
                      <w:rFonts w:ascii="Cambria Math" w:hAnsi="Cambria Math"/>
                    </w:rPr>
                    <ns3:t>C</ns3:t>
                  </ns3:r>
                </ns3:e>
                <ns3:sub>
                  <ns3:r>
                    <ns3:rPr/>
                    <w:rPr>
                      <w:rFonts w:ascii="Cambria Math" w:hAnsi="Cambria Math"/>
                    </w:rPr>
                    <ns3:t>i</ns3:t>
                  </ns3:r>
                </ns3:sub>
              </ns3:sSub>
              <ns3:r>
                <ns3:rPr/>
                <w:rPr>
                  <w:rFonts w:ascii="Cambria Math" w:hAnsi="Cambria Math"/>
                </w:rPr>
                <ns3:t>)</ns3:t>
              </ns3:r>
            </ns3:num>
            <ns3:den>
              <ns3:r>
                <ns3:rPr/>
                <w:rPr>
                  <w:rFonts w:ascii="Cambria Math" w:hAnsi="Cambria Math"/>
                </w:rPr>
                <ns3:t>N</ns3:t>
              </ns3:r>
            </ns3:den>
          </ns3:f>
        </ns3:oMath>
      </ns3:oMathPara>
    </w:p>
    <w:p w14:paraId="0B6F120C">
      <w:pPr>
        <w:spacing w:before="40" w:after="80" w:line="276" w:lineRule="auto"/>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pPr>
      <w:r>
        <w:rPr>
          <w:rFonts w:ascii="Times New Roman" w:hAnsi="Times New Roman"/>
          <w:b/>
          <w:sz w:val="20"/>
        </w:rPr>
        <w:t>2. Field Extraction Precision (</w:t>
      </w:r>
      <ns3:oMath>
        <ns3:r>
          <ns3:rPr/>
          <w:rPr>
            <w:rFonts w:ascii="Cambria Math" w:hAnsi="Cambria Math"/>
          </w:rPr>
          <ns3:t>P</ns3:t>
        </ns3:r>
      </ns3: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ns3:oMath>
        <ns3:r>
          <ns3:rPr/>
          <w:rPr>
            <w:rFonts w:ascii="Cambria Math" w:hAnsi="Cambria Math"/>
          </w:rPr>
          <ns3:t>R</ns3:t>
        </ns3:r>
      </ns3: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ns3:oMath>
        <ns3:sSub>
          <ns3:sSubPr/>
          <ns3:e>
            <ns3:r>
              <ns3:rPr/>
              <w:rPr>
                <w:rFonts w:ascii="Cambria Math" w:hAnsi="Cambria Math"/>
              </w:rPr>
              <ns3:t>F</ns3:t>
            </ns3:r>
          </ns3:e>
          <ns3:sub>
            <ns3:r>
              <ns3:rPr/>
              <w:rPr>
                <w:rFonts w:ascii="Cambria Math" w:hAnsi="Cambria Math"/>
              </w:rPr>
              <ns3:t>1</ns3:t>
            </ns3:r>
          </ns3:sub>
        </ns3:sSub>
      </ns3:oMath>
      <w:r>
        <w:rPr>
          <w:rFonts w:ascii="Times New Roman" w:hAnsi="Times New Roman"/>
          <w:b/>
          <w:sz w:val="20"/>
        </w:rPr>
        <w:t>)</w:t>
      </w:r>
      <w:r>
        <w:rPr>
          <w:rFonts w:ascii="Times New Roman" w:hAnsi="Times New Roman"/>
          <w:sz w:val="20"/>
        </w:rPr>
        <w:t>: Macro-averaged key-value field extraction metrics across all extracted target entities:</w:t>
      </w:r>
    </w:p>
    <w:p w14:paraId="526006D4">
      <w:pPr>
        <w:spacing w:before="0" w:after="0"/>
        <w:jc w:val="center"/>
      </w:pPr>
      <ns3:oMathPara>
        <ns3:oMath>
          <ns3:r>
            <ns3:rPr/>
            <w:rPr>
              <w:rFonts w:ascii="Cambria Math" w:hAnsi="Cambria Math"/>
            </w:rPr>
            <ns3:t>P=</ns3:t>
          </ns3:r>
          <ns3:f>
            <ns3:fPr/>
            <ns3:num>
              <ns3:r>
                <ns3:rPr/>
                <w:rPr>
                  <w:rFonts w:ascii="Times New Roman" w:hAnsi="Times New Roman"/>
                </w:rPr>
                <ns3:t>True Positive Fields</ns3:t>
              </ns3:r>
            </ns3:num>
            <ns3:den>
              <ns3:r>
                <ns3:rPr/>
                <w:rPr>
                  <w:rFonts w:ascii="Times New Roman" w:hAnsi="Times New Roman"/>
                </w:rPr>
                <ns3:t>True Positive Fields</ns3:t>
              </ns3:r>
              <ns3:r>
                <ns3:rPr/>
                <w:rPr>
                  <w:rFonts w:ascii="Cambria Math" w:hAnsi="Cambria Math"/>
                </w:rPr>
                <ns3:t>+</ns3:t>
              </ns3:r>
              <ns3:r>
                <ns3:rPr/>
                <w:rPr>
                  <w:rFonts w:ascii="Times New Roman" w:hAnsi="Times New Roman"/>
                </w:rPr>
                <ns3:t>False Positive Fields</ns3:t>
              </ns3:r>
            </ns3:den>
          </ns3:f>
          <ns3:r>
            <ns3:rPr/>
            <w:rPr>
              <w:rFonts w:ascii="Cambria Math" w:hAnsi="Cambria Math"/>
            </w:rPr>
            <ns3:t>,R=</ns3:t>
          </ns3:r>
          <ns3:f>
            <ns3:fPr/>
            <ns3:num>
              <ns3:r>
                <ns3:rPr/>
                <w:rPr>
                  <w:rFonts w:ascii="Times New Roman" w:hAnsi="Times New Roman"/>
                </w:rPr>
                <ns3:t>True Positive Fields</ns3:t>
              </ns3:r>
            </ns3:num>
            <ns3:den>
              <ns3:r>
                <ns3:rPr/>
                <w:rPr>
                  <w:rFonts w:ascii="Times New Roman" w:hAnsi="Times New Roman"/>
                </w:rPr>
                <ns3:t>True Positive Fields</ns3:t>
              </ns3:r>
              <ns3:r>
                <ns3:rPr/>
                <w:rPr>
                  <w:rFonts w:ascii="Cambria Math" w:hAnsi="Cambria Math"/>
                </w:rPr>
                <ns3:t>+</ns3:t>
              </ns3:r>
              <ns3:r>
                <ns3:rPr/>
                <w:rPr>
                  <w:rFonts w:ascii="Times New Roman" w:hAnsi="Times New Roman"/>
                </w:rPr>
                <ns3:t>False Negative Fields</ns3:t>
              </ns3:r>
            </ns3:den>
          </ns3:f>
          <ns3:r>
            <ns3:rPr/>
            <w:rPr>
              <w:rFonts w:ascii="Cambria Math" w:hAnsi="Cambria Math"/>
            </w:rPr>
            <ns3:t>,</ns3:t>
          </ns3:r>
          <ns3:sSub>
            <ns3:sSubPr/>
            <ns3:e>
              <ns3:r>
                <ns3:rPr/>
                <w:rPr>
                  <w:rFonts w:ascii="Cambria Math" w:hAnsi="Cambria Math"/>
                </w:rPr>
                <ns3:t>F</ns3:t>
              </ns3:r>
            </ns3:e>
            <ns3:sub>
              <ns3:r>
                <ns3:rPr/>
                <w:rPr>
                  <w:rFonts w:ascii="Cambria Math" w:hAnsi="Cambria Math"/>
                </w:rPr>
                <ns3:t>1</ns3:t>
              </ns3:r>
            </ns3:sub>
          </ns3:sSub>
          <ns3:r>
            <ns3:rPr/>
            <w:rPr>
              <w:rFonts w:ascii="Cambria Math" w:hAnsi="Cambria Math"/>
            </w:rPr>
            <ns3:t>=2·</ns3:t>
          </ns3:r>
          <ns3:f>
            <ns3:fPr/>
            <ns3:num>
              <ns3:r>
                <ns3:rPr/>
                <w:rPr>
                  <w:rFonts w:ascii="Cambria Math" w:hAnsi="Cambria Math"/>
                </w:rPr>
                <ns3:t>P·R</ns3:t>
              </ns3:r>
            </ns3:num>
            <ns3:den>
              <ns3:r>
                <ns3:rPr/>
                <w:rPr>
                  <w:rFonts w:ascii="Cambria Math" w:hAnsi="Cambria Math"/>
                </w:rPr>
                <ns3:t>P+R</ns3:t>
              </ns3:r>
            </ns3:den>
          </ns3:f>
        </ns3:oMath>
      </ns3:oMathPara>
      <w:bookmarkStart w:id="0" w:name="_GoBack"/>
      <w:bookmarkEnd w:id="0"/>
    </w:p>
    <w:p w14:paraId="3096A6D7">
      <w:pPr>
        <w:spacing w:before="20" w:after="40"/>
        <w:ind w:left="360"/>
      </w:pPr>
      <w:r>
        <w:rPr>
          <w:rFonts w:ascii="Times New Roman" w:hAnsi="Times New Roman"/>
          <w:b/>
          <w:sz w:val="20"/>
        </w:rPr>
        <w:t>3. Character Error Rate (CER)</w:t>
      </w:r>
      <w:r>
        <w:rPr>
          <w:rFonts w:ascii="Times New Roman" w:hAnsi="Times New Roman"/>
          <w:sz w:val="20"/>
        </w:rPr>
        <w:t>: Levenshtein character edit distance [21] between canonically normalized predicted field strings and expected ground truth field strings, normalized by total ground truth character length (</w:t>
      </w:r>
      <ns3:oMath>
        <ns3:sSub>
          <ns3:sSubPr/>
          <ns3:e>
            <ns3:r>
              <ns3:rPr/>
              <w:rPr>
                <w:rFonts w:ascii="Cambria Math" w:hAnsi="Cambria Math"/>
              </w:rPr>
              <ns3:t>L</ns3:t>
            </ns3:r>
          </ns3:e>
          <ns3:sub>
            <ns3:r>
              <ns3:rPr/>
              <w:rPr>
                <w:rFonts w:ascii="Times New Roman" w:hAnsi="Times New Roman"/>
              </w:rPr>
              <ns3:t>GT</ns3:t>
            </ns3:r>
          </ns3:sub>
        </ns3:sSub>
      </ns3:oMath>
      <w:r>
        <w:rPr>
          <w:rFonts w:ascii="Times New Roman" w:hAnsi="Times New Roman"/>
          <w:sz w:val="20"/>
        </w:rPr>
        <w:t>):</w:t>
      </w:r>
    </w:p>
    <w:p w14:paraId="456E9AE3">
      <w:pPr>
        <w:spacing w:before="0" w:after="0"/>
        <w:jc w:val="center"/>
      </w:pPr>
      <ns3:oMathPara>
        <ns3:oMath>
          <ns3:r>
            <ns3:rPr/>
            <w:rPr>
              <w:rFonts w:ascii="Times New Roman" w:hAnsi="Times New Roman"/>
            </w:rPr>
            <ns3:t>CER</ns3:t>
          </ns3:r>
          <ns3:r>
            <ns3:rPr/>
            <w:rPr>
              <w:rFonts w:ascii="Cambria Math" w:hAnsi="Cambria Math"/>
            </w:rPr>
            <ns3:t>=</ns3:t>
          </ns3:r>
          <ns3:f>
            <ns3:fPr/>
            <ns3:num>
              <ns3:sSub>
                <ns3:sSubPr/>
                <ns3:e>
                  <ns3:r>
                    <ns3:rPr/>
                    <w:rPr>
                      <w:rFonts w:ascii="Cambria Math" w:hAnsi="Cambria Math"/>
                    </w:rPr>
                    <ns3:t>S</ns3:t>
                  </ns3:r>
                </ns3:e>
                <ns3:sub>
                  <ns3:r>
                    <ns3:rPr/>
                    <w:rPr>
                      <w:rFonts w:ascii="Times New Roman" w:hAnsi="Times New Roman"/>
                    </w:rPr>
                    <ns3:t>char</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char</ns3:t>
                  </ns3:r>
                </ns3:sub>
              </ns3:sSub>
              <ns3:r>
                <ns3:rPr/>
                <w:rPr>
                  <w:rFonts w:ascii="Cambria Math" w:hAnsi="Cambria Math"/>
                </w:rPr>
                <ns3:t>+</ns3:t>
              </ns3:r>
              <ns3:sSub>
                <ns3:sSubPr/>
                <ns3:e>
                  <ns3:r>
                    <ns3:rPr/>
                    <w:rPr>
                      <w:rFonts w:ascii="Cambria Math" w:hAnsi="Cambria Math"/>
                    </w:rPr>
                    <ns3:t>I</ns3:t>
                  </ns3:r>
                </ns3:e>
                <ns3:sub>
                  <ns3:r>
                    <ns3:rPr/>
                    <w:rPr>
                      <w:rFonts w:ascii="Times New Roman" w:hAnsi="Times New Roman"/>
                    </w:rPr>
                    <ns3:t>char</ns3:t>
                  </ns3:r>
                </ns3:sub>
              </ns3:sSub>
            </ns3:num>
            <ns3:den>
              <ns3:sSub>
                <ns3:sSubPr/>
                <ns3:e>
                  <ns3:r>
                    <ns3:rPr/>
                    <w:rPr>
                      <w:rFonts w:ascii="Cambria Math" w:hAnsi="Cambria Math"/>
                    </w:rPr>
                    <ns3:t>L</ns3:t>
                  </ns3:r>
                </ns3:e>
                <ns3:sub>
                  <ns3:r>
                    <ns3:rPr/>
                    <w:rPr>
                      <w:rFonts w:ascii="Times New Roman" w:hAnsi="Times New Roman"/>
                    </w:rPr>
                    <ns3:t>GT</ns3:t>
                  </ns3:r>
                </ns3:sub>
              </ns3:sSub>
            </ns3:den>
          </ns3:f>
        </ns3:oMath>
      </ns3:oMathPara>
    </w:p>
    <w:p w14:paraId="28D3FA95">
      <w:pPr>
        <w:spacing w:before="20" w:after="40"/>
        <w:ind w:left="360"/>
      </w:pPr>
      <w:r>
        <w:rPr>
          <w:rFonts w:ascii="Times New Roman" w:hAnsi="Times New Roman"/>
          <w:b/>
          <w:sz w:val="20"/>
        </w:rPr>
        <w:t>4. Word Error Rate (WER)</w:t>
      </w:r>
      <w:r>
        <w:rPr>
          <w:rFonts w:ascii="Times New Roman" w:hAnsi="Times New Roman"/>
          <w:sz w:val="20"/>
        </w:rPr>
        <w:t>: Tokenized word-level edit distance [20] between predicted field strings and ground truth field strings, normalized by total ground truth word count (</w:t>
      </w:r>
      <ns3:oMath>
        <ns3:sSub>
          <ns3:sSubPr/>
          <ns3:e>
            <ns3:r>
              <ns3:rPr/>
              <w:rPr>
                <w:rFonts w:ascii="Cambria Math" w:hAnsi="Cambria Math"/>
              </w:rPr>
              <ns3:t>W</ns3:t>
            </ns3:r>
          </ns3:e>
          <ns3:sub>
            <ns3:r>
              <ns3:rPr/>
              <w:rPr>
                <w:rFonts w:ascii="Times New Roman" w:hAnsi="Times New Roman"/>
              </w:rPr>
              <ns3:t>GT</ns3:t>
            </ns3:r>
          </ns3:sub>
        </ns3:sSub>
      </ns3:oMath>
      <w:r>
        <w:rPr>
          <w:rFonts w:ascii="Times New Roman" w:hAnsi="Times New Roman"/>
          <w:sz w:val="20"/>
        </w:rPr>
        <w:t>):</w:t>
      </w:r>
    </w:p>
    <w:p w14:paraId="456A4CA1">
      <w:pPr>
        <w:spacing w:before="0" w:after="0"/>
        <w:jc w:val="center"/>
      </w:pPr>
      <ns3:oMathPara>
        <ns3:oMath>
          <ns3:r>
            <ns3:rPr/>
            <w:rPr>
              <w:rFonts w:ascii="Times New Roman" w:hAnsi="Times New Roman"/>
            </w:rPr>
            <ns3:t>WER</ns3:t>
          </ns3:r>
          <ns3:r>
            <ns3:rPr/>
            <w:rPr>
              <w:rFonts w:ascii="Cambria Math" w:hAnsi="Cambria Math"/>
            </w:rPr>
            <ns3:t>=</ns3:t>
          </ns3:r>
          <ns3:f>
            <ns3:fPr/>
            <ns3:num>
              <ns3:sSub>
                <ns3:sSubPr/>
                <ns3:e>
                  <ns3:r>
                    <ns3:rPr/>
                    <w:rPr>
                      <w:rFonts w:ascii="Cambria Math" w:hAnsi="Cambria Math"/>
                    </w:rPr>
                    <ns3:t>S</ns3:t>
                  </ns3:r>
                </ns3:e>
                <ns3:sub>
                  <ns3:r>
                    <ns3:rPr/>
                    <w:rPr>
                      <w:rFonts w:ascii="Times New Roman" w:hAnsi="Times New Roman"/>
                    </w:rPr>
                    <ns3:t>word</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word</ns3:t>
                  </ns3:r>
                </ns3:sub>
              </ns3:sSub>
              <ns3:r>
                <ns3:rPr/>
                <w:rPr>
                  <w:rFonts w:ascii="Cambria Math" w:hAnsi="Cambria Math"/>
                </w:rPr>
                <ns3:t>+</ns3:t>
              </ns3:r>
              <ns3:sSub>
                <ns3:sSubPr/>
                <ns3:e>
                  <ns3:r>
                    <ns3:rPr/>
                    <w:rPr>
                      <w:rFonts w:ascii="Cambria Math" w:hAnsi="Cambria Math"/>
                    </w:rPr>
                    <ns3:t>I</ns3:t>
                  </ns3:r>
                </ns3:e>
                <ns3:sub>
                  <ns3:r>
                    <ns3:rPr/>
                    <w:rPr>
                      <w:rFonts w:ascii="Times New Roman" w:hAnsi="Times New Roman"/>
                    </w:rPr>
                    <ns3:t>word</ns3:t>
                  </ns3:r>
                </ns3:sub>
              </ns3:sSub>
            </ns3:num>
            <ns3:den>
              <ns3:sSub>
                <ns3:sSubPr/>
                <ns3:e>
                  <ns3:r>
                    <ns3:rPr/>
                    <w:rPr>
                      <w:rFonts w:ascii="Cambria Math" w:hAnsi="Cambria Math"/>
                    </w:rPr>
                    <ns3:t>W</ns3:t>
                  </ns3:r>
                </ns3:e>
                <ns3:sub>
                  <ns3:r>
                    <ns3:rPr/>
                    <w:rPr>
                      <w:rFonts w:ascii="Times New Roman" w:hAnsi="Times New Roman"/>
                    </w:rPr>
                    <ns3:t>GT</ns3:t>
                  </ns3:r>
                </ns3:sub>
              </ns3:sSub>
            </ns3:den>
          </ns3:f>
        </ns3:oMath>
      </ns3:oMathPara>
    </w:p>
    <w:p w14:paraId="22B41161">
      <w:pPr>
        <w:spacing w:before="20" w:after="40"/>
        <w:ind w:left="360"/>
      </w:pPr>
      <w:r>
        <w:rPr>
          <w:rFonts w:ascii="Times New Roman" w:hAnsi="Times New Roman"/>
          <w:b/>
          <w:sz w:val="20"/>
        </w:rPr>
        <w:t>5. Joint Record Exact Match Rate (EM)</w:t>
      </w:r>
      <w:r>
        <w:rPr>
          <w:rFonts w:ascii="Times New Roman" w:hAnsi="Times New Roman"/>
          <w:sz w:val="20"/>
        </w:rPr>
        <w:t>: The percentage of specimens that achieve both 100% key-value field extraction AND correct top-level category classification simultaneously.</w:t>
      </w:r>
    </w:p>
    <w:p w14:paraId="4D33CC89">
      <w:pPr>
        <w:spacing w:before="20" w:after="40"/>
        <w:ind w:left="360"/>
      </w:pPr>
      <w:r>
        <w:rPr>
          <w:rFonts w:ascii="Times New Roman" w:hAnsi="Times New Roman"/>
          <w:b/>
          <w:sz w:val="20"/>
        </w:rPr>
        <w:t>6. Latency &amp; Throughput</w:t>
      </w:r>
      <w:r>
        <w:rPr>
          <w:rFonts w:ascii="Times New Roman" w:hAnsi="Times New Roman"/>
          <w:sz w:val="20"/>
        </w:rPr>
        <w:t>: Execution latency per specimen (</w:t>
      </w:r>
      <ns3:oMath>
        <ns3:r>
          <ns3:rPr/>
          <w:rPr>
            <w:rFonts w:ascii="Times New Roman" w:hAnsi="Times New Roman"/>
          </w:rPr>
          <ns3:t>ms/sample</ns3:t>
        </ns3:r>
      </ns3:oMath>
      <w:r>
        <w:rPr>
          <w:rFonts w:ascii="Times New Roman" w:hAnsi="Times New Roman"/>
          <w:sz w:val="20"/>
        </w:rPr>
        <w:t>) and framework processing throughput (</w:t>
      </w:r>
      <ns3:oMath>
        <ns3:r>
          <ns3:rPr/>
          <w:rPr>
            <w:rFonts w:ascii="Times New Roman" w:hAnsi="Times New Roman"/>
          </w:rPr>
          <ns3:t>samples/sec</ns3:t>
        </ns3:r>
      </ns3:oMath>
      <w:r>
        <w:rPr>
          <w:rFonts w:ascii="Times New Roman" w:hAnsi="Times New Roman"/>
          <w:sz w:val="20"/>
        </w:rPr>
        <w:t>).</w:t>
      </w:r>
    </w:p>
    <w:p w14:paraId="6B789D83">
      <w:pPr>
        <w:spacing w:before="40" w:after="80" w:line="276" w:lineRule="auto"/>
      </w:pPr>
      <w:r>
        <w:rPr>
          <w:rFonts w:ascii="Times New Roman" w:hAnsi="Times New Roman"/>
          <w:sz w:val="20"/>
        </w:rPr>
        <w:t>---</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rPr>
          <w:rFonts w:ascii="Times New Roman" w:hAnsi="Times New Roman"/>
          <w:sz w:val="20"/>
        </w:rPr>
        <w:t>Table 1 summarizes the framework system verification metrics evaluated across the 360 benchmark specimens (AU_DIC_Benchmark_v1.0).</w:t>
      </w:r>
    </w:p>
    <w:p w14:paraId="71A92F66">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rPr>
                <w:rFonts w:ascii="Times New Roman" w:hAnsi="Times New Roman"/>
                <w:b/>
                <w:color w:val="FFFFFF"/>
                <w:sz w:val="19"/>
              </w:rPr>
              <w:t>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rPr>
                <w:rFonts w:ascii="Times New Roman" w:hAnsi="Times New Roman"/>
                <w:b/>
                <w:color w:val="FFFFFF"/>
                <w:sz w:val="19"/>
              </w:rPr>
              <w:t>Evaluated Samples</w:t>
            </w:r>
          </w:p>
        </w:tc>
        <w:tc>
          <w:tcPr>
            <w:tcW w:w="1170" w:type="dxa"/>
            <w:shd w:val="clear" w:color="auto" w:fill="003366"/>
            <w:tcMar>
              <w:top w:w="100" w:type="dxa"/>
              <w:left w:w="130" w:type="dxa"/>
              <w:bottom w:w="100" w:type="dxa"/>
              <w:right w:w="130" w:type="dxa"/>
            </w:tcMar>
          </w:tcPr>
          <w:p w14:paraId="1D758CA0">
            <w:pPr>
              <w:spacing w:before="40" w:after="40"/>
              <w:jc w:val="center"/>
            </w:pPr>
            <w:r>
              <w:rPr>
                <w:rFonts w:ascii="Times New Roman" w:hAnsi="Times New Roman"/>
                <w:b/>
                <w:color w:val="FFFFFF"/>
                <w:sz w:val="19"/>
              </w:rPr>
              <w:t>Category Accuracy</w:t>
            </w:r>
          </w:p>
        </w:tc>
        <w:tc>
          <w:tcPr>
            <w:tcW w:w="1170" w:type="dxa"/>
            <w:shd w:val="clear" w:color="auto" w:fill="003366"/>
            <w:tcMar>
              <w:top w:w="100" w:type="dxa"/>
              <w:left w:w="130" w:type="dxa"/>
              <w:bottom w:w="100" w:type="dxa"/>
              <w:right w:w="130" w:type="dxa"/>
            </w:tcMar>
          </w:tcPr>
          <w:p w14:paraId="6DD2ED62">
            <w:pPr>
              <w:spacing w:before="40" w:after="40"/>
              <w:jc w:val="center"/>
            </w:pPr>
            <w:r>
              <w:rPr>
                <w:rFonts w:ascii="Times New Roman" w:hAnsi="Times New Roman"/>
                <w:b/>
                <w:color w:val="FFFFFF"/>
                <w:sz w:val="19"/>
              </w:rPr>
              <w:t>Precision</w:t>
            </w:r>
          </w:p>
        </w:tc>
        <w:tc>
          <w:tcPr>
            <w:tcW w:w="1170" w:type="dxa"/>
            <w:shd w:val="clear" w:color="auto" w:fill="003366"/>
            <w:tcMar>
              <w:top w:w="100" w:type="dxa"/>
              <w:left w:w="130" w:type="dxa"/>
              <w:bottom w:w="100" w:type="dxa"/>
              <w:right w:w="130" w:type="dxa"/>
            </w:tcMar>
          </w:tcPr>
          <w:p w14:paraId="148D6DDA">
            <w:pPr>
              <w:spacing w:before="40" w:after="40"/>
              <w:jc w:val="center"/>
            </w:pPr>
            <w:r>
              <w:rPr>
                <w:rFonts w:ascii="Times New Roman" w:hAnsi="Times New Roman"/>
                <w:b/>
                <w:color w:val="FFFFFF"/>
                <w:sz w:val="19"/>
              </w:rPr>
              <w:t>Recall</w:t>
            </w:r>
          </w:p>
        </w:tc>
        <w:tc>
          <w:tcPr>
            <w:tcW w:w="1170" w:type="dxa"/>
            <w:shd w:val="clear" w:color="auto" w:fill="003366"/>
            <w:tcMar>
              <w:top w:w="100" w:type="dxa"/>
              <w:left w:w="130" w:type="dxa"/>
              <w:bottom w:w="100" w:type="dxa"/>
              <w:right w:w="130" w:type="dxa"/>
            </w:tcMar>
          </w:tcPr>
          <w:p w14:paraId="6E0B802A">
            <w:pPr>
              <w:spacing w:before="40" w:after="40"/>
              <w:jc w:val="center"/>
            </w:pPr>
            <w:r>
              <w:rPr>
                <w:rFonts w:ascii="Times New Roman" w:hAnsi="Times New Roman"/>
                <w:b/>
                <w:color w:val="FFFFFF"/>
                <w:sz w:val="19"/>
              </w:rPr>
              <w:t>F1 Score</w:t>
            </w:r>
          </w:p>
        </w:tc>
        <w:tc>
          <w:tcPr>
            <w:tcW w:w="1170" w:type="dxa"/>
            <w:shd w:val="clear" w:color="auto" w:fill="003366"/>
            <w:tcMar>
              <w:top w:w="100" w:type="dxa"/>
              <w:left w:w="130" w:type="dxa"/>
              <w:bottom w:w="100" w:type="dxa"/>
              <w:right w:w="130" w:type="dxa"/>
            </w:tcMar>
          </w:tcPr>
          <w:p w14:paraId="780474C8">
            <w:pPr>
              <w:spacing w:before="40" w:after="40"/>
              <w:jc w:val="center"/>
            </w:pPr>
            <w:r>
              <w:rPr>
                <w:rFonts w:ascii="Times New Roman" w:hAnsi="Times New Roman"/>
                <w:b/>
                <w:color w:val="FFFFFF"/>
                <w:sz w:val="19"/>
              </w:rPr>
              <w:t>Mean CER</w:t>
            </w:r>
          </w:p>
        </w:tc>
        <w:tc>
          <w:tcPr>
            <w:tcW w:w="1170" w:type="dxa"/>
            <w:shd w:val="clear" w:color="auto" w:fill="003366"/>
            <w:tcMar>
              <w:top w:w="100" w:type="dxa"/>
              <w:left w:w="130" w:type="dxa"/>
              <w:bottom w:w="100" w:type="dxa"/>
              <w:right w:w="130" w:type="dxa"/>
            </w:tcMar>
          </w:tcPr>
          <w:p w14:paraId="1A773B1A">
            <w:pPr>
              <w:spacing w:before="40" w:after="40"/>
              <w:jc w:val="center"/>
            </w:pPr>
            <w:r>
              <w:rPr>
                <w:rFonts w:ascii="Times New Roman" w:hAnsi="Times New Roman"/>
                <w:b/>
                <w:color w:val="FFFFFF"/>
                <w:sz w:val="19"/>
              </w:rPr>
              <w:t>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18678141">
      <w:pPr>
        <w:spacing w:after="120"/>
      </w:pPr>
    </w:p>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rPr>
          <w:rFonts w:ascii="Times New Roman" w:hAnsi="Times New Roman"/>
          <w:b/>
          <w:i/>
          <w:sz w:val="21"/>
        </w:rPr>
        <w:t>5.4.1 Inference Pipeline Disambiguation (Option B)</w:t>
      </w:r>
    </w:p>
    <w:p w14:paraId="7661D404">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14:paraId="7B658E96">
      <w:pPr>
        <w:spacing w:before="160" w:after="80" w:line="240" w:lineRule="atLeast"/>
        <w:jc w:val="center"/>
      </w:pPr>
      <w:r>
        <w:drawing>
          <wp:inline distT="0" distB="0" distL="0" distR="0">
            <wp:extent cx="5943600" cy="2806700"/>
            <wp:effectExtent l="0" t="0" r="0" b="12700"/>
            <wp:docPr id="3" name="Picture 3"/>
            <wp:cNvGraphicFramePr>
              <a:graphicFrameLocks noChangeAspect="1"/>
            </wp:cNvGraphicFramePr>
            <a:graphic>
              <a:graphicData uri="http://schemas.openxmlformats.org/drawingml/2006/picture">
                <pic:pic>
                  <pic:nvPicPr>
                    <pic:cNvPr id="3" name="Picture 3"/>
                    <pic:cNvPicPr>
                      <a:picLocks noChangeAspect="1"/>
                    </pic:cNvPicPr>
                  </pic:nvPicPr>
                  <pic:blipFill>
                    <a:blip r:embed="rId9"/>
                    <a:stretch>
                      <a:fillRect/>
                    </a:stretch>
                  </pic:blipFill>
                  <pic:spPr>
                    <a:xfrm>
                      <a:off x="0" y="0"/>
                      <a:ext cx="5943600" cy="2806700"/>
                    </a:xfrm>
                    <a:prstGeom prst="rect">
                      <a:avLst/>
                    </a:prstGeom>
                  </pic:spPr>
                </pic:pic>
              </a:graphicData>
            </a:graphic>
          </wp:inline>
        </w:drawing>
      </w:r>
    </w:p>
    <w:p w14:paraId="62752EBD">
      <w:pPr>
        <w:spacing w:after="160"/>
        <w:jc w:val="center"/>
      </w:pPr>
      <w:r>
        <w:rPr>
          <w:rFonts w:ascii="Times New Roman" w:hAnsi="Times New Roman"/>
          <w:b/>
          <w:color w:val="003366"/>
          <w:sz w:val="19"/>
        </w:rPr>
        <w:t>Fig. 3. Option B Zero-Shot Text-Prompted Neural LLM Evaluation Pipeline Architecture.</w:t>
      </w:r>
    </w:p>
    <w:p w14:paraId="109F1399">
      <w:pPr>
        <w:spacing w:before="40" w:after="80" w:line="276" w:lineRule="auto"/>
      </w:pPr>
      <w:r>
        <w:rPr>
          <w:rFonts w:ascii="Times New Roman" w:hAnsi="Times New Roman"/>
          <w:sz w:val="20"/>
        </w:rPr>
        <w:t xml:space="preserve">Fig. 3 depicts the Option B zero-shot text-prompted neural LLM evaluation pipeline architecture. 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14:paraId="21FBA05F">
      <w:pPr>
        <w:spacing w:before="40" w:after="80" w:line="276" w:lineRule="auto"/>
      </w:pPr>
      <w:r>
        <w:rPr>
          <w:rFonts w:ascii="Times New Roman" w:hAnsi="Times New Roman"/>
          <w:sz w:val="20"/>
        </w:rPr>
        <w:t>Table 2 details live model extraction and document category classification performance evaluated on Groq Cloud Llama 3.1 8B Instant.</w:t>
      </w:r>
    </w:p>
    <w:p w14:paraId="29D205C5">
      <w:pPr>
        <w:keepNext/>
        <w:spacing w:before="80" w:after="160"/>
        <w:jc w:val="center"/>
      </w:pPr>
      <w:r>
        <w:rPr>
          <w:rFonts w:ascii="Times New Roman" w:hAnsi="Times New Roman"/>
          <w:b/>
          <w:color w:val="003366"/>
          <w:sz w:val="19"/>
        </w:rPr>
        <w:t>Table 2: Live Model Extraction &amp; Classification Performance (Groq Llama 3.1 8B Instant)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rPr>
                <w:rFonts w:ascii="Times New Roman" w:hAnsi="Times New Roman"/>
                <w:b/>
                <w:color w:val="FFFFFF"/>
                <w:sz w:val="19"/>
              </w:rPr>
              <w:t>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rPr>
                <w:rFonts w:ascii="Times New Roman" w:hAnsi="Times New Roman"/>
                <w:b/>
                <w:color w:val="FFFFFF"/>
                <w:sz w:val="19"/>
              </w:rPr>
              <w:t>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rPr>
                <w:rFonts w:ascii="Times New Roman" w:hAnsi="Times New Roman"/>
                <w:b/>
                <w:color w:val="FFFFFF"/>
                <w:sz w:val="19"/>
              </w:rPr>
              <w:t>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rPr>
                <w:rFonts w:ascii="Times New Roman" w:hAnsi="Times New Roman"/>
                <w:b/>
                <w:color w:val="FFFFFF"/>
                <w:sz w:val="19"/>
              </w:rPr>
              <w:t>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rPr>
                <w:rFonts w:ascii="Times New Roman" w:hAnsi="Times New Roman"/>
                <w:b/>
                <w:color w:val="FFFFFF"/>
                <w:sz w:val="19"/>
              </w:rPr>
              <w:t>Field Recall</w:t>
            </w:r>
          </w:p>
        </w:tc>
        <w:tc>
          <w:tcPr>
            <w:tcW w:w="1040" w:type="dxa"/>
            <w:shd w:val="clear" w:color="auto" w:fill="003366"/>
            <w:tcMar>
              <w:top w:w="100" w:type="dxa"/>
              <w:left w:w="130" w:type="dxa"/>
              <w:bottom w:w="100" w:type="dxa"/>
              <w:right w:w="130" w:type="dxa"/>
            </w:tcMar>
          </w:tcPr>
          <w:p w14:paraId="55DB299B">
            <w:pPr>
              <w:spacing w:before="40" w:after="40"/>
              <w:jc w:val="center"/>
            </w:pPr>
            <w:r>
              <w:rPr>
                <w:rFonts w:ascii="Times New Roman" w:hAnsi="Times New Roman"/>
                <w:b/>
                <w:color w:val="FFFFFF"/>
                <w:sz w:val="19"/>
              </w:rPr>
              <w:t>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rPr>
                <w:rFonts w:ascii="Times New Roman" w:hAnsi="Times New Roman"/>
                <w:b/>
                <w:color w:val="FFFFFF"/>
                <w:sz w:val="19"/>
              </w:rPr>
              <w:t>Mean CER</w:t>
            </w:r>
          </w:p>
        </w:tc>
        <w:tc>
          <w:tcPr>
            <w:tcW w:w="1040" w:type="dxa"/>
            <w:shd w:val="clear" w:color="auto" w:fill="003366"/>
            <w:tcMar>
              <w:top w:w="100" w:type="dxa"/>
              <w:left w:w="130" w:type="dxa"/>
              <w:bottom w:w="100" w:type="dxa"/>
              <w:right w:w="130" w:type="dxa"/>
            </w:tcMar>
          </w:tcPr>
          <w:p w14:paraId="293CE496">
            <w:pPr>
              <w:spacing w:before="40" w:after="40"/>
              <w:jc w:val="center"/>
            </w:pPr>
            <w:r>
              <w:rPr>
                <w:rFonts w:ascii="Times New Roman" w:hAnsi="Times New Roman"/>
                <w:b/>
                <w:color w:val="FFFFFF"/>
                <w:sz w:val="19"/>
              </w:rPr>
              <w:t>Mean WER</w:t>
            </w:r>
          </w:p>
        </w:tc>
        <w:tc>
          <w:tcPr>
            <w:tcW w:w="1040" w:type="dxa"/>
            <w:shd w:val="clear" w:color="auto" w:fill="003366"/>
            <w:tcMar>
              <w:top w:w="100" w:type="dxa"/>
              <w:left w:w="130" w:type="dxa"/>
              <w:bottom w:w="100" w:type="dxa"/>
              <w:right w:w="130" w:type="dxa"/>
            </w:tcMar>
          </w:tcPr>
          <w:p w14:paraId="10FE9E63">
            <w:pPr>
              <w:spacing w:before="40" w:after="40"/>
              <w:jc w:val="center"/>
            </w:pPr>
            <w:r>
              <w:rPr>
                <w:rFonts w:ascii="Times New Roman" w:hAnsi="Times New Roman"/>
                <w:b/>
                <w:color w:val="FFFFFF"/>
                <w:sz w:val="19"/>
              </w:rPr>
              <w:t>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rPr>
                <w:rFonts w:ascii="Times New Roman" w:hAnsi="Times New Roman"/>
                <w:b/>
                <w:sz w:val="18"/>
              </w:rPr>
              <w:t>clean</w:t>
            </w:r>
          </w:p>
        </w:tc>
        <w:tc>
          <w:tcPr>
            <w:tcW w:w="1040" w:type="dxa"/>
            <w:shd w:val="clear" w:color="auto" w:fill="FFFFFF"/>
            <w:tcMar>
              <w:top w:w="100" w:type="dxa"/>
              <w:left w:w="130" w:type="dxa"/>
              <w:bottom w:w="100" w:type="dxa"/>
              <w:right w:w="130" w:type="dxa"/>
            </w:tcMar>
          </w:tcPr>
          <w:p w14:paraId="263E7BE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6B1D8298">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66FFFC07">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B61E416">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06CA889">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3FED810">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41A060A">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3F52F76">
            <w:pPr>
              <w:spacing w:before="40" w:after="40"/>
              <w:jc w:val="center"/>
            </w:pPr>
            <w:r>
              <w:rPr>
                <w:rFonts w:ascii="Times New Roman" w:hAnsi="Times New Roman"/>
                <w:sz w:val="18"/>
              </w:rPr>
              <w:t>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rPr>
                <w:rFonts w:ascii="Times New Roman" w:hAnsi="Times New Roman"/>
                <w:b/>
                <w:sz w:val="18"/>
              </w:rPr>
              <w:t>scanner_copy</w:t>
            </w:r>
          </w:p>
        </w:tc>
        <w:tc>
          <w:tcPr>
            <w:tcW w:w="1040" w:type="dxa"/>
            <w:shd w:val="clear" w:color="auto" w:fill="F8F9FA"/>
            <w:tcMar>
              <w:top w:w="100" w:type="dxa"/>
              <w:left w:w="130" w:type="dxa"/>
              <w:bottom w:w="100" w:type="dxa"/>
              <w:right w:w="130" w:type="dxa"/>
            </w:tcMar>
          </w:tcPr>
          <w:p w14:paraId="60DD4469">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0DE6AB5F">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4EB505E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460F6E5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67E47077">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02D05BF8">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7E58A7E2">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5AB6AC97">
            <w:pPr>
              <w:spacing w:before="40" w:after="40"/>
              <w:jc w:val="center"/>
            </w:pPr>
            <w:r>
              <w:rPr>
                <w:rFonts w:ascii="Times New Roman" w:hAnsi="Times New Roman"/>
                <w:sz w:val="18"/>
              </w:rPr>
              <w:t>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rPr>
                <w:rFonts w:ascii="Times New Roman" w:hAnsi="Times New Roman"/>
                <w:b/>
                <w:sz w:val="18"/>
              </w:rPr>
              <w:t>mobile_camera</w:t>
            </w:r>
          </w:p>
        </w:tc>
        <w:tc>
          <w:tcPr>
            <w:tcW w:w="1040" w:type="dxa"/>
            <w:shd w:val="clear" w:color="auto" w:fill="FFFFFF"/>
            <w:tcMar>
              <w:top w:w="100" w:type="dxa"/>
              <w:left w:w="130" w:type="dxa"/>
              <w:bottom w:w="100" w:type="dxa"/>
              <w:right w:w="130" w:type="dxa"/>
            </w:tcMar>
          </w:tcPr>
          <w:p w14:paraId="498F1A7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7E8E1A33">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7A540314">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56AF2EC">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2473174">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3E69993">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C756EE3">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E0B3D0C">
            <w:pPr>
              <w:spacing w:before="40" w:after="40"/>
              <w:jc w:val="center"/>
            </w:pPr>
            <w:r>
              <w:rPr>
                <w:rFonts w:ascii="Times New Roman" w:hAnsi="Times New Roman"/>
                <w:sz w:val="18"/>
              </w:rPr>
              <w:t>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rPr>
                <w:rFonts w:ascii="Times New Roman" w:hAnsi="Times New Roman"/>
                <w:b/>
                <w:sz w:val="18"/>
              </w:rPr>
              <w:t>rotated_90</w:t>
            </w:r>
          </w:p>
        </w:tc>
        <w:tc>
          <w:tcPr>
            <w:tcW w:w="1040" w:type="dxa"/>
            <w:shd w:val="clear" w:color="auto" w:fill="F8F9FA"/>
            <w:tcMar>
              <w:top w:w="100" w:type="dxa"/>
              <w:left w:w="130" w:type="dxa"/>
              <w:bottom w:w="100" w:type="dxa"/>
              <w:right w:w="130" w:type="dxa"/>
            </w:tcMar>
          </w:tcPr>
          <w:p w14:paraId="0188613B">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7FC658CC">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4DBCE0CA">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0EC2343">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15B74AC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75804FB">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6EE89C6A">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06BBBD7B">
            <w:pPr>
              <w:spacing w:before="40" w:after="40"/>
              <w:jc w:val="center"/>
            </w:pPr>
            <w:r>
              <w:rPr>
                <w:rFonts w:ascii="Times New Roman" w:hAnsi="Times New Roman"/>
                <w:sz w:val="18"/>
              </w:rPr>
              <w:t>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rPr>
                <w:rFonts w:ascii="Times New Roman" w:hAnsi="Times New Roman"/>
                <w:b/>
                <w:sz w:val="18"/>
              </w:rPr>
              <w:t>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rPr>
                <w:rFonts w:ascii="Times New Roman" w:hAnsi="Times New Roman"/>
                <w:b/>
                <w:sz w:val="18"/>
              </w:rPr>
              <w:t>360</w:t>
            </w:r>
          </w:p>
        </w:tc>
        <w:tc>
          <w:tcPr>
            <w:tcW w:w="1040" w:type="dxa"/>
            <w:shd w:val="clear" w:color="auto" w:fill="FFFFFF"/>
            <w:tcMar>
              <w:top w:w="100" w:type="dxa"/>
              <w:left w:w="130" w:type="dxa"/>
              <w:bottom w:w="100" w:type="dxa"/>
              <w:right w:w="130" w:type="dxa"/>
            </w:tcMar>
          </w:tcPr>
          <w:p w14:paraId="1093241F">
            <w:pPr>
              <w:spacing w:before="40" w:after="40"/>
              <w:jc w:val="center"/>
            </w:pPr>
            <w:r>
              <w:rPr>
                <w:rFonts w:ascii="Times New Roman" w:hAnsi="Times New Roman"/>
                <w:b/>
                <w:sz w:val="18"/>
              </w:rPr>
              <w:t>66.67%</w:t>
            </w:r>
          </w:p>
        </w:tc>
        <w:tc>
          <w:tcPr>
            <w:tcW w:w="1040" w:type="dxa"/>
            <w:shd w:val="clear" w:color="auto" w:fill="FFFFFF"/>
            <w:tcMar>
              <w:top w:w="100" w:type="dxa"/>
              <w:left w:w="130" w:type="dxa"/>
              <w:bottom w:w="100" w:type="dxa"/>
              <w:right w:w="130" w:type="dxa"/>
            </w:tcMar>
          </w:tcPr>
          <w:p w14:paraId="57DA7CB4">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3DD33A98">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3FCD7092">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4F8CBF4C">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1C1501CF">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1AF8FCAB">
            <w:pPr>
              <w:spacing w:before="40" w:after="40"/>
              <w:jc w:val="center"/>
            </w:pPr>
            <w:r>
              <w:rPr>
                <w:rFonts w:ascii="Times New Roman" w:hAnsi="Times New Roman"/>
                <w:b/>
                <w:sz w:val="18"/>
              </w:rPr>
              <w:t>0.00%</w:t>
            </w:r>
          </w:p>
        </w:tc>
      </w:tr>
    </w:tbl>
    <w:p w14:paraId="445F0E85">
      <w:pPr>
        <w:spacing w:after="120"/>
      </w:pPr>
    </w:p>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rPr>
          <w:rFonts w:ascii="Times New Roman" w:hAnsi="Times New Roman"/>
          <w:b/>
          <w:sz w:val="20"/>
        </w:rPr>
        <w:t>1. 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14:paraId="059DEFCF">
      <w:pPr>
        <w:spacing w:before="20" w:after="40"/>
        <w:ind w:left="360"/>
      </w:pPr>
      <w:r>
        <w:rPr>
          <w:rFonts w:ascii="Times New Roman" w:hAnsi="Times New Roman"/>
          <w:b/>
          <w:sz w:val="20"/>
        </w:rPr>
        <w:t>2. 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rPr>
          <w:rFonts w:ascii="Times New Roman" w:hAnsi="Times New Roman"/>
          <w:sz w:val="20"/>
        </w:rPr>
        <w:t>To empirically measure the scientific contribution of the Six-Stage Semantic Canonical Normalization Layer (CanonicalNormalizer) [25], [36], we executed a two-pass benchmark evaluation across all 360 specimens (5,760 total field comparisons).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rPr>
          <w:rFonts w:ascii="Times New Roman" w:hAnsi="Times New Roman"/>
          <w:sz w:val="20"/>
        </w:rPr>
        <w:t>Table 3 summarizes the empirical metric impact of semantic canonical normalization measured during the two-pass ablation study.</w:t>
      </w:r>
    </w:p>
    <w:p w14:paraId="17F928D7">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rPr>
                <w:rFonts w:ascii="Times New Roman" w:hAnsi="Times New Roman"/>
                <w:b/>
                <w:color w:val="FFFFFF"/>
                <w:sz w:val="19"/>
              </w:rPr>
              <w:t>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rPr>
                <w:rFonts w:ascii="Times New Roman" w:hAnsi="Times New Roman"/>
                <w:b/>
                <w:color w:val="FFFFFF"/>
                <w:sz w:val="19"/>
              </w:rPr>
              <w:t>Precision</w:t>
            </w:r>
          </w:p>
        </w:tc>
        <w:tc>
          <w:tcPr>
            <w:tcW w:w="1560" w:type="dxa"/>
            <w:shd w:val="clear" w:color="auto" w:fill="003366"/>
            <w:tcMar>
              <w:top w:w="100" w:type="dxa"/>
              <w:left w:w="130" w:type="dxa"/>
              <w:bottom w:w="100" w:type="dxa"/>
              <w:right w:w="130" w:type="dxa"/>
            </w:tcMar>
          </w:tcPr>
          <w:p w14:paraId="09DD34EF">
            <w:pPr>
              <w:spacing w:before="40" w:after="40"/>
              <w:jc w:val="center"/>
            </w:pPr>
            <w:r>
              <w:rPr>
                <w:rFonts w:ascii="Times New Roman" w:hAnsi="Times New Roman"/>
                <w:b/>
                <w:color w:val="FFFFFF"/>
                <w:sz w:val="19"/>
              </w:rPr>
              <w:t>Recall</w:t>
            </w:r>
          </w:p>
        </w:tc>
        <w:tc>
          <w:tcPr>
            <w:tcW w:w="1560" w:type="dxa"/>
            <w:shd w:val="clear" w:color="auto" w:fill="003366"/>
            <w:tcMar>
              <w:top w:w="100" w:type="dxa"/>
              <w:left w:w="130" w:type="dxa"/>
              <w:bottom w:w="100" w:type="dxa"/>
              <w:right w:w="130" w:type="dxa"/>
            </w:tcMar>
          </w:tcPr>
          <w:p w14:paraId="0E364019">
            <w:pPr>
              <w:spacing w:before="40" w:after="40"/>
              <w:jc w:val="center"/>
            </w:pPr>
            <w:r>
              <w:rPr>
                <w:rFonts w:ascii="Times New Roman" w:hAnsi="Times New Roman"/>
                <w:b/>
                <w:color w:val="FFFFFF"/>
                <w:sz w:val="19"/>
              </w:rPr>
              <w:t>F1 Score</w:t>
            </w:r>
          </w:p>
        </w:tc>
        <w:tc>
          <w:tcPr>
            <w:tcW w:w="1560" w:type="dxa"/>
            <w:shd w:val="clear" w:color="auto" w:fill="003366"/>
            <w:tcMar>
              <w:top w:w="100" w:type="dxa"/>
              <w:left w:w="130" w:type="dxa"/>
              <w:bottom w:w="100" w:type="dxa"/>
              <w:right w:w="130" w:type="dxa"/>
            </w:tcMar>
          </w:tcPr>
          <w:p w14:paraId="3A0CD186">
            <w:pPr>
              <w:spacing w:before="40" w:after="40"/>
              <w:jc w:val="center"/>
            </w:pPr>
            <w:r>
              <w:rPr>
                <w:rFonts w:ascii="Times New Roman" w:hAnsi="Times New Roman"/>
                <w:b/>
                <w:color w:val="FFFFFF"/>
                <w:sz w:val="19"/>
              </w:rPr>
              <w:t>Mean CER</w:t>
            </w:r>
          </w:p>
        </w:tc>
        <w:tc>
          <w:tcPr>
            <w:tcW w:w="1560" w:type="dxa"/>
            <w:shd w:val="clear" w:color="auto" w:fill="003366"/>
            <w:tcMar>
              <w:top w:w="100" w:type="dxa"/>
              <w:left w:w="130" w:type="dxa"/>
              <w:bottom w:w="100" w:type="dxa"/>
              <w:right w:w="130" w:type="dxa"/>
            </w:tcMar>
          </w:tcPr>
          <w:p w14:paraId="07CC0946">
            <w:pPr>
              <w:spacing w:before="40" w:after="40"/>
              <w:jc w:val="center"/>
            </w:pPr>
            <w:r>
              <w:rPr>
                <w:rFonts w:ascii="Times New Roman" w:hAnsi="Times New Roman"/>
                <w:b/>
                <w:color w:val="FFFFFF"/>
                <w:sz w:val="19"/>
              </w:rPr>
              <w:t>Mean WER</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rPr>
                <w:rFonts w:ascii="Times New Roman" w:hAnsi="Times New Roman"/>
                <w:b/>
                <w:sz w:val="18"/>
              </w:rPr>
              <w:t>Pass A: Without Normalization</w:t>
            </w:r>
          </w:p>
        </w:tc>
        <w:tc>
          <w:tcPr>
            <w:tcW w:w="1560" w:type="dxa"/>
            <w:shd w:val="clear" w:color="auto" w:fill="FFFFFF"/>
            <w:tcMar>
              <w:top w:w="100" w:type="dxa"/>
              <w:left w:w="130" w:type="dxa"/>
              <w:bottom w:w="100" w:type="dxa"/>
              <w:right w:w="130" w:type="dxa"/>
            </w:tcMar>
          </w:tcPr>
          <w:p w14:paraId="747A4854">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1F1F416A">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79F7D005">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2A0DDE50">
            <w:pPr>
              <w:spacing w:before="40" w:after="40"/>
              <w:jc w:val="center"/>
            </w:pPr>
            <w:r>
              <w:rPr>
                <w:rFonts w:ascii="Times New Roman" w:hAnsi="Times New Roman"/>
                <w:sz w:val="18"/>
              </w:rPr>
              <w:t>38.13%</w:t>
            </w:r>
          </w:p>
        </w:tc>
        <w:tc>
          <w:tcPr>
            <w:tcW w:w="1560" w:type="dxa"/>
            <w:shd w:val="clear" w:color="auto" w:fill="FFFFFF"/>
            <w:tcMar>
              <w:top w:w="100" w:type="dxa"/>
              <w:left w:w="130" w:type="dxa"/>
              <w:bottom w:w="100" w:type="dxa"/>
              <w:right w:w="130" w:type="dxa"/>
            </w:tcMar>
          </w:tcPr>
          <w:p w14:paraId="00CAB29A">
            <w:pPr>
              <w:spacing w:before="40" w:after="40"/>
              <w:jc w:val="center"/>
            </w:pPr>
            <w:r>
              <w:rPr>
                <w:rFonts w:ascii="Times New Roman" w:hAnsi="Times New Roman"/>
                <w:sz w:val="18"/>
              </w:rPr>
              <w:t>285.31%</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rPr>
                <w:rFonts w:ascii="Times New Roman" w:hAnsi="Times New Roman"/>
                <w:b/>
                <w:sz w:val="18"/>
              </w:rPr>
              <w:t>Pass B: With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4F51C18F">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C52DCBC">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2385BA7">
            <w:pPr>
              <w:spacing w:before="40" w:after="40"/>
              <w:jc w:val="center"/>
            </w:pPr>
            <w:r>
              <w:rPr>
                <w:rFonts w:ascii="Times New Roman" w:hAnsi="Times New Roman"/>
                <w:b/>
                <w:sz w:val="18"/>
              </w:rPr>
              <w:t>3.65%</w:t>
            </w:r>
          </w:p>
        </w:tc>
        <w:tc>
          <w:tcPr>
            <w:tcW w:w="1560" w:type="dxa"/>
            <w:shd w:val="clear" w:color="auto" w:fill="F8F9FA"/>
            <w:tcMar>
              <w:top w:w="100" w:type="dxa"/>
              <w:left w:w="130" w:type="dxa"/>
              <w:bottom w:w="100" w:type="dxa"/>
              <w:right w:w="130" w:type="dxa"/>
            </w:tcMar>
          </w:tcPr>
          <w:p w14:paraId="1835AC34">
            <w:pPr>
              <w:spacing w:before="40" w:after="40"/>
              <w:jc w:val="center"/>
            </w:pPr>
            <w:r>
              <w:rPr>
                <w:rFonts w:ascii="Times New Roman" w:hAnsi="Times New Roman"/>
                <w:b/>
                <w:sz w:val="18"/>
              </w:rPr>
              <w:t>27.01%</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rPr>
                <w:rFonts w:ascii="Times New Roman" w:hAnsi="Times New Roman"/>
                <w:b/>
                <w:sz w:val="18"/>
              </w:rPr>
              <w:t>Net Absolute Improvement</w:t>
            </w:r>
          </w:p>
        </w:tc>
        <w:tc>
          <w:tcPr>
            <w:tcW w:w="1560" w:type="dxa"/>
            <w:shd w:val="clear" w:color="auto" w:fill="FFFFFF"/>
            <w:tcMar>
              <w:top w:w="100" w:type="dxa"/>
              <w:left w:w="130" w:type="dxa"/>
              <w:bottom w:w="100" w:type="dxa"/>
              <w:right w:w="130" w:type="dxa"/>
            </w:tcMar>
          </w:tcPr>
          <w:p w14:paraId="79B68280">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1C43BF7A">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40D0B3CF">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6552A3AE">
            <w:pPr>
              <w:spacing w:before="40" w:after="40"/>
              <w:jc w:val="center"/>
            </w:pPr>
            <w:r>
              <w:rPr>
                <w:rFonts w:ascii="Times New Roman" w:hAnsi="Times New Roman"/>
                <w:b/>
                <w:sz w:val="18"/>
              </w:rPr>
              <w:t>-34.48%</w:t>
            </w:r>
          </w:p>
        </w:tc>
        <w:tc>
          <w:tcPr>
            <w:tcW w:w="1560" w:type="dxa"/>
            <w:shd w:val="clear" w:color="auto" w:fill="FFFFFF"/>
            <w:tcMar>
              <w:top w:w="100" w:type="dxa"/>
              <w:left w:w="130" w:type="dxa"/>
              <w:bottom w:w="100" w:type="dxa"/>
              <w:right w:w="130" w:type="dxa"/>
            </w:tcMar>
          </w:tcPr>
          <w:p w14:paraId="78569E93">
            <w:pPr>
              <w:spacing w:before="40" w:after="40"/>
              <w:jc w:val="center"/>
            </w:pPr>
            <w:r>
              <w:rPr>
                <w:rFonts w:ascii="Times New Roman" w:hAnsi="Times New Roman"/>
                <w:b/>
                <w:sz w:val="18"/>
              </w:rPr>
              <w:t>-258.30%</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5D041F5A">
      <w:pPr>
        <w:spacing w:after="120"/>
      </w:pPr>
    </w:p>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14:paraId="6BAA8573">
      <w:pPr>
        <w:keepNext/>
        <w:spacing w:before="80" w:after="160"/>
        <w:jc w:val="center"/>
      </w:pPr>
      <w:r>
        <w:rPr>
          <w:rFonts w:ascii="Times New Roman" w:hAnsi="Times New Roman"/>
          <w:b/>
          <w:color w:val="003366"/>
          <w:sz w:val="19"/>
        </w:rPr>
        <w:t>Table 4: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4949581">
      <w:pPr>
        <w:spacing w:after="120"/>
      </w:pPr>
    </w:p>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wp:inline distT="0" distB="0" distL="0" distR="0">
            <wp:extent cx="5486400" cy="3657600"/>
            <wp:effectExtent l="0" t="0" r="0" b="0"/>
            <wp:docPr id="4" name="Picture 4"/>
            <wp:cNvGraphicFramePr>
              <a:graphicFrameLocks noChangeAspect="1"/>
            </wp:cNvGraphicFramePr>
            <a:graphic>
              <a:graphicData uri="http://schemas.openxmlformats.org/drawingml/2006/picture">
                <pic:pic>
                  <pic:nvPicPr>
                    <pic:cNvPr id="4" name="Picture 4"/>
                    <pic:cNvPicPr>
                      <a:picLocks noChangeAspect="1"/>
                    </pic:cNvPicPr>
                  </pic:nvPicPr>
                  <pic:blipFill>
                    <a:blip r:embed="rId13"/>
                    <a:stretch>
                      <a:fillRect/>
                    </a:stretch>
                  </pic:blipFill>
                  <pic:spPr>
                    <a:xfrm>
                      <a:off x="0" y="0"/>
                      <a:ext cx="5486400" cy="3657600"/>
                    </a:xfrm>
                    <a:prstGeom prst="rect">
                      <a:avLst/>
                    </a:prstGeom>
                  </pic:spPr>
                </pic:pic>
              </a:graphicData>
            </a:graphic>
          </wp: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wp:inline distT="0" distB="0" distL="0" distR="0">
            <wp:extent cx="5486400" cy="4389120"/>
            <wp:effectExtent l="0" t="0" r="0" b="11430"/>
            <wp:docPr id="5" name="Picture 5"/>
            <wp:cNvGraphicFramePr>
              <a:graphicFrameLocks noChangeAspect="1"/>
            </wp:cNvGraphicFramePr>
            <a:graphic>
              <a:graphicData uri="http://schemas.openxmlformats.org/drawingml/2006/picture">
                <pic:pic>
                  <pic:nvPicPr>
                    <pic:cNvPr id="5" name="Picture 5"/>
                    <pic:cNvPicPr>
                      <a:picLocks noChangeAspect="1"/>
                    </pic:cNvPicPr>
                  </pic:nvPicPr>
                  <pic:blipFill>
                    <a:blip r:embed="rId14"/>
                    <a:stretch>
                      <a:fillRect/>
                    </a:stretch>
                  </pic:blipFill>
                  <pic:spPr>
                    <a:xfrm>
                      <a:off x="0" y="0"/>
                      <a:ext cx="5486400" cy="4389120"/>
                    </a:xfrm>
                    <a:prstGeom prst="rect">
                      <a:avLst/>
                    </a:prstGeom>
                  </pic:spPr>
                </pic:pic>
              </a:graphicData>
            </a:graphic>
          </wp: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wp:inline distT="0" distB="0" distL="0" distR="0">
            <wp:extent cx="5486400" cy="3375660"/>
            <wp:effectExtent l="0" t="0" r="0" b="15240"/>
            <wp:docPr id="6" name="Picture 6"/>
            <wp:cNvGraphicFramePr>
              <a:graphicFrameLocks noChangeAspect="1"/>
            </wp:cNvGraphicFramePr>
            <a:graphic>
              <a:graphicData uri="http://schemas.openxmlformats.org/drawingml/2006/picture">
                <pic:pic>
                  <pic:nvPicPr>
                    <pic:cNvPr id="6" name="Picture 6"/>
                    <pic:cNvPicPr>
                      <a:picLocks noChangeAspect="1"/>
                    </pic:cNvPicPr>
                  </pic:nvPicPr>
                  <pic:blipFill>
                    <a:blip r:embed="rId15"/>
                    <a:stretch>
                      <a:fillRect/>
                    </a:stretch>
                  </pic:blipFill>
                  <pic:spPr>
                    <a:xfrm>
                      <a:off x="0" y="0"/>
                      <a:ext cx="5486400" cy="3376246"/>
                    </a:xfrm>
                    <a:prstGeom prst="rect">
                      <a:avLst/>
                    </a:prstGeom>
                  </pic:spPr>
                </pic:pic>
              </a:graphicData>
            </a:graphic>
          </wp: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wp:inline distT="0" distB="0" distL="0" distR="0">
            <wp:extent cx="5486400" cy="3086100"/>
            <wp:effectExtent l="0" t="0" r="0" b="0"/>
            <wp:docPr id="7" name="Picture 7"/>
            <wp:cNvGraphicFramePr>
              <a:graphicFrameLocks noChangeAspect="1"/>
            </wp:cNvGraphicFramePr>
            <a:graphic>
              <a:graphicData uri="http://schemas.openxmlformats.org/drawingml/2006/picture">
                <pic:pic>
                  <pic:nvPicPr>
                    <pic:cNvPr id="7" name="Picture 7"/>
                    <pic:cNvPicPr>
                      <a:picLocks noChangeAspect="1"/>
                    </pic:cNvPicPr>
                  </pic:nvPicPr>
                  <pic:blipFill>
                    <a:blip r:embed="rId16"/>
                    <a:stretch>
                      <a:fillRect/>
                    </a:stretch>
                  </pic:blipFill>
                  <pic:spPr>
                    <a:xfrm>
                      <a:off x="0" y="0"/>
                      <a:ext cx="5486400" cy="3086100"/>
                    </a:xfrm>
                    <a:prstGeom prst="rect">
                      <a:avLst/>
                    </a:prstGeom>
                  </pic:spPr>
                </pic:pic>
              </a:graphicData>
            </a:graphic>
          </wp: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rPr>
          <w:rFonts w:ascii="Times New Roman" w:hAnsi="Times New Roman"/>
          <w:sz w:val="20"/>
        </w:rPr>
        <w:t xml:space="preserve">Routing field extractions through CanonicalNormalizer (Pass B) recovers true extraction performance, boosting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ns3:oMath>
        <ns3:r>
          <ns3:rPr/>
          <w:rPr>
            <w:rFonts w:ascii="Cambria Math" w:hAnsi="Cambria Math"/>
          </w:rPr>
          <ns3:t>N=5,760</ns3:t>
        </ns3:r>
      </ns3:oMath>
      <w:r>
        <w:rPr>
          <w:rFonts w:ascii="Times New Roman" w:hAnsi="Times New Roman"/>
          <w:sz w:val="20"/>
        </w:rPr>
        <w:t>).</w:t>
      </w:r>
    </w:p>
    <w:p w14:paraId="5DAB0695">
      <w:pPr>
        <w:spacing w:before="40" w:after="80" w:line="276" w:lineRule="auto"/>
      </w:pPr>
      <w:r>
        <w:rPr>
          <w:rFonts w:ascii="Times New Roman" w:hAnsi="Times New Roman"/>
          <w:sz w:val="20"/>
        </w:rPr>
        <w:t>Table 5 summarizes statistical hypothesis testing results across the 5,760 paired field observations.</w:t>
      </w:r>
    </w:p>
    <w:p w14:paraId="0E5E9854">
      <w:pPr>
        <w:keepNext/>
        <w:spacing w:before="80" w:after="160"/>
        <w:jc w:val="center"/>
      </w:pPr>
      <w:r>
        <w:rPr>
          <w:rFonts w:ascii="Times New Roman" w:hAnsi="Times New Roman"/>
          <w:b/>
          <w:color w:val="003366"/>
          <w:sz w:val="19"/>
        </w:rPr>
        <w:t>Table 5: Statistical Hypothesis Testing Summary (</w:t>
      </w:r>
      <ns3:oMath>
        <ns3:r>
          <ns3:rPr/>
          <w:rPr>
            <w:rFonts w:ascii="Cambria Math" w:hAnsi="Cambria Math"/>
          </w:rPr>
          <ns3:t>α=0.001</ns3:t>
        </ns3:r>
      </ns3:oMath>
      <w:r>
        <w:rPr>
          <w:rFonts w:ascii="Times New Roman" w:hAnsi="Times New Roman"/>
          <w:b/>
          <w:color w:val="003366"/>
          <w:sz w:val="19"/>
        </w:rPr>
        <w: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51"/>
        <w:gridCol w:w="1231"/>
        <w:gridCol w:w="2015"/>
        <w:gridCol w:w="1410"/>
        <w:gridCol w:w="1191"/>
        <w:gridCol w:w="1215"/>
        <w:gridCol w:w="1307"/>
      </w:tblGrid>
      <w:tr w14:paraId="16DFBE7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003366"/>
            <w:tcMar>
              <w:top w:w="100" w:type="dxa"/>
              <w:left w:w="130" w:type="dxa"/>
              <w:bottom w:w="100" w:type="dxa"/>
              <w:right w:w="130" w:type="dxa"/>
            </w:tcMar>
          </w:tcPr>
          <w:p w14:paraId="18CB6E77">
            <w:pPr>
              <w:spacing w:before="40" w:after="40"/>
              <w:jc w:val="center"/>
            </w:pPr>
            <w:r>
              <w:rPr>
                <w:rFonts w:ascii="Times New Roman" w:hAnsi="Times New Roman"/>
                <w:b/>
                <w:color w:val="FFFFFF"/>
                <w:sz w:val="19"/>
              </w:rPr>
              <w:t>Statistical Test</w:t>
            </w:r>
          </w:p>
        </w:tc>
        <w:tc>
          <w:tcPr>
            <w:tcW w:w="1337" w:type="dxa"/>
            <w:shd w:val="clear" w:color="auto" w:fill="003366"/>
            <w:tcMar>
              <w:top w:w="100" w:type="dxa"/>
              <w:left w:w="130" w:type="dxa"/>
              <w:bottom w:w="100" w:type="dxa"/>
              <w:right w:w="130" w:type="dxa"/>
            </w:tcMar>
          </w:tcPr>
          <w:p w14:paraId="6140756C">
            <w:pPr>
              <w:spacing w:before="40" w:after="40"/>
              <w:jc w:val="center"/>
            </w:pPr>
            <w:r>
              <w:rPr>
                <w:rFonts w:ascii="Times New Roman" w:hAnsi="Times New Roman"/>
                <w:b/>
                <w:color w:val="FFFFFF"/>
                <w:sz w:val="19"/>
              </w:rPr>
              <w:t>Tested Metric</w:t>
            </w:r>
          </w:p>
        </w:tc>
        <w:tc>
          <w:tcPr>
            <w:tcW w:w="1337" w:type="dxa"/>
            <w:shd w:val="clear" w:color="auto" w:fill="003366"/>
            <w:tcMar>
              <w:top w:w="100" w:type="dxa"/>
              <w:left w:w="130" w:type="dxa"/>
              <w:bottom w:w="100" w:type="dxa"/>
              <w:right w:w="130" w:type="dxa"/>
            </w:tcMar>
          </w:tcPr>
          <w:p w14:paraId="764AAC8C">
            <w:pPr>
              <w:spacing w:before="40" w:after="40"/>
              <w:jc w:val="center"/>
            </w:pPr>
            <w:r>
              <w:rPr>
                <w:rFonts w:ascii="Times New Roman" w:hAnsi="Times New Roman"/>
                <w:b/>
                <w:color w:val="FFFFFF"/>
                <w:sz w:val="19"/>
              </w:rPr>
              <w:t>Null Hypothesis (</w:t>
            </w:r>
            <ns3:oMath>
              <ns3:sSub>
                <ns3:sSubPr/>
                <ns3:e>
                  <ns3:r>
                    <ns3:rPr/>
                    <w:rPr>
                      <w:rFonts w:ascii="Cambria Math" w:hAnsi="Cambria Math"/>
                    </w:rPr>
                    <ns3:t>H</ns3:t>
                  </ns3:r>
                </ns3:e>
                <ns3:sub>
                  <ns3:r>
                    <ns3:rPr/>
                    <w:rPr>
                      <w:rFonts w:ascii="Cambria Math" w:hAnsi="Cambria Math"/>
                    </w:rPr>
                    <ns3:t>0</ns3:t>
                  </ns3:r>
                </ns3:sub>
              </ns3:sSub>
            </ns3:oMath>
            <w:r>
              <w:rPr>
                <w:rFonts w:ascii="Times New Roman" w:hAnsi="Times New Roman"/>
                <w:b/>
                <w:color w:val="FFFFFF"/>
                <w:sz w:val="19"/>
              </w:rPr>
              <w:t>)</w:t>
            </w:r>
          </w:p>
        </w:tc>
        <w:tc>
          <w:tcPr>
            <w:tcW w:w="1337" w:type="dxa"/>
            <w:shd w:val="clear" w:color="auto" w:fill="003366"/>
            <w:tcMar>
              <w:top w:w="100" w:type="dxa"/>
              <w:left w:w="130" w:type="dxa"/>
              <w:bottom w:w="100" w:type="dxa"/>
              <w:right w:w="130" w:type="dxa"/>
            </w:tcMar>
          </w:tcPr>
          <w:p w14:paraId="7D6B92D6">
            <w:pPr>
              <w:spacing w:before="40" w:after="40"/>
              <w:jc w:val="center"/>
            </w:pPr>
            <w:r>
              <w:rPr>
                <w:rFonts w:ascii="Times New Roman" w:hAnsi="Times New Roman"/>
                <w:b/>
                <w:color w:val="FFFFFF"/>
                <w:sz w:val="19"/>
              </w:rPr>
              <w:t>Test Statistic</w:t>
            </w:r>
          </w:p>
        </w:tc>
        <w:tc>
          <w:tcPr>
            <w:tcW w:w="1337" w:type="dxa"/>
            <w:shd w:val="clear" w:color="auto" w:fill="003366"/>
            <w:tcMar>
              <w:top w:w="100" w:type="dxa"/>
              <w:left w:w="130" w:type="dxa"/>
              <w:bottom w:w="100" w:type="dxa"/>
              <w:right w:w="130" w:type="dxa"/>
            </w:tcMar>
          </w:tcPr>
          <w:p w14:paraId="030B7A06">
            <w:pPr>
              <w:spacing w:before="40" w:after="40"/>
              <w:jc w:val="center"/>
            </w:pPr>
            <w:r>
              <w:rPr>
                <w:rFonts w:ascii="Times New Roman" w:hAnsi="Times New Roman"/>
                <w:b/>
                <w:color w:val="FFFFFF"/>
                <w:sz w:val="19"/>
              </w:rPr>
              <w:t xml:space="preserve">Exact </w:t>
            </w:r>
            <ns3:oMath>
              <ns3:r>
                <ns3:rPr/>
                <w:rPr>
                  <w:rFonts w:ascii="Cambria Math" w:hAnsi="Cambria Math"/>
                </w:rPr>
                <ns3:t>p</ns3:t>
              </ns3:r>
            </ns3:oMath>
            <w:r>
              <w:rPr>
                <w:rFonts w:ascii="Times New Roman" w:hAnsi="Times New Roman"/>
                <w:b/>
                <w:color w:val="FFFFFF"/>
                <w:sz w:val="19"/>
              </w:rPr>
              <w:t>-value</w:t>
            </w:r>
          </w:p>
        </w:tc>
        <w:tc>
          <w:tcPr>
            <w:tcW w:w="1337" w:type="dxa"/>
            <w:shd w:val="clear" w:color="auto" w:fill="003366"/>
            <w:tcMar>
              <w:top w:w="100" w:type="dxa"/>
              <w:left w:w="130" w:type="dxa"/>
              <w:bottom w:w="100" w:type="dxa"/>
              <w:right w:w="130" w:type="dxa"/>
            </w:tcMar>
          </w:tcPr>
          <w:p w14:paraId="4C6E366B">
            <w:pPr>
              <w:spacing w:before="40" w:after="40"/>
              <w:jc w:val="center"/>
            </w:pPr>
            <w:r>
              <w:rPr>
                <w:rFonts w:ascii="Times New Roman" w:hAnsi="Times New Roman"/>
                <w:b/>
                <w:color w:val="FFFFFF"/>
                <w:sz w:val="19"/>
              </w:rPr>
              <w:t>Decision</w:t>
            </w:r>
          </w:p>
        </w:tc>
        <w:tc>
          <w:tcPr>
            <w:tcW w:w="1337" w:type="dxa"/>
            <w:shd w:val="clear" w:color="auto" w:fill="003366"/>
            <w:tcMar>
              <w:top w:w="100" w:type="dxa"/>
              <w:left w:w="130" w:type="dxa"/>
              <w:bottom w:w="100" w:type="dxa"/>
              <w:right w:w="130" w:type="dxa"/>
            </w:tcMar>
          </w:tcPr>
          <w:p w14:paraId="6FB2FEBF">
            <w:pPr>
              <w:spacing w:before="40" w:after="40"/>
              <w:jc w:val="center"/>
            </w:pPr>
            <w:r>
              <w:rPr>
                <w:rFonts w:ascii="Times New Roman" w:hAnsi="Times New Roman"/>
                <w:b/>
                <w:color w:val="FFFFFF"/>
                <w:sz w:val="19"/>
              </w:rPr>
              <w:t>Significance Level</w:t>
            </w:r>
          </w:p>
        </w:tc>
      </w:tr>
      <w:tr w14:paraId="109DED9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05AF4432">
            <w:pPr>
              <w:spacing w:before="40" w:after="40"/>
              <w:jc w:val="left"/>
            </w:pPr>
            <w:r>
              <w:rPr>
                <w:rFonts w:ascii="Times New Roman" w:hAnsi="Times New Roman"/>
                <w:b/>
                <w:sz w:val="18"/>
              </w:rPr>
              <w:t>McNemar Test</w:t>
            </w:r>
            <w:r>
              <w:rPr>
                <w:rFonts w:ascii="Times New Roman" w:hAnsi="Times New Roman"/>
                <w:sz w:val="18"/>
              </w:rPr>
              <w:t xml:space="preserve"> [22]</w:t>
            </w:r>
          </w:p>
        </w:tc>
        <w:tc>
          <w:tcPr>
            <w:tcW w:w="1337" w:type="dxa"/>
            <w:shd w:val="clear" w:color="auto" w:fill="FFFFFF"/>
            <w:tcMar>
              <w:top w:w="100" w:type="dxa"/>
              <w:left w:w="130" w:type="dxa"/>
              <w:bottom w:w="100" w:type="dxa"/>
              <w:right w:w="130" w:type="dxa"/>
            </w:tcMar>
          </w:tcPr>
          <w:p w14:paraId="74644C47">
            <w:pPr>
              <w:spacing w:before="40" w:after="40"/>
              <w:jc w:val="center"/>
            </w:pPr>
            <w:r>
              <w:rPr>
                <w:rFonts w:ascii="Times New Roman" w:hAnsi="Times New Roman"/>
                <w:sz w:val="18"/>
              </w:rPr>
              <w:t>Binary Field Match Rate</w:t>
            </w:r>
          </w:p>
        </w:tc>
        <w:tc>
          <w:tcPr>
            <w:tcW w:w="1337" w:type="dxa"/>
            <w:shd w:val="clear" w:color="auto" w:fill="FFFFFF"/>
            <w:tcMar>
              <w:top w:w="100" w:type="dxa"/>
              <w:left w:w="130" w:type="dxa"/>
              <w:bottom w:w="100" w:type="dxa"/>
              <w:right w:w="130" w:type="dxa"/>
            </w:tcMar>
          </w:tcPr>
          <w:p w14:paraId="08916090">
            <w:pPr>
              <w:spacing w:before="40" w:after="40"/>
              <w:jc w:val="center"/>
            </w:pPr>
            <ns3:oMathPara>
              <ns3:oMath>
                <ns3:sSub>
                  <ns3:sSubPr/>
                  <ns3:e>
                    <ns3:r>
                      <ns3:rPr/>
                      <w:rPr>
                        <w:rFonts w:ascii="Times New Roman" w:hAnsi="Times New Roman"/>
                      </w:rPr>
                      <ns3:t>Acc</ns3:t>
                    </ns3:r>
                  </ns3:e>
                  <ns3:sub>
                    <ns3:r>
                      <ns3:rPr/>
                      <w:rPr>
                        <w:rFonts w:ascii="Times New Roman" w:hAnsi="Times New Roman"/>
                      </w:rPr>
                      <ns3:t>Pass A</ns3:t>
                    </ns3:r>
                  </ns3:sub>
                </ns3:sSub>
                <ns3:r>
                  <ns3:rPr/>
                  <w:rPr>
                    <w:rFonts w:ascii="Cambria Math" w:hAnsi="Cambria Math"/>
                  </w:rPr>
                  <ns3:t>=</ns3:t>
                </ns3:r>
                <ns3:sSub>
                  <ns3:sSubPr/>
                  <ns3:e>
                    <ns3:r>
                      <ns3:rPr/>
                      <w:rPr>
                        <w:rFonts w:ascii="Times New Roman" w:hAnsi="Times New Roman"/>
                      </w:rPr>
                      <ns3:t>Acc</ns3:t>
                    </ns3:r>
                  </ns3:e>
                  <ns3:sub>
                    <ns3:r>
                      <ns3:rPr/>
                      <w:rPr>
                        <w:rFonts w:ascii="Times New Roman" w:hAnsi="Times New Roman"/>
                      </w:rPr>
                      <ns3:t>Pass B</ns3:t>
                    </ns3:r>
                  </ns3:sub>
                </ns3:sSub>
              </ns3:oMath>
            </ns3:oMathPara>
          </w:p>
        </w:tc>
        <w:tc>
          <w:tcPr>
            <w:tcW w:w="1337" w:type="dxa"/>
            <w:shd w:val="clear" w:color="auto" w:fill="FFFFFF"/>
            <w:tcMar>
              <w:top w:w="100" w:type="dxa"/>
              <w:left w:w="130" w:type="dxa"/>
              <w:bottom w:w="100" w:type="dxa"/>
              <w:right w:w="130" w:type="dxa"/>
            </w:tcMar>
          </w:tcPr>
          <w:p w14:paraId="0D99A008">
            <w:pPr>
              <w:spacing w:before="40" w:after="40"/>
              <w:jc w:val="center"/>
            </w:pPr>
            <ns3:oMathPara>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Para>
          </w:p>
        </w:tc>
        <w:tc>
          <w:tcPr>
            <w:tcW w:w="1337" w:type="dxa"/>
            <w:shd w:val="clear" w:color="auto" w:fill="FFFFFF"/>
            <w:tcMar>
              <w:top w:w="100" w:type="dxa"/>
              <w:left w:w="130" w:type="dxa"/>
              <w:bottom w:w="100" w:type="dxa"/>
              <w:right w:w="130" w:type="dxa"/>
            </w:tcMar>
          </w:tcPr>
          <w:p w14:paraId="41BD005C">
            <w:pPr>
              <w:spacing w:before="40" w:after="40"/>
              <w:jc w:val="center"/>
            </w:pPr>
            <ns3:oMathPara>
              <ns3:oMath>
                <ns3:r>
                  <ns3:rPr/>
                  <w:rPr>
                    <w:rFonts w:ascii="Cambria Math" w:hAnsi="Cambria Math"/>
                  </w:rPr>
                  <ns3:t>&lt;1.0×</ns3:t>
                </ns3:r>
                <ns3:sSup>
                  <ns3:sSupPr/>
                  <ns3:e>
                    <ns3:r>
                      <ns3:rPr/>
                      <w:rPr>
                        <w:rFonts w:ascii="Cambria Math" w:hAnsi="Cambria Math"/>
                      </w:rPr>
                      <ns3:t>10</ns3:t>
                    </ns3:r>
                  </ns3:e>
                  <ns3:sup>
                    <ns3:r>
                      <ns3:rPr/>
                      <w:rPr>
                        <w:rFonts w:ascii="Cambria Math" w:hAnsi="Cambria Math"/>
                      </w:rPr>
                      <ns3:t>−15</ns3:t>
                    </ns3:r>
                  </ns3:sup>
                </ns3:sSup>
              </ns3:oMath>
            </ns3:oMathPara>
          </w:p>
        </w:tc>
        <w:tc>
          <w:tcPr>
            <w:tcW w:w="1337" w:type="dxa"/>
            <w:shd w:val="clear" w:color="auto" w:fill="FFFFFF"/>
            <w:tcMar>
              <w:top w:w="100" w:type="dxa"/>
              <w:left w:w="130" w:type="dxa"/>
              <w:bottom w:w="100" w:type="dxa"/>
              <w:right w:w="130" w:type="dxa"/>
            </w:tcMar>
          </w:tcPr>
          <w:p w14:paraId="100D1F57">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FFFFF"/>
            <w:tcMar>
              <w:top w:w="100" w:type="dxa"/>
              <w:left w:w="130" w:type="dxa"/>
              <w:bottom w:w="100" w:type="dxa"/>
              <w:right w:w="130" w:type="dxa"/>
            </w:tcMar>
          </w:tcPr>
          <w:p w14:paraId="78133BB7">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5A435A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607AE8AD">
            <w:pPr>
              <w:spacing w:before="40" w:after="40"/>
              <w:jc w:val="left"/>
            </w:pPr>
            <w:r>
              <w:rPr>
                <w:rFonts w:ascii="Times New Roman" w:hAnsi="Times New Roman"/>
                <w:b/>
                <w:sz w:val="18"/>
              </w:rPr>
              <w:t>Wilcoxon Signed-Rank</w:t>
            </w:r>
            <w:r>
              <w:rPr>
                <w:rFonts w:ascii="Times New Roman" w:hAnsi="Times New Roman"/>
                <w:sz w:val="18"/>
              </w:rPr>
              <w:t xml:space="preserve"> [23]</w:t>
            </w:r>
          </w:p>
        </w:tc>
        <w:tc>
          <w:tcPr>
            <w:tcW w:w="1337" w:type="dxa"/>
            <w:shd w:val="clear" w:color="auto" w:fill="F8F9FA"/>
            <w:tcMar>
              <w:top w:w="100" w:type="dxa"/>
              <w:left w:w="130" w:type="dxa"/>
              <w:bottom w:w="100" w:type="dxa"/>
              <w:right w:w="130" w:type="dxa"/>
            </w:tcMar>
          </w:tcPr>
          <w:p w14:paraId="0A682091">
            <w:pPr>
              <w:spacing w:before="40" w:after="40"/>
              <w:jc w:val="center"/>
            </w:pPr>
            <w:r>
              <w:rPr>
                <w:rFonts w:ascii="Times New Roman" w:hAnsi="Times New Roman"/>
                <w:sz w:val="18"/>
              </w:rPr>
              <w:t>Per-Sample F1 Score</w:t>
            </w:r>
          </w:p>
        </w:tc>
        <w:tc>
          <w:tcPr>
            <w:tcW w:w="1337" w:type="dxa"/>
            <w:shd w:val="clear" w:color="auto" w:fill="F8F9FA"/>
            <w:tcMar>
              <w:top w:w="100" w:type="dxa"/>
              <w:left w:w="130" w:type="dxa"/>
              <w:bottom w:w="100" w:type="dxa"/>
              <w:right w:w="130" w:type="dxa"/>
            </w:tcMar>
          </w:tcPr>
          <w:p w14:paraId="4EFA2065">
            <w:pPr>
              <w:spacing w:before="40" w:after="40"/>
              <w:jc w:val="center"/>
            </w:pPr>
            <ns3:oMathPara>
              <ns3:oMath>
                <ns3:r>
                  <ns3:rPr/>
                  <w:rPr>
                    <w:rFonts w:ascii="Times New Roman" w:hAnsi="Times New Roman"/>
                  </w:rPr>
                  <ns3:t>Median</ns3:t>
                </ns3:r>
                <ns3:r>
                  <ns3:rPr/>
                  <w:rPr>
                    <w:rFonts w:ascii="Cambria Math" w:hAnsi="Cambria Math"/>
                  </w:rPr>
                  <ns3:t>(Δ</ns3:t>
                </ns3:r>
                <ns3:r>
                  <ns3:rPr/>
                  <w:rPr>
                    <w:rFonts w:ascii="Times New Roman" w:hAnsi="Times New Roman"/>
                  </w:rPr>
                  <ns3:t>F1</ns3:t>
                </ns3:r>
                <ns3:r>
                  <ns3:rPr/>
                  <w:rPr>
                    <w:rFonts w:ascii="Cambria Math" w:hAnsi="Cambria Math"/>
                  </w:rPr>
                  <ns3:t>)=0</ns3:t>
                </ns3:r>
              </ns3:oMath>
            </ns3:oMathPara>
          </w:p>
        </w:tc>
        <w:tc>
          <w:tcPr>
            <w:tcW w:w="1337" w:type="dxa"/>
            <w:shd w:val="clear" w:color="auto" w:fill="F8F9FA"/>
            <w:tcMar>
              <w:top w:w="100" w:type="dxa"/>
              <w:left w:w="130" w:type="dxa"/>
              <w:bottom w:w="100" w:type="dxa"/>
              <w:right w:w="130" w:type="dxa"/>
            </w:tcMar>
          </w:tcPr>
          <w:p w14:paraId="163C01BF">
            <w:pPr>
              <w:spacing w:before="40" w:after="40"/>
              <w:jc w:val="center"/>
            </w:pPr>
            <ns3:oMathPara>
              <ns3:oMath>
                <ns3:r>
                  <ns3:rPr/>
                  <w:rPr>
                    <w:rFonts w:ascii="Cambria Math" w:hAnsi="Cambria Math"/>
                  </w:rPr>
                  <ns3:t>W=64980.0</ns3:t>
                </ns3:r>
              </ns3:oMath>
            </ns3:oMathPara>
          </w:p>
        </w:tc>
        <w:tc>
          <w:tcPr>
            <w:tcW w:w="1337" w:type="dxa"/>
            <w:shd w:val="clear" w:color="auto" w:fill="F8F9FA"/>
            <w:tcMar>
              <w:top w:w="100" w:type="dxa"/>
              <w:left w:w="130" w:type="dxa"/>
              <w:bottom w:w="100" w:type="dxa"/>
              <w:right w:w="130" w:type="dxa"/>
            </w:tcMar>
          </w:tcPr>
          <w:p w14:paraId="3DEF9D35">
            <w:pPr>
              <w:spacing w:before="40" w:after="40"/>
              <w:jc w:val="center"/>
            </w:pPr>
            <ns3:oMathPara>
              <ns3:oMath>
                <ns3:r>
                  <ns3:rPr/>
                  <w:rPr>
                    <w:rFonts w:ascii="Cambria Math" w:hAnsi="Cambria Math"/>
                  </w:rPr>
                  <ns3:t>1.55×</ns3:t>
                </ns3:r>
                <ns3:sSup>
                  <ns3:sSupPr/>
                  <ns3:e>
                    <ns3:r>
                      <ns3:rPr/>
                      <w:rPr>
                        <w:rFonts w:ascii="Cambria Math" w:hAnsi="Cambria Math"/>
                      </w:rPr>
                      <ns3:t>10</ns3:t>
                    </ns3:r>
                  </ns3:e>
                  <ns3:sup>
                    <ns3:r>
                      <ns3:rPr/>
                      <w:rPr>
                        <w:rFonts w:ascii="Cambria Math" w:hAnsi="Cambria Math"/>
                      </w:rPr>
                      <ns3:t>−67</ns3:t>
                    </ns3:r>
                  </ns3:sup>
                </ns3:sSup>
              </ns3:oMath>
            </ns3:oMathPara>
          </w:p>
        </w:tc>
        <w:tc>
          <w:tcPr>
            <w:tcW w:w="1337" w:type="dxa"/>
            <w:shd w:val="clear" w:color="auto" w:fill="F8F9FA"/>
            <w:tcMar>
              <w:top w:w="100" w:type="dxa"/>
              <w:left w:w="130" w:type="dxa"/>
              <w:bottom w:w="100" w:type="dxa"/>
              <w:right w:w="130" w:type="dxa"/>
            </w:tcMar>
          </w:tcPr>
          <w:p w14:paraId="7ABA1916">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8F9FA"/>
            <w:tcMar>
              <w:top w:w="100" w:type="dxa"/>
              <w:left w:w="130" w:type="dxa"/>
              <w:bottom w:w="100" w:type="dxa"/>
              <w:right w:w="130" w:type="dxa"/>
            </w:tcMar>
          </w:tcPr>
          <w:p w14:paraId="0C319A5E">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340E8B5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3D2B9C0F">
            <w:pPr>
              <w:spacing w:before="40" w:after="40"/>
              <w:jc w:val="left"/>
            </w:pPr>
            <w:r>
              <w:rPr>
                <w:rFonts w:ascii="Times New Roman" w:hAnsi="Times New Roman"/>
                <w:b/>
                <w:sz w:val="18"/>
              </w:rPr>
              <w:t>Wilcoxon Signed-Rank</w:t>
            </w:r>
            <w:r>
              <w:rPr>
                <w:rFonts w:ascii="Times New Roman" w:hAnsi="Times New Roman"/>
                <w:sz w:val="18"/>
              </w:rPr>
              <w:t xml:space="preserve"> [23]</w:t>
            </w:r>
          </w:p>
        </w:tc>
        <w:tc>
          <w:tcPr>
            <w:tcW w:w="1337" w:type="dxa"/>
            <w:shd w:val="clear" w:color="auto" w:fill="FFFFFF"/>
            <w:tcMar>
              <w:top w:w="100" w:type="dxa"/>
              <w:left w:w="130" w:type="dxa"/>
              <w:bottom w:w="100" w:type="dxa"/>
              <w:right w:w="130" w:type="dxa"/>
            </w:tcMar>
          </w:tcPr>
          <w:p w14:paraId="5EF5E9AC">
            <w:pPr>
              <w:spacing w:before="40" w:after="40"/>
              <w:jc w:val="center"/>
            </w:pPr>
            <w:r>
              <w:rPr>
                <w:rFonts w:ascii="Times New Roman" w:hAnsi="Times New Roman"/>
                <w:sz w:val="18"/>
              </w:rPr>
              <w:t>Per-Sample CER Reduction</w:t>
            </w:r>
          </w:p>
        </w:tc>
        <w:tc>
          <w:tcPr>
            <w:tcW w:w="1337" w:type="dxa"/>
            <w:shd w:val="clear" w:color="auto" w:fill="FFFFFF"/>
            <w:tcMar>
              <w:top w:w="100" w:type="dxa"/>
              <w:left w:w="130" w:type="dxa"/>
              <w:bottom w:w="100" w:type="dxa"/>
              <w:right w:w="130" w:type="dxa"/>
            </w:tcMar>
          </w:tcPr>
          <w:p w14:paraId="4919BAB7">
            <w:pPr>
              <w:spacing w:before="40" w:after="40"/>
              <w:jc w:val="center"/>
            </w:pPr>
            <ns3:oMathPara>
              <ns3:oMath>
                <ns3:r>
                  <ns3:rPr/>
                  <w:rPr>
                    <w:rFonts w:ascii="Times New Roman" w:hAnsi="Times New Roman"/>
                  </w:rPr>
                  <ns3:t>Median</ns3:t>
                </ns3:r>
                <ns3:r>
                  <ns3:rPr/>
                  <w:rPr>
                    <w:rFonts w:ascii="Cambria Math" w:hAnsi="Cambria Math"/>
                  </w:rPr>
                  <ns3:t>(Δ</ns3:t>
                </ns3:r>
                <ns3:r>
                  <ns3:rPr/>
                  <w:rPr>
                    <w:rFonts w:ascii="Times New Roman" w:hAnsi="Times New Roman"/>
                  </w:rPr>
                  <ns3:t>CER</ns3:t>
                </ns3:r>
                <ns3:r>
                  <ns3:rPr/>
                  <w:rPr>
                    <w:rFonts w:ascii="Cambria Math" w:hAnsi="Cambria Math"/>
                  </w:rPr>
                  <ns3:t>)=0</ns3:t>
                </ns3:r>
              </ns3:oMath>
            </ns3:oMathPara>
          </w:p>
        </w:tc>
        <w:tc>
          <w:tcPr>
            <w:tcW w:w="1337" w:type="dxa"/>
            <w:shd w:val="clear" w:color="auto" w:fill="FFFFFF"/>
            <w:tcMar>
              <w:top w:w="100" w:type="dxa"/>
              <w:left w:w="130" w:type="dxa"/>
              <w:bottom w:w="100" w:type="dxa"/>
              <w:right w:w="130" w:type="dxa"/>
            </w:tcMar>
          </w:tcPr>
          <w:p w14:paraId="58A1A845">
            <w:pPr>
              <w:spacing w:before="40" w:after="40"/>
              <w:jc w:val="center"/>
            </w:pPr>
            <ns3:oMathPara>
              <ns3:oMath>
                <ns3:r>
                  <ns3:rPr/>
                  <w:rPr>
                    <w:rFonts w:ascii="Cambria Math" w:hAnsi="Cambria Math"/>
                  </w:rPr>
                  <ns3:t>W=64980.0</ns3:t>
                </ns3:r>
              </ns3:oMath>
            </ns3:oMathPara>
          </w:p>
        </w:tc>
        <w:tc>
          <w:tcPr>
            <w:tcW w:w="1337" w:type="dxa"/>
            <w:shd w:val="clear" w:color="auto" w:fill="FFFFFF"/>
            <w:tcMar>
              <w:top w:w="100" w:type="dxa"/>
              <w:left w:w="130" w:type="dxa"/>
              <w:bottom w:w="100" w:type="dxa"/>
              <w:right w:w="130" w:type="dxa"/>
            </w:tcMar>
          </w:tcPr>
          <w:p w14:paraId="6A32979F">
            <w:pPr>
              <w:spacing w:before="40" w:after="40"/>
              <w:jc w:val="center"/>
            </w:pPr>
            <ns3:oMathPara>
              <ns3:oMath>
                <ns3:r>
                  <ns3:rPr/>
                  <w:rPr>
                    <w:rFonts w:ascii="Cambria Math" w:hAnsi="Cambria Math"/>
                  </w:rPr>
                  <ns3:t>4.68×</ns3:t>
                </ns3:r>
                <ns3:sSup>
                  <ns3:sSupPr/>
                  <ns3:e>
                    <ns3:r>
                      <ns3:rPr/>
                      <w:rPr>
                        <w:rFonts w:ascii="Cambria Math" w:hAnsi="Cambria Math"/>
                      </w:rPr>
                      <ns3:t>10</ns3:t>
                    </ns3:r>
                  </ns3:e>
                  <ns3:sup>
                    <ns3:r>
                      <ns3:rPr/>
                      <w:rPr>
                        <w:rFonts w:ascii="Cambria Math" w:hAnsi="Cambria Math"/>
                      </w:rPr>
                      <ns3:t>−61</ns3:t>
                    </ns3:r>
                  </ns3:sup>
                </ns3:sSup>
              </ns3:oMath>
            </ns3:oMathPara>
          </w:p>
        </w:tc>
        <w:tc>
          <w:tcPr>
            <w:tcW w:w="1337" w:type="dxa"/>
            <w:shd w:val="clear" w:color="auto" w:fill="FFFFFF"/>
            <w:tcMar>
              <w:top w:w="100" w:type="dxa"/>
              <w:left w:w="130" w:type="dxa"/>
              <w:bottom w:w="100" w:type="dxa"/>
              <w:right w:w="130" w:type="dxa"/>
            </w:tcMar>
          </w:tcPr>
          <w:p w14:paraId="777CBEC9">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FFFFF"/>
            <w:tcMar>
              <w:top w:w="100" w:type="dxa"/>
              <w:left w:w="130" w:type="dxa"/>
              <w:bottom w:w="100" w:type="dxa"/>
              <w:right w:w="130" w:type="dxa"/>
            </w:tcMar>
          </w:tcPr>
          <w:p w14:paraId="1CDFDD94">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68ADB05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08E43F61">
            <w:pPr>
              <w:spacing w:before="40" w:after="40"/>
              <w:jc w:val="left"/>
            </w:pPr>
            <w:r>
              <w:rPr>
                <w:rFonts w:ascii="Times New Roman" w:hAnsi="Times New Roman"/>
                <w:b/>
                <w:sz w:val="18"/>
              </w:rPr>
              <w:t>Paired Student's t-Test</w:t>
            </w:r>
          </w:p>
        </w:tc>
        <w:tc>
          <w:tcPr>
            <w:tcW w:w="1337" w:type="dxa"/>
            <w:shd w:val="clear" w:color="auto" w:fill="F8F9FA"/>
            <w:tcMar>
              <w:top w:w="100" w:type="dxa"/>
              <w:left w:w="130" w:type="dxa"/>
              <w:bottom w:w="100" w:type="dxa"/>
              <w:right w:w="130" w:type="dxa"/>
            </w:tcMar>
          </w:tcPr>
          <w:p w14:paraId="358E2A89">
            <w:pPr>
              <w:spacing w:before="40" w:after="40"/>
              <w:jc w:val="center"/>
            </w:pPr>
            <w:r>
              <w:rPr>
                <w:rFonts w:ascii="Times New Roman" w:hAnsi="Times New Roman"/>
                <w:sz w:val="18"/>
              </w:rPr>
              <w:t>Sample Mean F1 Score</w:t>
            </w:r>
          </w:p>
        </w:tc>
        <w:tc>
          <w:tcPr>
            <w:tcW w:w="1337" w:type="dxa"/>
            <w:shd w:val="clear" w:color="auto" w:fill="F8F9FA"/>
            <w:tcMar>
              <w:top w:w="100" w:type="dxa"/>
              <w:left w:w="130" w:type="dxa"/>
              <w:bottom w:w="100" w:type="dxa"/>
              <w:right w:w="130" w:type="dxa"/>
            </w:tcMar>
          </w:tcPr>
          <w:p w14:paraId="1661063D">
            <w:pPr>
              <w:spacing w:before="40" w:after="40"/>
              <w:jc w:val="center"/>
            </w:pPr>
            <ns3:oMathPara>
              <ns3:oMath>
                <ns3:sSub>
                  <ns3:sSubPr/>
                  <ns3:e>
                    <ns3:r>
                      <ns3:rPr/>
                      <w:rPr>
                        <w:rFonts w:ascii="Cambria Math" w:hAnsi="Cambria Math"/>
                      </w:rPr>
                      <ns3:t>μ</ns3:t>
                    </ns3:r>
                  </ns3:e>
                  <ns3:sub>
                    <ns3:r>
                      <ns3:rPr/>
                      <w:rPr>
                        <w:rFonts w:ascii="Times New Roman" w:hAnsi="Times New Roman"/>
                      </w:rPr>
                      <ns3:t>Pass A</ns3:t>
                    </ns3:r>
                  </ns3:sub>
                </ns3:sSub>
                <ns3:r>
                  <ns3:rPr/>
                  <w:rPr>
                    <w:rFonts w:ascii="Cambria Math" w:hAnsi="Cambria Math"/>
                  </w:rPr>
                  <ns3:t>=</ns3:t>
                </ns3:r>
                <ns3:sSub>
                  <ns3:sSubPr/>
                  <ns3:e>
                    <ns3:r>
                      <ns3:rPr/>
                      <w:rPr>
                        <w:rFonts w:ascii="Cambria Math" w:hAnsi="Cambria Math"/>
                      </w:rPr>
                      <ns3:t>μ</ns3:t>
                    </ns3:r>
                  </ns3:e>
                  <ns3:sub>
                    <ns3:r>
                      <ns3:rPr/>
                      <w:rPr>
                        <w:rFonts w:ascii="Times New Roman" w:hAnsi="Times New Roman"/>
                      </w:rPr>
                      <ns3:t>Pass B</ns3:t>
                    </ns3:r>
                  </ns3:sub>
                </ns3:sSub>
              </ns3:oMath>
            </ns3:oMathPara>
          </w:p>
        </w:tc>
        <w:tc>
          <w:tcPr>
            <w:tcW w:w="1337" w:type="dxa"/>
            <w:shd w:val="clear" w:color="auto" w:fill="F8F9FA"/>
            <w:tcMar>
              <w:top w:w="100" w:type="dxa"/>
              <w:left w:w="130" w:type="dxa"/>
              <w:bottom w:w="100" w:type="dxa"/>
              <w:right w:w="130" w:type="dxa"/>
            </w:tcMar>
          </w:tcPr>
          <w:p w14:paraId="13D9D2F5">
            <w:pPr>
              <w:spacing w:before="40" w:after="40"/>
              <w:jc w:val="center"/>
            </w:pPr>
            <ns3:oMathPara>
              <ns3:oMath>
                <ns3:r>
                  <ns3:rPr/>
                  <w:rPr>
                    <w:rFonts w:ascii="Cambria Math" w:hAnsi="Cambria Math"/>
                  </w:rPr>
                  <ns3:t>t=307.87</ns3:t>
                </ns3:r>
              </ns3:oMath>
            </ns3:oMathPara>
          </w:p>
        </w:tc>
        <w:tc>
          <w:tcPr>
            <w:tcW w:w="1337" w:type="dxa"/>
            <w:shd w:val="clear" w:color="auto" w:fill="F8F9FA"/>
            <w:tcMar>
              <w:top w:w="100" w:type="dxa"/>
              <w:left w:w="130" w:type="dxa"/>
              <w:bottom w:w="100" w:type="dxa"/>
              <w:right w:w="130" w:type="dxa"/>
            </w:tcMar>
          </w:tcPr>
          <w:p w14:paraId="1E5CC5C1">
            <w:pPr>
              <w:spacing w:before="40" w:after="40"/>
              <w:jc w:val="center"/>
            </w:pPr>
            <ns3:oMathPara>
              <ns3:oMath>
                <ns3:r>
                  <ns3:rPr/>
                  <w:rPr>
                    <w:rFonts w:ascii="Cambria Math" w:hAnsi="Cambria Math"/>
                  </w:rPr>
                  <ns3:t>&lt;1.0×</ns3:t>
                </ns3:r>
                <ns3:sSup>
                  <ns3:sSupPr/>
                  <ns3:e>
                    <ns3:r>
                      <ns3:rPr/>
                      <w:rPr>
                        <w:rFonts w:ascii="Cambria Math" w:hAnsi="Cambria Math"/>
                      </w:rPr>
                      <ns3:t>10</ns3:t>
                    </ns3:r>
                  </ns3:e>
                  <ns3:sup>
                    <ns3:r>
                      <ns3:rPr/>
                      <w:rPr>
                        <w:rFonts w:ascii="Cambria Math" w:hAnsi="Cambria Math"/>
                      </w:rPr>
                      <ns3:t>−15</ns3:t>
                    </ns3:r>
                  </ns3:sup>
                </ns3:sSup>
              </ns3:oMath>
            </ns3:oMathPara>
          </w:p>
        </w:tc>
        <w:tc>
          <w:tcPr>
            <w:tcW w:w="1337" w:type="dxa"/>
            <w:shd w:val="clear" w:color="auto" w:fill="F8F9FA"/>
            <w:tcMar>
              <w:top w:w="100" w:type="dxa"/>
              <w:left w:w="130" w:type="dxa"/>
              <w:bottom w:w="100" w:type="dxa"/>
              <w:right w:w="130" w:type="dxa"/>
            </w:tcMar>
          </w:tcPr>
          <w:p w14:paraId="142ADBF7">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8F9FA"/>
            <w:tcMar>
              <w:top w:w="100" w:type="dxa"/>
              <w:left w:w="130" w:type="dxa"/>
              <w:bottom w:w="100" w:type="dxa"/>
              <w:right w:w="130" w:type="dxa"/>
            </w:tcMar>
          </w:tcPr>
          <w:p w14:paraId="45E8C6CD">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0B7C4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2492331F">
            <w:pPr>
              <w:spacing w:before="40" w:after="40"/>
              <w:jc w:val="left"/>
            </w:pPr>
            <w:r>
              <w:rPr>
                <w:rFonts w:ascii="Times New Roman" w:hAnsi="Times New Roman"/>
                <w:b/>
                <w:sz w:val="18"/>
              </w:rPr>
              <w:t>Paired Student's t-Test</w:t>
            </w:r>
          </w:p>
        </w:tc>
        <w:tc>
          <w:tcPr>
            <w:tcW w:w="1337" w:type="dxa"/>
            <w:shd w:val="clear" w:color="auto" w:fill="FFFFFF"/>
            <w:tcMar>
              <w:top w:w="100" w:type="dxa"/>
              <w:left w:w="130" w:type="dxa"/>
              <w:bottom w:w="100" w:type="dxa"/>
              <w:right w:w="130" w:type="dxa"/>
            </w:tcMar>
          </w:tcPr>
          <w:p w14:paraId="0A361868">
            <w:pPr>
              <w:spacing w:before="40" w:after="40"/>
              <w:jc w:val="center"/>
            </w:pPr>
            <w:r>
              <w:rPr>
                <w:rFonts w:ascii="Times New Roman" w:hAnsi="Times New Roman"/>
                <w:sz w:val="18"/>
              </w:rPr>
              <w:t>Sample Mean CER</w:t>
            </w:r>
          </w:p>
        </w:tc>
        <w:tc>
          <w:tcPr>
            <w:tcW w:w="1337" w:type="dxa"/>
            <w:shd w:val="clear" w:color="auto" w:fill="FFFFFF"/>
            <w:tcMar>
              <w:top w:w="100" w:type="dxa"/>
              <w:left w:w="130" w:type="dxa"/>
              <w:bottom w:w="100" w:type="dxa"/>
              <w:right w:w="130" w:type="dxa"/>
            </w:tcMar>
          </w:tcPr>
          <w:p w14:paraId="11A86AB7">
            <w:pPr>
              <w:spacing w:before="40" w:after="40"/>
              <w:jc w:val="center"/>
            </w:pPr>
            <ns3:oMathPara>
              <ns3:oMath>
                <ns3:sSub>
                  <ns3:sSubPr/>
                  <ns3:e>
                    <ns3:r>
                      <ns3:rPr/>
                      <w:rPr>
                        <w:rFonts w:ascii="Cambria Math" w:hAnsi="Cambria Math"/>
                      </w:rPr>
                      <ns3:t>μ</ns3:t>
                    </ns3:r>
                  </ns3:e>
                  <ns3:sub>
                    <ns3:r>
                      <ns3:rPr/>
                      <w:rPr>
                        <w:rFonts w:ascii="Times New Roman" w:hAnsi="Times New Roman"/>
                      </w:rPr>
                      <ns3:t>Pass A</ns3:t>
                    </ns3:r>
                  </ns3:sub>
                </ns3:sSub>
                <ns3:r>
                  <ns3:rPr/>
                  <w:rPr>
                    <w:rFonts w:ascii="Cambria Math" w:hAnsi="Cambria Math"/>
                  </w:rPr>
                  <ns3:t>=</ns3:t>
                </ns3:r>
                <ns3:sSub>
                  <ns3:sSubPr/>
                  <ns3:e>
                    <ns3:r>
                      <ns3:rPr/>
                      <w:rPr>
                        <w:rFonts w:ascii="Cambria Math" w:hAnsi="Cambria Math"/>
                      </w:rPr>
                      <ns3:t>μ</ns3:t>
                    </ns3:r>
                  </ns3:e>
                  <ns3:sub>
                    <ns3:r>
                      <ns3:rPr/>
                      <w:rPr>
                        <w:rFonts w:ascii="Times New Roman" w:hAnsi="Times New Roman"/>
                      </w:rPr>
                      <ns3:t>Pass B</ns3:t>
                    </ns3:r>
                  </ns3:sub>
                </ns3:sSub>
              </ns3:oMath>
            </ns3:oMathPara>
          </w:p>
        </w:tc>
        <w:tc>
          <w:tcPr>
            <w:tcW w:w="1337" w:type="dxa"/>
            <w:shd w:val="clear" w:color="auto" w:fill="FFFFFF"/>
            <w:tcMar>
              <w:top w:w="100" w:type="dxa"/>
              <w:left w:w="130" w:type="dxa"/>
              <w:bottom w:w="100" w:type="dxa"/>
              <w:right w:w="130" w:type="dxa"/>
            </w:tcMar>
          </w:tcPr>
          <w:p w14:paraId="26950817">
            <w:pPr>
              <w:spacing w:before="40" w:after="40"/>
              <w:jc w:val="center"/>
            </w:pPr>
            <ns3:oMathPara>
              <ns3:oMath>
                <ns3:r>
                  <ns3:rPr/>
                  <w:rPr>
                    <w:rFonts w:ascii="Cambria Math" w:hAnsi="Cambria Math"/>
                  </w:rPr>
                  <ns3:t>t=262.36</ns3:t>
                </ns3:r>
              </ns3:oMath>
            </ns3:oMathPara>
          </w:p>
        </w:tc>
        <w:tc>
          <w:tcPr>
            <w:tcW w:w="1337" w:type="dxa"/>
            <w:shd w:val="clear" w:color="auto" w:fill="FFFFFF"/>
            <w:tcMar>
              <w:top w:w="100" w:type="dxa"/>
              <w:left w:w="130" w:type="dxa"/>
              <w:bottom w:w="100" w:type="dxa"/>
              <w:right w:w="130" w:type="dxa"/>
            </w:tcMar>
          </w:tcPr>
          <w:p w14:paraId="4FDF2C2A">
            <w:pPr>
              <w:spacing w:before="40" w:after="40"/>
              <w:jc w:val="center"/>
            </w:pPr>
            <ns3:oMathPara>
              <ns3:oMath>
                <ns3:r>
                  <ns3:rPr/>
                  <w:rPr>
                    <w:rFonts w:ascii="Cambria Math" w:hAnsi="Cambria Math"/>
                  </w:rPr>
                  <ns3:t>&lt;1.0×</ns3:t>
                </ns3:r>
                <ns3:sSup>
                  <ns3:sSupPr/>
                  <ns3:e>
                    <ns3:r>
                      <ns3:rPr/>
                      <w:rPr>
                        <w:rFonts w:ascii="Cambria Math" w:hAnsi="Cambria Math"/>
                      </w:rPr>
                      <ns3:t>10</ns3:t>
                    </ns3:r>
                  </ns3:e>
                  <ns3:sup>
                    <ns3:r>
                      <ns3:rPr/>
                      <w:rPr>
                        <w:rFonts w:ascii="Cambria Math" w:hAnsi="Cambria Math"/>
                      </w:rPr>
                      <ns3:t>−15</ns3:t>
                    </ns3:r>
                  </ns3:sup>
                </ns3:sSup>
              </ns3:oMath>
            </ns3:oMathPara>
          </w:p>
        </w:tc>
        <w:tc>
          <w:tcPr>
            <w:tcW w:w="1337" w:type="dxa"/>
            <w:shd w:val="clear" w:color="auto" w:fill="FFFFFF"/>
            <w:tcMar>
              <w:top w:w="100" w:type="dxa"/>
              <w:left w:w="130" w:type="dxa"/>
              <w:bottom w:w="100" w:type="dxa"/>
              <w:right w:w="130" w:type="dxa"/>
            </w:tcMar>
          </w:tcPr>
          <w:p w14:paraId="4BD8E7D9">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FFFFF"/>
            <w:tcMar>
              <w:top w:w="100" w:type="dxa"/>
              <w:left w:w="130" w:type="dxa"/>
              <w:bottom w:w="100" w:type="dxa"/>
              <w:right w:w="130" w:type="dxa"/>
            </w:tcMar>
          </w:tcPr>
          <w:p w14:paraId="0E798EB2">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bl>
    <w:p w14:paraId="3E373470">
      <w:pPr>
        <w:spacing w:after="120"/>
      </w:pPr>
    </w:p>
    <w:p w14:paraId="788D6430">
      <w:pPr>
        <w:spacing w:before="40" w:after="80" w:line="276" w:lineRule="auto"/>
      </w:pPr>
      <w:r>
        <w:rPr>
          <w:rFonts w:ascii="Times New Roman" w:hAnsi="Times New Roman"/>
          <w:sz w:val="20"/>
        </w:rPr>
        <w:t xml:space="preserve">McNemar's test [22] over the </w:t>
      </w:r>
      <ns3:oMath>
        <ns3:r>
          <ns3:rPr/>
          <w:rPr>
            <w:rFonts w:ascii="Cambria Math" w:hAnsi="Cambria Math"/>
          </w:rPr>
          <ns3:t>2×2</ns3:t>
        </ns3:r>
      </ns3:oMath>
      <w:r>
        <w:rPr>
          <w:rFonts w:ascii="Times New Roman" w:hAnsi="Times New Roman"/>
          <w:sz w:val="20"/>
        </w:rPr>
        <w:t xml:space="preserve"> contingency matrix (</w:t>
      </w:r>
      <ns3:oMath>
        <ns3:r>
          <ns3:rPr/>
          <w:rPr>
            <w:rFonts w:ascii="Cambria Math" w:hAnsi="Cambria Math"/>
          </w:rPr>
          <ns3:t>a=2,880,b=0,c=2,620,d=260</ns3:t>
        </ns3:r>
      </ns3:oMath>
      <w:r>
        <w:rPr>
          <w:rFonts w:ascii="Times New Roman" w:hAnsi="Times New Roman"/>
          <w:sz w:val="20"/>
        </w:rPr>
        <w:t xml:space="preserve">) yielded </w:t>
      </w:r>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w:r>
        <w:rPr>
          <w:rFonts w:ascii="Times New Roman" w:hAnsi="Times New Roman"/>
          <w:sz w:val="20"/>
        </w:rPr>
        <w:t xml:space="preserve"> (</w:t>
      </w:r>
      <ns3:oMath>
        <ns3:r>
          <ns3:rPr/>
          <w:rPr>
            <w:rFonts w:ascii="Cambria Math" w:hAnsi="Cambria Math"/>
          </w:rPr>
          <ns3:t>p&lt;0.0001</ns3:t>
        </ns3:r>
      </ns3:oMath>
      <w:r>
        <w:rPr>
          <w:rFonts w:ascii="Times New Roman" w:hAnsi="Times New Roman"/>
          <w:sz w:val="20"/>
        </w:rPr>
        <w:t>), confirming that canonical normalization provides an overwhelmingly statistically significant improvement in field match accuracy.</w:t>
      </w:r>
    </w:p>
    <w:p w14:paraId="4F9F57F8">
      <w:pPr>
        <w:keepNext/>
        <w:spacing w:before="200" w:after="80"/>
      </w:pPr>
      <w:r>
        <w:rPr>
          <w:rFonts w:ascii="Times New Roman" w:hAnsi="Times New Roman"/>
          <w:b/>
          <w:color w:val="333333"/>
          <w:sz w:val="23"/>
        </w:rPr>
        <w:t>5.7 Non-Parametric 95% Bootstrap Confidence Intervals</w:t>
      </w:r>
    </w:p>
    <w:p w14:paraId="578DDAEE">
      <w:pPr>
        <w:spacing w:before="40" w:after="80" w:line="276" w:lineRule="auto"/>
      </w:pPr>
      <w:r>
        <w:rPr>
          <w:rFonts w:ascii="Times New Roman" w:hAnsi="Times New Roman"/>
          <w:sz w:val="20"/>
        </w:rPr>
        <w:t>To establish rigorous confidence bounds, non-parametric empirical bootstrap resampling (</w:t>
      </w:r>
      <ns3:oMath>
        <ns3:r>
          <ns3:rPr/>
          <w:rPr>
            <w:rFonts w:ascii="Cambria Math" w:hAnsi="Cambria Math"/>
          </w:rPr>
          <ns3:t>B=1,000</ns3:t>
        </ns3:r>
      </ns3:oMath>
      <w:r>
        <w:rPr>
          <w:rFonts w:ascii="Times New Roman" w:hAnsi="Times New Roman"/>
          <w:sz w:val="20"/>
        </w:rPr>
        <w:t xml:space="preserve"> iterations) [24] was performed over the 5,760 field observations.</w:t>
      </w:r>
    </w:p>
    <w:p w14:paraId="69FABC89">
      <w:pPr>
        <w:spacing w:before="40" w:after="80" w:line="276" w:lineRule="auto"/>
      </w:pPr>
      <w:r>
        <w:rPr>
          <w:rFonts w:ascii="Times New Roman" w:hAnsi="Times New Roman"/>
          <w:sz w:val="20"/>
        </w:rPr>
        <w:t>Table 6 presents empirical benchmark metrics with 95% bootstrap confidence intervals (</w:t>
      </w:r>
      <ns3:oMath>
        <ns3:r>
          <ns3:rPr/>
          <w:rPr>
            <w:rFonts w:ascii="Cambria Math" w:hAnsi="Cambria Math"/>
          </w:rPr>
          <ns3:t>B=1,000</ns3:t>
        </ns3:r>
      </ns3:oMath>
      <w:r>
        <w:rPr>
          <w:rFonts w:ascii="Times New Roman" w:hAnsi="Times New Roman"/>
          <w:sz w:val="20"/>
        </w:rPr>
        <w:t xml:space="preserve"> iterations).</w:t>
      </w:r>
    </w:p>
    <w:p w14:paraId="1B82FFBA">
      <w:pPr>
        <w:keepNext/>
        <w:spacing w:before="80" w:after="160"/>
        <w:jc w:val="center"/>
      </w:pPr>
      <w:r>
        <w:rPr>
          <w:rFonts w:ascii="Times New Roman" w:hAnsi="Times New Roman"/>
          <w:b/>
          <w:color w:val="003366"/>
          <w:sz w:val="19"/>
        </w:rPr>
        <w:t>Table 6: Empirical Benchmark Metrics with 95% Bootstrap Confidence Intervals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294A806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003366"/>
            <w:tcMar>
              <w:top w:w="100" w:type="dxa"/>
              <w:left w:w="130" w:type="dxa"/>
              <w:bottom w:w="100" w:type="dxa"/>
              <w:right w:w="130" w:type="dxa"/>
            </w:tcMar>
          </w:tcPr>
          <w:p w14:paraId="0A0697C1">
            <w:pPr>
              <w:spacing w:before="40" w:after="40"/>
              <w:jc w:val="center"/>
            </w:pPr>
            <w:r>
              <w:rPr>
                <w:rFonts w:ascii="Times New Roman" w:hAnsi="Times New Roman"/>
                <w:b/>
                <w:color w:val="FFFFFF"/>
                <w:sz w:val="19"/>
              </w:rPr>
              <w:t>Evaluation Pass</w:t>
            </w:r>
          </w:p>
        </w:tc>
        <w:tc>
          <w:tcPr>
            <w:tcW w:w="1872" w:type="dxa"/>
            <w:shd w:val="clear" w:color="auto" w:fill="003366"/>
            <w:tcMar>
              <w:top w:w="100" w:type="dxa"/>
              <w:left w:w="130" w:type="dxa"/>
              <w:bottom w:w="100" w:type="dxa"/>
              <w:right w:w="130" w:type="dxa"/>
            </w:tcMar>
          </w:tcPr>
          <w:p w14:paraId="4DF1546A">
            <w:pPr>
              <w:spacing w:before="40" w:after="40"/>
              <w:jc w:val="center"/>
            </w:pPr>
            <w:r>
              <w:rPr>
                <w:rFonts w:ascii="Times New Roman" w:hAnsi="Times New Roman"/>
                <w:b/>
                <w:color w:val="FFFFFF"/>
                <w:sz w:val="19"/>
              </w:rPr>
              <w:t>Benchmark Metric</w:t>
            </w:r>
          </w:p>
        </w:tc>
        <w:tc>
          <w:tcPr>
            <w:tcW w:w="1872" w:type="dxa"/>
            <w:shd w:val="clear" w:color="auto" w:fill="003366"/>
            <w:tcMar>
              <w:top w:w="100" w:type="dxa"/>
              <w:left w:w="130" w:type="dxa"/>
              <w:bottom w:w="100" w:type="dxa"/>
              <w:right w:w="130" w:type="dxa"/>
            </w:tcMar>
          </w:tcPr>
          <w:p w14:paraId="18D81D90">
            <w:pPr>
              <w:spacing w:before="40" w:after="40"/>
              <w:jc w:val="center"/>
            </w:pPr>
            <w:r>
              <w:rPr>
                <w:rFonts w:ascii="Times New Roman" w:hAnsi="Times New Roman"/>
                <w:b/>
                <w:color w:val="FFFFFF"/>
                <w:sz w:val="19"/>
              </w:rPr>
              <w:t>Empirical Mean</w:t>
            </w:r>
          </w:p>
        </w:tc>
        <w:tc>
          <w:tcPr>
            <w:tcW w:w="1872" w:type="dxa"/>
            <w:shd w:val="clear" w:color="auto" w:fill="003366"/>
            <w:tcMar>
              <w:top w:w="100" w:type="dxa"/>
              <w:left w:w="130" w:type="dxa"/>
              <w:bottom w:w="100" w:type="dxa"/>
              <w:right w:w="130" w:type="dxa"/>
            </w:tcMar>
          </w:tcPr>
          <w:p w14:paraId="0B7C0D98">
            <w:pPr>
              <w:spacing w:before="40" w:after="40"/>
              <w:jc w:val="center"/>
            </w:pPr>
            <w:r>
              <w:rPr>
                <w:rFonts w:ascii="Times New Roman" w:hAnsi="Times New Roman"/>
                <w:b/>
                <w:color w:val="FFFFFF"/>
                <w:sz w:val="19"/>
              </w:rPr>
              <w:t>95% Bootstrap CI [Lower, Upper]</w:t>
            </w:r>
          </w:p>
        </w:tc>
        <w:tc>
          <w:tcPr>
            <w:tcW w:w="1872" w:type="dxa"/>
            <w:shd w:val="clear" w:color="auto" w:fill="003366"/>
            <w:tcMar>
              <w:top w:w="100" w:type="dxa"/>
              <w:left w:w="130" w:type="dxa"/>
              <w:bottom w:w="100" w:type="dxa"/>
              <w:right w:w="130" w:type="dxa"/>
            </w:tcMar>
          </w:tcPr>
          <w:p w14:paraId="3909E36F">
            <w:pPr>
              <w:spacing w:before="40" w:after="40"/>
              <w:jc w:val="center"/>
            </w:pPr>
            <w:r>
              <w:rPr>
                <w:rFonts w:ascii="Times New Roman" w:hAnsi="Times New Roman"/>
                <w:b/>
                <w:color w:val="FFFFFF"/>
                <w:sz w:val="19"/>
              </w:rPr>
              <w:t>CI Bound Range (</w:t>
            </w:r>
            <ns3:oMath>
              <ns3:r>
                <ns3:rPr/>
                <w:rPr>
                  <w:rFonts w:ascii="Cambria Math" w:hAnsi="Cambria Math"/>
                </w:rPr>
                <ns3:t>Δ</ns3:t>
              </ns3:r>
            </ns3:oMath>
            <w:r>
              <w:rPr>
                <w:rFonts w:ascii="Times New Roman" w:hAnsi="Times New Roman"/>
                <w:b/>
                <w:color w:val="FFFFFF"/>
                <w:sz w:val="19"/>
              </w:rPr>
              <w:t>)</w:t>
            </w:r>
          </w:p>
        </w:tc>
      </w:tr>
      <w:tr w14:paraId="21E4C5B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41B91A7">
            <w:pPr>
              <w:spacing w:before="40" w:after="40"/>
              <w:jc w:val="left"/>
            </w:pPr>
            <w:r>
              <w:rPr>
                <w:rFonts w:ascii="Times New Roman" w:hAnsi="Times New Roman"/>
                <w:b/>
                <w:sz w:val="18"/>
              </w:rPr>
              <w:t>Pass A (Without Normalization)</w:t>
            </w:r>
          </w:p>
        </w:tc>
        <w:tc>
          <w:tcPr>
            <w:tcW w:w="1872" w:type="dxa"/>
            <w:shd w:val="clear" w:color="auto" w:fill="FFFFFF"/>
            <w:tcMar>
              <w:top w:w="100" w:type="dxa"/>
              <w:left w:w="130" w:type="dxa"/>
              <w:bottom w:w="100" w:type="dxa"/>
              <w:right w:w="130" w:type="dxa"/>
            </w:tcMar>
          </w:tcPr>
          <w:p w14:paraId="1E6539DE">
            <w:pPr>
              <w:spacing w:before="40" w:after="40"/>
              <w:jc w:val="center"/>
            </w:pPr>
            <w:r>
              <w:rPr>
                <w:rFonts w:ascii="Times New Roman" w:hAnsi="Times New Roman"/>
                <w:b/>
                <w:sz w:val="18"/>
              </w:rPr>
              <w:t>Field F1 Score</w:t>
            </w:r>
          </w:p>
        </w:tc>
        <w:tc>
          <w:tcPr>
            <w:tcW w:w="1872" w:type="dxa"/>
            <w:shd w:val="clear" w:color="auto" w:fill="FFFFFF"/>
            <w:tcMar>
              <w:top w:w="100" w:type="dxa"/>
              <w:left w:w="130" w:type="dxa"/>
              <w:bottom w:w="100" w:type="dxa"/>
              <w:right w:w="130" w:type="dxa"/>
            </w:tcMar>
          </w:tcPr>
          <w:p w14:paraId="7ABB059B">
            <w:pPr>
              <w:spacing w:before="40" w:after="40"/>
              <w:jc w:val="center"/>
            </w:pPr>
            <w:r>
              <w:rPr>
                <w:rFonts w:ascii="Times New Roman" w:hAnsi="Times New Roman"/>
                <w:b/>
                <w:sz w:val="18"/>
              </w:rPr>
              <w:t>50.00%</w:t>
            </w:r>
          </w:p>
        </w:tc>
        <w:tc>
          <w:tcPr>
            <w:tcW w:w="1872" w:type="dxa"/>
            <w:shd w:val="clear" w:color="auto" w:fill="FFFFFF"/>
            <w:tcMar>
              <w:top w:w="100" w:type="dxa"/>
              <w:left w:w="130" w:type="dxa"/>
              <w:bottom w:w="100" w:type="dxa"/>
              <w:right w:w="130" w:type="dxa"/>
            </w:tcMar>
          </w:tcPr>
          <w:p w14:paraId="102C1047">
            <w:pPr>
              <w:spacing w:before="40" w:after="40"/>
              <w:jc w:val="center"/>
            </w:pPr>
            <w:r>
              <w:rPr>
                <w:rFonts w:ascii="Times New Roman" w:hAnsi="Times New Roman"/>
                <w:sz w:val="18"/>
              </w:rPr>
              <w:t>[48.72%, 51.28%]</w:t>
            </w:r>
          </w:p>
        </w:tc>
        <w:tc>
          <w:tcPr>
            <w:tcW w:w="1872" w:type="dxa"/>
            <w:shd w:val="clear" w:color="auto" w:fill="FFFFFF"/>
            <w:tcMar>
              <w:top w:w="100" w:type="dxa"/>
              <w:left w:w="130" w:type="dxa"/>
              <w:bottom w:w="100" w:type="dxa"/>
              <w:right w:w="130" w:type="dxa"/>
            </w:tcMar>
          </w:tcPr>
          <w:p w14:paraId="5D0E149B">
            <w:pPr>
              <w:spacing w:before="40" w:after="40"/>
              <w:jc w:val="center"/>
            </w:pPr>
            <w:r>
              <w:rPr>
                <w:rFonts w:ascii="Times New Roman" w:hAnsi="Times New Roman"/>
                <w:sz w:val="18"/>
              </w:rPr>
              <w:t>2.57%</w:t>
            </w:r>
          </w:p>
        </w:tc>
      </w:tr>
      <w:tr w14:paraId="4537DCA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4FDD5C8B">
            <w:pPr>
              <w:spacing w:before="40" w:after="40"/>
              <w:jc w:val="left"/>
            </w:pPr>
          </w:p>
        </w:tc>
        <w:tc>
          <w:tcPr>
            <w:tcW w:w="1872" w:type="dxa"/>
            <w:shd w:val="clear" w:color="auto" w:fill="F8F9FA"/>
            <w:tcMar>
              <w:top w:w="100" w:type="dxa"/>
              <w:left w:w="130" w:type="dxa"/>
              <w:bottom w:w="100" w:type="dxa"/>
              <w:right w:w="130" w:type="dxa"/>
            </w:tcMar>
          </w:tcPr>
          <w:p w14:paraId="02960C6D">
            <w:pPr>
              <w:spacing w:before="40" w:after="40"/>
              <w:jc w:val="center"/>
            </w:pPr>
            <w:r>
              <w:rPr>
                <w:rFonts w:ascii="Times New Roman" w:hAnsi="Times New Roman"/>
                <w:b/>
                <w:sz w:val="18"/>
              </w:rPr>
              <w:t>Character Error Rate (CER)</w:t>
            </w:r>
          </w:p>
        </w:tc>
        <w:tc>
          <w:tcPr>
            <w:tcW w:w="1872" w:type="dxa"/>
            <w:shd w:val="clear" w:color="auto" w:fill="F8F9FA"/>
            <w:tcMar>
              <w:top w:w="100" w:type="dxa"/>
              <w:left w:w="130" w:type="dxa"/>
              <w:bottom w:w="100" w:type="dxa"/>
              <w:right w:w="130" w:type="dxa"/>
            </w:tcMar>
          </w:tcPr>
          <w:p w14:paraId="0F75021E">
            <w:pPr>
              <w:spacing w:before="40" w:after="40"/>
              <w:jc w:val="center"/>
            </w:pPr>
            <w:r>
              <w:rPr>
                <w:rFonts w:ascii="Times New Roman" w:hAnsi="Times New Roman"/>
                <w:b/>
                <w:sz w:val="18"/>
              </w:rPr>
              <w:t>38.13%</w:t>
            </w:r>
          </w:p>
        </w:tc>
        <w:tc>
          <w:tcPr>
            <w:tcW w:w="1872" w:type="dxa"/>
            <w:shd w:val="clear" w:color="auto" w:fill="F8F9FA"/>
            <w:tcMar>
              <w:top w:w="100" w:type="dxa"/>
              <w:left w:w="130" w:type="dxa"/>
              <w:bottom w:w="100" w:type="dxa"/>
              <w:right w:w="130" w:type="dxa"/>
            </w:tcMar>
          </w:tcPr>
          <w:p w14:paraId="11901F40">
            <w:pPr>
              <w:spacing w:before="40" w:after="40"/>
              <w:jc w:val="center"/>
            </w:pPr>
            <w:r>
              <w:rPr>
                <w:rFonts w:ascii="Times New Roman" w:hAnsi="Times New Roman"/>
                <w:sz w:val="18"/>
              </w:rPr>
              <w:t>[36.92%, 39.36%]</w:t>
            </w:r>
          </w:p>
        </w:tc>
        <w:tc>
          <w:tcPr>
            <w:tcW w:w="1872" w:type="dxa"/>
            <w:shd w:val="clear" w:color="auto" w:fill="F8F9FA"/>
            <w:tcMar>
              <w:top w:w="100" w:type="dxa"/>
              <w:left w:w="130" w:type="dxa"/>
              <w:bottom w:w="100" w:type="dxa"/>
              <w:right w:w="130" w:type="dxa"/>
            </w:tcMar>
          </w:tcPr>
          <w:p w14:paraId="24EB4D4B">
            <w:pPr>
              <w:spacing w:before="40" w:after="40"/>
              <w:jc w:val="center"/>
            </w:pPr>
            <w:r>
              <w:rPr>
                <w:rFonts w:ascii="Times New Roman" w:hAnsi="Times New Roman"/>
                <w:sz w:val="18"/>
              </w:rPr>
              <w:t>2.44%</w:t>
            </w:r>
          </w:p>
        </w:tc>
      </w:tr>
      <w:tr w14:paraId="49FC872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892F53B">
            <w:pPr>
              <w:spacing w:before="40" w:after="40"/>
              <w:jc w:val="left"/>
            </w:pPr>
          </w:p>
        </w:tc>
        <w:tc>
          <w:tcPr>
            <w:tcW w:w="1872" w:type="dxa"/>
            <w:shd w:val="clear" w:color="auto" w:fill="FFFFFF"/>
            <w:tcMar>
              <w:top w:w="100" w:type="dxa"/>
              <w:left w:w="130" w:type="dxa"/>
              <w:bottom w:w="100" w:type="dxa"/>
              <w:right w:w="130" w:type="dxa"/>
            </w:tcMar>
          </w:tcPr>
          <w:p w14:paraId="360A6C95">
            <w:pPr>
              <w:spacing w:before="40" w:after="40"/>
              <w:jc w:val="center"/>
            </w:pPr>
            <w:r>
              <w:rPr>
                <w:rFonts w:ascii="Times New Roman" w:hAnsi="Times New Roman"/>
                <w:b/>
                <w:sz w:val="18"/>
              </w:rPr>
              <w:t>Word Error Rate (WER)</w:t>
            </w:r>
          </w:p>
        </w:tc>
        <w:tc>
          <w:tcPr>
            <w:tcW w:w="1872" w:type="dxa"/>
            <w:shd w:val="clear" w:color="auto" w:fill="FFFFFF"/>
            <w:tcMar>
              <w:top w:w="100" w:type="dxa"/>
              <w:left w:w="130" w:type="dxa"/>
              <w:bottom w:w="100" w:type="dxa"/>
              <w:right w:w="130" w:type="dxa"/>
            </w:tcMar>
          </w:tcPr>
          <w:p w14:paraId="4C2F56DF">
            <w:pPr>
              <w:spacing w:before="40" w:after="40"/>
              <w:jc w:val="center"/>
            </w:pPr>
            <w:r>
              <w:rPr>
                <w:rFonts w:ascii="Times New Roman" w:hAnsi="Times New Roman"/>
                <w:b/>
                <w:sz w:val="18"/>
              </w:rPr>
              <w:t>285.31%</w:t>
            </w:r>
          </w:p>
        </w:tc>
        <w:tc>
          <w:tcPr>
            <w:tcW w:w="1872" w:type="dxa"/>
            <w:shd w:val="clear" w:color="auto" w:fill="FFFFFF"/>
            <w:tcMar>
              <w:top w:w="100" w:type="dxa"/>
              <w:left w:w="130" w:type="dxa"/>
              <w:bottom w:w="100" w:type="dxa"/>
              <w:right w:w="130" w:type="dxa"/>
            </w:tcMar>
          </w:tcPr>
          <w:p w14:paraId="3F1938DC">
            <w:pPr>
              <w:spacing w:before="40" w:after="40"/>
              <w:jc w:val="center"/>
            </w:pPr>
            <w:r>
              <w:rPr>
                <w:rFonts w:ascii="Times New Roman" w:hAnsi="Times New Roman"/>
                <w:sz w:val="18"/>
              </w:rPr>
              <w:t>[276.26%, 294.89%]</w:t>
            </w:r>
          </w:p>
        </w:tc>
        <w:tc>
          <w:tcPr>
            <w:tcW w:w="1872" w:type="dxa"/>
            <w:shd w:val="clear" w:color="auto" w:fill="FFFFFF"/>
            <w:tcMar>
              <w:top w:w="100" w:type="dxa"/>
              <w:left w:w="130" w:type="dxa"/>
              <w:bottom w:w="100" w:type="dxa"/>
              <w:right w:w="130" w:type="dxa"/>
            </w:tcMar>
          </w:tcPr>
          <w:p w14:paraId="15558EED">
            <w:pPr>
              <w:spacing w:before="40" w:after="40"/>
              <w:jc w:val="center"/>
            </w:pPr>
            <w:r>
              <w:rPr>
                <w:rFonts w:ascii="Times New Roman" w:hAnsi="Times New Roman"/>
                <w:sz w:val="18"/>
              </w:rPr>
              <w:t>18.62%</w:t>
            </w:r>
          </w:p>
        </w:tc>
      </w:tr>
      <w:tr w14:paraId="67C142C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0D634840">
            <w:pPr>
              <w:spacing w:before="40" w:after="40"/>
              <w:jc w:val="left"/>
            </w:pPr>
            <w:r>
              <w:rPr>
                <w:rFonts w:ascii="Times New Roman" w:hAnsi="Times New Roman"/>
                <w:b/>
                <w:sz w:val="18"/>
              </w:rPr>
              <w:t>Pass B (With Normalization)</w:t>
            </w:r>
          </w:p>
        </w:tc>
        <w:tc>
          <w:tcPr>
            <w:tcW w:w="1872" w:type="dxa"/>
            <w:shd w:val="clear" w:color="auto" w:fill="F8F9FA"/>
            <w:tcMar>
              <w:top w:w="100" w:type="dxa"/>
              <w:left w:w="130" w:type="dxa"/>
              <w:bottom w:w="100" w:type="dxa"/>
              <w:right w:w="130" w:type="dxa"/>
            </w:tcMar>
          </w:tcPr>
          <w:p w14:paraId="304D53ED">
            <w:pPr>
              <w:spacing w:before="40" w:after="40"/>
              <w:jc w:val="center"/>
            </w:pPr>
            <w:r>
              <w:rPr>
                <w:rFonts w:ascii="Times New Roman" w:hAnsi="Times New Roman"/>
                <w:b/>
                <w:sz w:val="18"/>
              </w:rPr>
              <w:t>Field F1 Score</w:t>
            </w:r>
          </w:p>
        </w:tc>
        <w:tc>
          <w:tcPr>
            <w:tcW w:w="1872" w:type="dxa"/>
            <w:shd w:val="clear" w:color="auto" w:fill="F8F9FA"/>
            <w:tcMar>
              <w:top w:w="100" w:type="dxa"/>
              <w:left w:w="130" w:type="dxa"/>
              <w:bottom w:w="100" w:type="dxa"/>
              <w:right w:w="130" w:type="dxa"/>
            </w:tcMar>
          </w:tcPr>
          <w:p w14:paraId="6AD58B08">
            <w:pPr>
              <w:spacing w:before="40" w:after="40"/>
              <w:jc w:val="center"/>
            </w:pPr>
            <w:r>
              <w:rPr>
                <w:rFonts w:ascii="Times New Roman" w:hAnsi="Times New Roman"/>
                <w:b/>
                <w:sz w:val="18"/>
              </w:rPr>
              <w:t>95.49%</w:t>
            </w:r>
          </w:p>
        </w:tc>
        <w:tc>
          <w:tcPr>
            <w:tcW w:w="1872" w:type="dxa"/>
            <w:shd w:val="clear" w:color="auto" w:fill="F8F9FA"/>
            <w:tcMar>
              <w:top w:w="100" w:type="dxa"/>
              <w:left w:w="130" w:type="dxa"/>
              <w:bottom w:w="100" w:type="dxa"/>
              <w:right w:w="130" w:type="dxa"/>
            </w:tcMar>
          </w:tcPr>
          <w:p w14:paraId="1813561B">
            <w:pPr>
              <w:spacing w:before="40" w:after="40"/>
              <w:jc w:val="center"/>
            </w:pPr>
            <w:r>
              <w:rPr>
                <w:rFonts w:ascii="Times New Roman" w:hAnsi="Times New Roman"/>
                <w:sz w:val="18"/>
              </w:rPr>
              <w:t>[94.93%, 96.01%]</w:t>
            </w:r>
          </w:p>
        </w:tc>
        <w:tc>
          <w:tcPr>
            <w:tcW w:w="1872" w:type="dxa"/>
            <w:shd w:val="clear" w:color="auto" w:fill="F8F9FA"/>
            <w:tcMar>
              <w:top w:w="100" w:type="dxa"/>
              <w:left w:w="130" w:type="dxa"/>
              <w:bottom w:w="100" w:type="dxa"/>
              <w:right w:w="130" w:type="dxa"/>
            </w:tcMar>
          </w:tcPr>
          <w:p w14:paraId="73996FA0">
            <w:pPr>
              <w:spacing w:before="40" w:after="40"/>
              <w:jc w:val="center"/>
            </w:pPr>
            <w:r>
              <w:rPr>
                <w:rFonts w:ascii="Times New Roman" w:hAnsi="Times New Roman"/>
                <w:sz w:val="18"/>
              </w:rPr>
              <w:t>1.08%</w:t>
            </w:r>
          </w:p>
        </w:tc>
      </w:tr>
      <w:tr w14:paraId="51A91D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0175F5E1">
            <w:pPr>
              <w:spacing w:before="40" w:after="40"/>
              <w:jc w:val="left"/>
            </w:pPr>
          </w:p>
        </w:tc>
        <w:tc>
          <w:tcPr>
            <w:tcW w:w="1872" w:type="dxa"/>
            <w:shd w:val="clear" w:color="auto" w:fill="FFFFFF"/>
            <w:tcMar>
              <w:top w:w="100" w:type="dxa"/>
              <w:left w:w="130" w:type="dxa"/>
              <w:bottom w:w="100" w:type="dxa"/>
              <w:right w:w="130" w:type="dxa"/>
            </w:tcMar>
          </w:tcPr>
          <w:p w14:paraId="63767A61">
            <w:pPr>
              <w:spacing w:before="40" w:after="40"/>
              <w:jc w:val="center"/>
            </w:pPr>
            <w:r>
              <w:rPr>
                <w:rFonts w:ascii="Times New Roman" w:hAnsi="Times New Roman"/>
                <w:b/>
                <w:sz w:val="18"/>
              </w:rPr>
              <w:t>Character Error Rate (CER)</w:t>
            </w:r>
          </w:p>
        </w:tc>
        <w:tc>
          <w:tcPr>
            <w:tcW w:w="1872" w:type="dxa"/>
            <w:shd w:val="clear" w:color="auto" w:fill="FFFFFF"/>
            <w:tcMar>
              <w:top w:w="100" w:type="dxa"/>
              <w:left w:w="130" w:type="dxa"/>
              <w:bottom w:w="100" w:type="dxa"/>
              <w:right w:w="130" w:type="dxa"/>
            </w:tcMar>
          </w:tcPr>
          <w:p w14:paraId="206987E7">
            <w:pPr>
              <w:spacing w:before="40" w:after="40"/>
              <w:jc w:val="center"/>
            </w:pPr>
            <w:r>
              <w:rPr>
                <w:rFonts w:ascii="Times New Roman" w:hAnsi="Times New Roman"/>
                <w:b/>
                <w:sz w:val="18"/>
              </w:rPr>
              <w:t>3.65%</w:t>
            </w:r>
          </w:p>
        </w:tc>
        <w:tc>
          <w:tcPr>
            <w:tcW w:w="1872" w:type="dxa"/>
            <w:shd w:val="clear" w:color="auto" w:fill="FFFFFF"/>
            <w:tcMar>
              <w:top w:w="100" w:type="dxa"/>
              <w:left w:w="130" w:type="dxa"/>
              <w:bottom w:w="100" w:type="dxa"/>
              <w:right w:w="130" w:type="dxa"/>
            </w:tcMar>
          </w:tcPr>
          <w:p w14:paraId="1D0E22E4">
            <w:pPr>
              <w:spacing w:before="40" w:after="40"/>
              <w:jc w:val="center"/>
            </w:pPr>
            <w:r>
              <w:rPr>
                <w:rFonts w:ascii="Times New Roman" w:hAnsi="Times New Roman"/>
                <w:sz w:val="18"/>
              </w:rPr>
              <w:t>[3.23%, 4.10%]</w:t>
            </w:r>
          </w:p>
        </w:tc>
        <w:tc>
          <w:tcPr>
            <w:tcW w:w="1872" w:type="dxa"/>
            <w:shd w:val="clear" w:color="auto" w:fill="FFFFFF"/>
            <w:tcMar>
              <w:top w:w="100" w:type="dxa"/>
              <w:left w:w="130" w:type="dxa"/>
              <w:bottom w:w="100" w:type="dxa"/>
              <w:right w:w="130" w:type="dxa"/>
            </w:tcMar>
          </w:tcPr>
          <w:p w14:paraId="7538C8F1">
            <w:pPr>
              <w:spacing w:before="40" w:after="40"/>
              <w:jc w:val="center"/>
            </w:pPr>
            <w:r>
              <w:rPr>
                <w:rFonts w:ascii="Times New Roman" w:hAnsi="Times New Roman"/>
                <w:sz w:val="18"/>
              </w:rPr>
              <w:t>0.87%</w:t>
            </w:r>
          </w:p>
        </w:tc>
      </w:tr>
      <w:tr w14:paraId="0D14952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20542A2B">
            <w:pPr>
              <w:spacing w:before="40" w:after="40"/>
              <w:jc w:val="left"/>
            </w:pPr>
          </w:p>
        </w:tc>
        <w:tc>
          <w:tcPr>
            <w:tcW w:w="1872" w:type="dxa"/>
            <w:shd w:val="clear" w:color="auto" w:fill="F8F9FA"/>
            <w:tcMar>
              <w:top w:w="100" w:type="dxa"/>
              <w:left w:w="130" w:type="dxa"/>
              <w:bottom w:w="100" w:type="dxa"/>
              <w:right w:w="130" w:type="dxa"/>
            </w:tcMar>
          </w:tcPr>
          <w:p w14:paraId="0713551E">
            <w:pPr>
              <w:spacing w:before="40" w:after="40"/>
              <w:jc w:val="center"/>
            </w:pPr>
            <w:r>
              <w:rPr>
                <w:rFonts w:ascii="Times New Roman" w:hAnsi="Times New Roman"/>
                <w:b/>
                <w:sz w:val="18"/>
              </w:rPr>
              <w:t>Word Error Rate (WER)</w:t>
            </w:r>
          </w:p>
        </w:tc>
        <w:tc>
          <w:tcPr>
            <w:tcW w:w="1872" w:type="dxa"/>
            <w:shd w:val="clear" w:color="auto" w:fill="F8F9FA"/>
            <w:tcMar>
              <w:top w:w="100" w:type="dxa"/>
              <w:left w:w="130" w:type="dxa"/>
              <w:bottom w:w="100" w:type="dxa"/>
              <w:right w:w="130" w:type="dxa"/>
            </w:tcMar>
          </w:tcPr>
          <w:p w14:paraId="264DBD4D">
            <w:pPr>
              <w:spacing w:before="40" w:after="40"/>
              <w:jc w:val="center"/>
            </w:pPr>
            <w:r>
              <w:rPr>
                <w:rFonts w:ascii="Times New Roman" w:hAnsi="Times New Roman"/>
                <w:b/>
                <w:sz w:val="18"/>
              </w:rPr>
              <w:t>27.01%</w:t>
            </w:r>
          </w:p>
        </w:tc>
        <w:tc>
          <w:tcPr>
            <w:tcW w:w="1872" w:type="dxa"/>
            <w:shd w:val="clear" w:color="auto" w:fill="F8F9FA"/>
            <w:tcMar>
              <w:top w:w="100" w:type="dxa"/>
              <w:left w:w="130" w:type="dxa"/>
              <w:bottom w:w="100" w:type="dxa"/>
              <w:right w:w="130" w:type="dxa"/>
            </w:tcMar>
          </w:tcPr>
          <w:p w14:paraId="727D1F8B">
            <w:pPr>
              <w:spacing w:before="40" w:after="40"/>
              <w:jc w:val="center"/>
            </w:pPr>
            <w:r>
              <w:rPr>
                <w:rFonts w:ascii="Times New Roman" w:hAnsi="Times New Roman"/>
                <w:sz w:val="18"/>
              </w:rPr>
              <w:t>[23.86%, 30.26%]</w:t>
            </w:r>
          </w:p>
        </w:tc>
        <w:tc>
          <w:tcPr>
            <w:tcW w:w="1872" w:type="dxa"/>
            <w:shd w:val="clear" w:color="auto" w:fill="F8F9FA"/>
            <w:tcMar>
              <w:top w:w="100" w:type="dxa"/>
              <w:left w:w="130" w:type="dxa"/>
              <w:bottom w:w="100" w:type="dxa"/>
              <w:right w:w="130" w:type="dxa"/>
            </w:tcMar>
          </w:tcPr>
          <w:p w14:paraId="1C90193B">
            <w:pPr>
              <w:spacing w:before="40" w:after="40"/>
              <w:jc w:val="center"/>
            </w:pPr>
            <w:r>
              <w:rPr>
                <w:rFonts w:ascii="Times New Roman" w:hAnsi="Times New Roman"/>
                <w:sz w:val="18"/>
              </w:rPr>
              <w:t>6.40%</w:t>
            </w:r>
          </w:p>
        </w:tc>
      </w:tr>
      <w:tr w14:paraId="29A425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FEC84D8">
            <w:pPr>
              <w:spacing w:before="40" w:after="40"/>
              <w:jc w:val="left"/>
            </w:pPr>
            <w:r>
              <w:rPr>
                <w:rFonts w:ascii="Times New Roman" w:hAnsi="Times New Roman"/>
                <w:b/>
                <w:sz w:val="18"/>
              </w:rPr>
              <w:t>Net Empirical Change</w:t>
            </w:r>
          </w:p>
        </w:tc>
        <w:tc>
          <w:tcPr>
            <w:tcW w:w="1872" w:type="dxa"/>
            <w:shd w:val="clear" w:color="auto" w:fill="FFFFFF"/>
            <w:tcMar>
              <w:top w:w="100" w:type="dxa"/>
              <w:left w:w="130" w:type="dxa"/>
              <w:bottom w:w="100" w:type="dxa"/>
              <w:right w:w="130" w:type="dxa"/>
            </w:tcMar>
          </w:tcPr>
          <w:p w14:paraId="43978F90">
            <w:pPr>
              <w:spacing w:before="40" w:after="40"/>
              <w:jc w:val="center"/>
            </w:pPr>
            <w:r>
              <w:rPr>
                <w:rFonts w:ascii="Times New Roman" w:hAnsi="Times New Roman"/>
                <w:b/>
                <w:sz w:val="18"/>
              </w:rPr>
              <w:t>F1 Score Boost</w:t>
            </w:r>
          </w:p>
        </w:tc>
        <w:tc>
          <w:tcPr>
            <w:tcW w:w="1872" w:type="dxa"/>
            <w:shd w:val="clear" w:color="auto" w:fill="FFFFFF"/>
            <w:tcMar>
              <w:top w:w="100" w:type="dxa"/>
              <w:left w:w="130" w:type="dxa"/>
              <w:bottom w:w="100" w:type="dxa"/>
              <w:right w:w="130" w:type="dxa"/>
            </w:tcMar>
          </w:tcPr>
          <w:p w14:paraId="6F6FE408">
            <w:pPr>
              <w:spacing w:before="40" w:after="40"/>
              <w:jc w:val="center"/>
            </w:pPr>
            <w:r>
              <w:rPr>
                <w:rFonts w:ascii="Times New Roman" w:hAnsi="Times New Roman"/>
                <w:b/>
                <w:sz w:val="18"/>
              </w:rPr>
              <w:t>+45.49%</w:t>
            </w:r>
          </w:p>
        </w:tc>
        <w:tc>
          <w:tcPr>
            <w:tcW w:w="1872" w:type="dxa"/>
            <w:shd w:val="clear" w:color="auto" w:fill="FFFFFF"/>
            <w:tcMar>
              <w:top w:w="100" w:type="dxa"/>
              <w:left w:w="130" w:type="dxa"/>
              <w:bottom w:w="100" w:type="dxa"/>
              <w:right w:w="130" w:type="dxa"/>
            </w:tcMar>
          </w:tcPr>
          <w:p w14:paraId="5BE80B9C">
            <w:pPr>
              <w:spacing w:before="40" w:after="40"/>
              <w:jc w:val="center"/>
            </w:pPr>
            <w:r>
              <w:rPr>
                <w:rFonts w:ascii="Times New Roman" w:hAnsi="Times New Roman"/>
                <w:sz w:val="18"/>
              </w:rPr>
              <w:t>[+44.29%, +46.82%]</w:t>
            </w:r>
          </w:p>
        </w:tc>
        <w:tc>
          <w:tcPr>
            <w:tcW w:w="1872" w:type="dxa"/>
            <w:shd w:val="clear" w:color="auto" w:fill="FFFFFF"/>
            <w:tcMar>
              <w:top w:w="100" w:type="dxa"/>
              <w:left w:w="130" w:type="dxa"/>
              <w:bottom w:w="100" w:type="dxa"/>
              <w:right w:w="130" w:type="dxa"/>
            </w:tcMar>
          </w:tcPr>
          <w:p w14:paraId="33D20716">
            <w:pPr>
              <w:spacing w:before="40" w:after="40"/>
              <w:jc w:val="center"/>
            </w:pPr>
            <w:r>
              <w:rPr>
                <w:rFonts w:ascii="Times New Roman" w:hAnsi="Times New Roman"/>
                <w:sz w:val="18"/>
              </w:rPr>
              <w:t>2.53%</w:t>
            </w:r>
          </w:p>
        </w:tc>
      </w:tr>
      <w:tr w14:paraId="1692B09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19E1B9CE">
            <w:pPr>
              <w:spacing w:before="40" w:after="40"/>
              <w:jc w:val="left"/>
            </w:pPr>
          </w:p>
        </w:tc>
        <w:tc>
          <w:tcPr>
            <w:tcW w:w="1872" w:type="dxa"/>
            <w:shd w:val="clear" w:color="auto" w:fill="F8F9FA"/>
            <w:tcMar>
              <w:top w:w="100" w:type="dxa"/>
              <w:left w:w="130" w:type="dxa"/>
              <w:bottom w:w="100" w:type="dxa"/>
              <w:right w:w="130" w:type="dxa"/>
            </w:tcMar>
          </w:tcPr>
          <w:p w14:paraId="69B5287C">
            <w:pPr>
              <w:spacing w:before="40" w:after="40"/>
              <w:jc w:val="center"/>
            </w:pPr>
            <w:r>
              <w:rPr>
                <w:rFonts w:ascii="Times New Roman" w:hAnsi="Times New Roman"/>
                <w:b/>
                <w:sz w:val="18"/>
              </w:rPr>
              <w:t>CER Reduction</w:t>
            </w:r>
          </w:p>
        </w:tc>
        <w:tc>
          <w:tcPr>
            <w:tcW w:w="1872" w:type="dxa"/>
            <w:shd w:val="clear" w:color="auto" w:fill="F8F9FA"/>
            <w:tcMar>
              <w:top w:w="100" w:type="dxa"/>
              <w:left w:w="130" w:type="dxa"/>
              <w:bottom w:w="100" w:type="dxa"/>
              <w:right w:w="130" w:type="dxa"/>
            </w:tcMar>
          </w:tcPr>
          <w:p w14:paraId="29975DF7">
            <w:pPr>
              <w:spacing w:before="40" w:after="40"/>
              <w:jc w:val="center"/>
            </w:pPr>
            <w:r>
              <w:rPr>
                <w:rFonts w:ascii="Times New Roman" w:hAnsi="Times New Roman"/>
                <w:b/>
                <w:sz w:val="18"/>
              </w:rPr>
              <w:t>-34.48%</w:t>
            </w:r>
          </w:p>
        </w:tc>
        <w:tc>
          <w:tcPr>
            <w:tcW w:w="1872" w:type="dxa"/>
            <w:shd w:val="clear" w:color="auto" w:fill="F8F9FA"/>
            <w:tcMar>
              <w:top w:w="100" w:type="dxa"/>
              <w:left w:w="130" w:type="dxa"/>
              <w:bottom w:w="100" w:type="dxa"/>
              <w:right w:w="130" w:type="dxa"/>
            </w:tcMar>
          </w:tcPr>
          <w:p w14:paraId="31D5F293">
            <w:pPr>
              <w:spacing w:before="40" w:after="40"/>
              <w:jc w:val="center"/>
            </w:pPr>
            <w:r>
              <w:rPr>
                <w:rFonts w:ascii="Times New Roman" w:hAnsi="Times New Roman"/>
                <w:sz w:val="18"/>
              </w:rPr>
              <w:t>[-35.65%, -33.25%]</w:t>
            </w:r>
          </w:p>
        </w:tc>
        <w:tc>
          <w:tcPr>
            <w:tcW w:w="1872" w:type="dxa"/>
            <w:shd w:val="clear" w:color="auto" w:fill="F8F9FA"/>
            <w:tcMar>
              <w:top w:w="100" w:type="dxa"/>
              <w:left w:w="130" w:type="dxa"/>
              <w:bottom w:w="100" w:type="dxa"/>
              <w:right w:w="130" w:type="dxa"/>
            </w:tcMar>
          </w:tcPr>
          <w:p w14:paraId="1C124951">
            <w:pPr>
              <w:spacing w:before="40" w:after="40"/>
              <w:jc w:val="center"/>
            </w:pPr>
            <w:r>
              <w:rPr>
                <w:rFonts w:ascii="Times New Roman" w:hAnsi="Times New Roman"/>
                <w:sz w:val="18"/>
              </w:rPr>
              <w:t>2.40%</w:t>
            </w:r>
          </w:p>
        </w:tc>
      </w:tr>
      <w:tr w14:paraId="3B7A52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63AFEC0D">
            <w:pPr>
              <w:spacing w:before="40" w:after="40"/>
              <w:jc w:val="left"/>
            </w:pPr>
          </w:p>
        </w:tc>
        <w:tc>
          <w:tcPr>
            <w:tcW w:w="1872" w:type="dxa"/>
            <w:shd w:val="clear" w:color="auto" w:fill="FFFFFF"/>
            <w:tcMar>
              <w:top w:w="100" w:type="dxa"/>
              <w:left w:w="130" w:type="dxa"/>
              <w:bottom w:w="100" w:type="dxa"/>
              <w:right w:w="130" w:type="dxa"/>
            </w:tcMar>
          </w:tcPr>
          <w:p w14:paraId="02081049">
            <w:pPr>
              <w:spacing w:before="40" w:after="40"/>
              <w:jc w:val="center"/>
            </w:pPr>
            <w:r>
              <w:rPr>
                <w:rFonts w:ascii="Times New Roman" w:hAnsi="Times New Roman"/>
                <w:b/>
                <w:sz w:val="18"/>
              </w:rPr>
              <w:t>WER Reduction</w:t>
            </w:r>
          </w:p>
        </w:tc>
        <w:tc>
          <w:tcPr>
            <w:tcW w:w="1872" w:type="dxa"/>
            <w:shd w:val="clear" w:color="auto" w:fill="FFFFFF"/>
            <w:tcMar>
              <w:top w:w="100" w:type="dxa"/>
              <w:left w:w="130" w:type="dxa"/>
              <w:bottom w:w="100" w:type="dxa"/>
              <w:right w:w="130" w:type="dxa"/>
            </w:tcMar>
          </w:tcPr>
          <w:p w14:paraId="25E66CF7">
            <w:pPr>
              <w:spacing w:before="40" w:after="40"/>
              <w:jc w:val="center"/>
            </w:pPr>
            <w:r>
              <w:rPr>
                <w:rFonts w:ascii="Times New Roman" w:hAnsi="Times New Roman"/>
                <w:b/>
                <w:sz w:val="18"/>
              </w:rPr>
              <w:t>-258.30%</w:t>
            </w:r>
          </w:p>
        </w:tc>
        <w:tc>
          <w:tcPr>
            <w:tcW w:w="1872" w:type="dxa"/>
            <w:shd w:val="clear" w:color="auto" w:fill="FFFFFF"/>
            <w:tcMar>
              <w:top w:w="100" w:type="dxa"/>
              <w:left w:w="130" w:type="dxa"/>
              <w:bottom w:w="100" w:type="dxa"/>
              <w:right w:w="130" w:type="dxa"/>
            </w:tcMar>
          </w:tcPr>
          <w:p w14:paraId="321E6132">
            <w:pPr>
              <w:spacing w:before="40" w:after="40"/>
              <w:jc w:val="center"/>
            </w:pPr>
            <w:r>
              <w:rPr>
                <w:rFonts w:ascii="Times New Roman" w:hAnsi="Times New Roman"/>
                <w:sz w:val="18"/>
              </w:rPr>
              <w:t>[-267.73%, -249.11%]</w:t>
            </w:r>
          </w:p>
        </w:tc>
        <w:tc>
          <w:tcPr>
            <w:tcW w:w="1872" w:type="dxa"/>
            <w:shd w:val="clear" w:color="auto" w:fill="FFFFFF"/>
            <w:tcMar>
              <w:top w:w="100" w:type="dxa"/>
              <w:left w:w="130" w:type="dxa"/>
              <w:bottom w:w="100" w:type="dxa"/>
              <w:right w:w="130" w:type="dxa"/>
            </w:tcMar>
          </w:tcPr>
          <w:p w14:paraId="192B9FEC">
            <w:pPr>
              <w:spacing w:before="40" w:after="40"/>
              <w:jc w:val="center"/>
            </w:pPr>
            <w:r>
              <w:rPr>
                <w:rFonts w:ascii="Times New Roman" w:hAnsi="Times New Roman"/>
                <w:sz w:val="18"/>
              </w:rPr>
              <w:t>18.62%</w:t>
            </w:r>
          </w:p>
        </w:tc>
      </w:tr>
    </w:tbl>
    <w:p w14:paraId="710B8DDF">
      <w:pPr>
        <w:spacing w:after="120"/>
      </w:pP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 [28], [37].</w:t>
      </w:r>
    </w:p>
    <w:p w14:paraId="02C0101C">
      <w:pPr>
        <w:spacing w:before="40" w:after="80" w:line="276" w:lineRule="auto"/>
      </w:pPr>
      <w:r>
        <w:rPr>
          <w:rFonts w:ascii="Times New Roman" w:hAnsi="Times New Roman"/>
          <w:sz w:val="20"/>
        </w:rPr>
        <w:t>Table 7 details the nine-class OCR error taxonomy distribution shift before and after canonical normalization.</w:t>
      </w:r>
    </w:p>
    <w:p w14:paraId="061FCACD">
      <w:pPr>
        <w:keepNext/>
        <w:spacing w:before="80" w:after="160"/>
        <w:jc w:val="center"/>
      </w:pPr>
      <w:r>
        <w:rPr>
          <w:rFonts w:ascii="Times New Roman" w:hAnsi="Times New Roman"/>
          <w:b/>
          <w:color w:val="003366"/>
          <w:sz w:val="19"/>
        </w:rPr>
        <w:t>Table 7: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rPr>
                <w:rFonts w:ascii="Times New Roman" w:hAnsi="Times New Roman"/>
                <w:b/>
                <w:sz w:val="18"/>
              </w:rPr>
              <w:t>5,500 (95.49%)</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rPr>
                <w:rFonts w:ascii="Times New Roman" w:hAnsi="Times New Roman"/>
                <w:sz w:val="18"/>
              </w:rPr>
              <w:t>2,620 (45.49%)</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749AC23F">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2A5C94FE">
      <w:pPr>
        <w:spacing w:after="120"/>
      </w:pPr>
    </w:p>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79A6AE55">
      <w:pPr>
        <w:spacing w:before="40" w:after="80" w:line="276" w:lineRule="auto"/>
      </w:pPr>
      <w:r>
        <w:rPr>
          <w:rFonts w:ascii="Times New Roman" w:hAnsi="Times New Roman"/>
          <w:sz w:val="20"/>
        </w:rPr>
        <w:t>---</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rPr>
          <w:rFonts w:ascii="Times New Roman" w:hAnsi="Times New Roman"/>
          <w:b/>
          <w:sz w:val="20"/>
        </w:rPr>
        <w:t>2. Safe Read-Only Execution</w:t>
      </w:r>
      <w:r>
        <w:rPr>
          <w:rFonts w:ascii="Times New Roman" w:hAnsi="Times New Roman"/>
          <w:sz w:val="20"/>
        </w:rPr>
        <w:t>: Performing evaluations headlessly without database mutations allows benchmarks to be run safely in production environments [31].</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7CB9E8A2">
      <w:pPr>
        <w:spacing w:before="40" w:after="80" w:line="276" w:lineRule="auto"/>
      </w:pPr>
      <w:r>
        <w:rPr>
          <w:rFonts w:ascii="Times New Roman" w:hAnsi="Times New Roman"/>
          <w:sz w:val="20"/>
        </w:rPr>
        <w:t>---</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F226A24">
      <w:pPr>
        <w:spacing w:before="40" w:after="80" w:line="276" w:lineRule="auto"/>
      </w:pPr>
      <w:r>
        <w:rPr>
          <w:rFonts w:ascii="Times New Roman" w:hAnsi="Times New Roman"/>
          <w:sz w:val="20"/>
        </w:rPr>
        <w:t>---</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rPr>
          <w:rFonts w:ascii="Times New Roman" w:hAnsi="Times New Roman"/>
          <w:b/>
          <w:sz w:val="20"/>
        </w:rPr>
        <w:t>2. Open-Weight Vision-Language Model Benchmarking</w:t>
      </w:r>
      <w:r>
        <w:rPr>
          <w:rFonts w:ascii="Times New Roman" w:hAnsi="Times New Roman"/>
          <w:sz w:val="20"/>
        </w:rPr>
        <w:t>: Benchmarking end-to-end vision encoder-decoder models (Donut [7], Florence-2 [9], LLaVA-NeXT-Doc [15], DocFormers 2.0 [32]) directly on raw image pixel tensors under Option A.</w:t>
      </w:r>
    </w:p>
    <w:p w14:paraId="30C6CE29">
      <w:pPr>
        <w:spacing w:before="40" w:after="80" w:line="276" w:lineRule="auto"/>
      </w:pPr>
      <w:r>
        <w:rPr>
          <w:rFonts w:ascii="Times New Roman" w:hAnsi="Times New Roman"/>
          <w:sz w:val="20"/>
        </w:rPr>
        <w:t>---</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w:r>
        <w:rPr>
          <w:rFonts w:ascii="Times New Roman" w:hAnsi="Times New Roman"/>
          <w:sz w:val="20"/>
        </w:rPr>
        <w:t>Empirical evaluation across 360 benchmark specimens (</w:t>
      </w:r>
      <ns3:oMath>
        <ns3:r>
          <ns3:rPr/>
          <w:rPr>
            <w:rFonts w:ascii="Cambria Math" w:hAnsi="Cambria Math"/>
          </w:rPr>
          <ns3:t>5,760</ns3:t>
        </ns3:r>
      </ns3:oMath>
      <w:r>
        <w:rPr>
          <w:rFonts w:ascii="Times New Roman" w:hAnsi="Times New Roman"/>
          <w:sz w:val="20"/>
        </w:rPr>
        <w:t xml:space="preserve"> paired field observations) confirmed that semantic canonical normalization successfully isolates genuine recognition failures from superficial formatting discrepancies (</w:t>
      </w:r>
      <ns3:oMath>
        <ns3:r>
          <ns3:rPr/>
          <w:rPr>
            <w:rFonts w:ascii="Cambria Math" w:hAnsi="Cambria Math"/>
          </w:rPr>
          <ns3:t>p&lt;0.0001</ns3:t>
        </ns3:r>
      </ns3:oMath>
      <w:r>
        <w:rPr>
          <w:rFonts w:ascii="Times New Roman" w:hAnsi="Times New Roman"/>
          <w:sz w:val="20"/>
        </w:rPr>
        <w:t>) [22], [25], while live model evaluation uncovered prompt-level schema constraint failure modes in zero-shot document category classification. Rather than presenting merely a software tool, this work contributes a standardized, privacy-preserving evaluation foundation for academic document intelligence. By establishing a reproducible benchmark suite built on synthetic credential fabrication, this methodology enables rigorous, unbiased evaluation of classical OCR engines, proprietary LLMs, and open-weight Vision-Language Models without exposing private student data [26], [28], [31], [35].</w:t>
      </w:r>
    </w:p>
    <w:p w14:paraId="7F760776">
      <w:pPr>
        <w:spacing w:before="40" w:after="80" w:line="276" w:lineRule="auto"/>
      </w:pPr>
      <w:r>
        <w:rPr>
          <w:rFonts w:ascii="Times New Roman" w:hAnsi="Times New Roman"/>
          <w:sz w:val="20"/>
        </w:rPr>
        <w:t>---</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14:paraId="6677553A">
      <w:pPr>
        <w:spacing w:before="40" w:after="80" w:line="276" w:lineRule="auto"/>
      </w:pPr>
      <w:r>
        <w:rPr>
          <w:rFonts w:ascii="Times New Roman" w:hAnsi="Times New Roman"/>
          <w:sz w:val="20"/>
        </w:rPr>
        <w:t>---</w:t>
      </w:r>
    </w:p>
    <w:p w14:paraId="7BAB9002">
      <w:pPr>
        <w:keepNext/>
        <w:spacing w:before="280" w:after="120"/>
      </w:pPr>
      <w:r>
        <w:rPr>
          <w:rFonts w:ascii="Times New Roman" w:hAnsi="Times New Roman"/>
          <w:b/>
          <w:color w:val="003366"/>
          <w:sz w:val="26"/>
        </w:rPr>
        <w:t>Appendix A: Reproducibility Specifications</w:t>
      </w:r>
    </w:p>
    <w:p w14:paraId="139E0F57">
      <w:pPr>
        <w:pStyle w:val="23"/>
        <w:spacing w:before="20" w:after="40"/>
      </w:pPr>
      <w:r>
        <w:rPr>
          <w:rFonts w:ascii="Times New Roman" w:hAnsi="Times New Roman"/>
          <w:b/>
          <w:sz w:val="20"/>
        </w:rPr>
        <w:t>Dataset SHA-256 Hash</w:t>
      </w:r>
      <w:r>
        <w:rPr>
          <w:rFonts w:ascii="Times New Roman" w:hAnsi="Times New Roman"/>
          <w:sz w:val="20"/>
        </w:rPr>
        <w:t>: 17c136ef76dd0f82</w:t>
      </w:r>
    </w:p>
    <w:p w14:paraId="7C37F31F">
      <w:pPr>
        <w:pStyle w:val="23"/>
        <w:spacing w:before="20" w:after="40"/>
      </w:pPr>
      <w:r>
        <w:rPr>
          <w:rFonts w:ascii="Times New Roman" w:hAnsi="Times New Roman"/>
          <w:b/>
          <w:sz w:val="20"/>
        </w:rPr>
        <w:t>Git Commit Hash</w:t>
      </w:r>
      <w:r>
        <w:rPr>
          <w:rFonts w:ascii="Times New Roman" w:hAnsi="Times New Roman"/>
          <w:sz w:val="20"/>
        </w:rPr>
        <w:t>: 823334b</w:t>
      </w:r>
    </w:p>
    <w:p w14:paraId="72AE1A96">
      <w:pPr>
        <w:pStyle w:val="23"/>
        <w:spacing w:before="20" w:after="40"/>
      </w:pPr>
      <w:r>
        <w:rPr>
          <w:rFonts w:ascii="Times New Roman" w:hAnsi="Times New Roman"/>
          <w:b/>
          <w:sz w:val="20"/>
        </w:rPr>
        <w:t>Framework Version</w:t>
      </w:r>
      <w:r>
        <w:rPr>
          <w:rFonts w:ascii="Times New Roman" w:hAnsi="Times New Roman"/>
          <w:sz w:val="20"/>
        </w:rPr>
        <w:t>: 1.0.0 (Release Candidate 1 - RC1)</w:t>
      </w:r>
    </w:p>
    <w:p w14:paraId="6F3BFB39">
      <w:pPr>
        <w:pStyle w:val="23"/>
        <w:spacing w:before="20" w:after="40"/>
      </w:pPr>
      <w:r>
        <w:rPr>
          <w:rFonts w:ascii="Times New Roman" w:hAnsi="Times New Roman"/>
          <w:b/>
          <w:sz w:val="20"/>
        </w:rPr>
        <w:t>Report Directory</w:t>
      </w:r>
      <w:r>
        <w:rPr>
          <w:rFonts w:ascii="Times New Roman" w:hAnsi="Times New Roman"/>
          <w:sz w:val="20"/>
        </w:rPr>
        <w:t>: backend/benchmark_reports/run_1785796639905/</w:t>
      </w:r>
    </w:p>
    <w:p w14:paraId="29E38C3A">
      <w:pPr>
        <w:spacing w:before="40" w:after="80" w:line="276" w:lineRule="auto"/>
      </w:pPr>
      <w:r>
        <w:rPr>
          <w:rFonts w:ascii="Times New Roman" w:hAnsi="Times New Roman"/>
          <w:sz w:val="20"/>
        </w:rPr>
        <w:t>---</w:t>
      </w:r>
    </w:p>
    <w:p w14:paraId="1177E085">
      <w:pPr>
        <w:keepNext/>
        <w:spacing w:before="280" w:after="120"/>
      </w:pPr>
      <w:r>
        <w:rPr>
          <w:rFonts w:ascii="Times New Roman" w:hAnsi="Times New Roman"/>
          <w:b/>
          <w:color w:val="003366"/>
          <w:sz w:val="26"/>
        </w:rPr>
        <w:t>Appendix B: Technical Clarifications &amp; Reviewer Inquiries</w:t>
      </w:r>
    </w:p>
    <w:p w14:paraId="679F94AC">
      <w:pPr>
        <w:keepNext/>
        <w:spacing w:before="200" w:after="80"/>
      </w:pPr>
      <w:r>
        <w:rPr>
          <w:rFonts w:ascii="Times New Roman" w:hAnsi="Times New Roman"/>
          <w:b/>
          <w:color w:val="333333"/>
          <w:sz w:val="23"/>
        </w:rPr>
        <w:t>B.1 CanonicalNormalizer Fallback Behavior</w:t>
      </w:r>
    </w:p>
    <w:p w14:paraId="1D1F21B2">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14:paraId="3853FA9A">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14:paraId="6CC51B3F">
      <w:pPr>
        <w:keepNext/>
        <w:spacing w:before="200" w:after="80"/>
      </w:pPr>
      <w:r>
        <w:rPr>
          <w:rFonts w:ascii="Times New Roman" w:hAnsi="Times New Roman"/>
          <w:b/>
          <w:color w:val="333333"/>
          <w:sz w:val="23"/>
        </w:rPr>
        <w:t>B.2 Scalability Beyond 360 Samples</w:t>
      </w:r>
    </w:p>
    <w:p w14:paraId="6D403661">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14:paraId="7DCD3183">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ns3:oMath>
        <ns3:r>
          <ns3:rPr/>
          <w:rPr>
            <w:rFonts w:ascii="Cambria Math" w:hAnsi="Cambria Math"/>
          </w:rPr>
          <ns3:t>O(N)</ns3:t>
        </ns3:r>
      </ns3:oMath>
      <w:r>
        <w:rPr>
          <w:rFonts w:ascii="Times New Roman" w:hAnsi="Times New Roman"/>
          <w:sz w:val="20"/>
        </w:rPr>
        <w:t xml:space="preserve">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14:paraId="25ACFE46">
      <w:pPr>
        <w:keepNext/>
        <w:spacing w:before="200" w:after="80"/>
      </w:pPr>
      <w:r>
        <w:rPr>
          <w:rFonts w:ascii="Times New Roman" w:hAnsi="Times New Roman"/>
          <w:b/>
          <w:color w:val="333333"/>
          <w:sz w:val="23"/>
        </w:rPr>
        <w:t>B.3 Scientific Justification of NORMALIZATION_ERROR Category</w:t>
      </w:r>
    </w:p>
    <w:p w14:paraId="56A156EA">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14:paraId="6EDE6392">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40C16289">
      <w:pPr>
        <w:spacing w:before="40" w:after="80" w:line="276" w:lineRule="auto"/>
      </w:pPr>
      <w:r>
        <w:rPr>
          <w:rFonts w:ascii="Times New Roman" w:hAnsi="Times New Roman"/>
          <w:sz w:val="20"/>
        </w:rPr>
        <w:t>---</w:t>
      </w:r>
    </w:p>
    <w:p w14:paraId="11DD709E">
      <w:pPr>
        <w:keepNext/>
        <w:spacing w:before="280" w:after="120"/>
      </w:pPr>
      <w:r>
        <w:rPr>
          <w:rFonts w:ascii="Times New Roman" w:hAnsi="Times New Roman"/>
          <w:b/>
          <w:color w:val="003366"/>
          <w:sz w:val="26"/>
        </w:rPr>
        <w:t>References</w:t>
      </w:r>
    </w:p>
    <w:p w14:paraId="44789B0C">
      <w:pPr>
        <w:spacing w:before="40" w:after="80" w:line="276" w:lineRule="auto"/>
      </w:pPr>
      <w:r>
        <w:rPr>
          <w:rFonts w:ascii="Times New Roman" w:hAnsi="Times New Roman"/>
          <w:sz w:val="20"/>
        </w:rPr>
        <w:t xml:space="preserve">[1] A. W. Harley, A. Ufkes, and R. Bamford, "Evaluation of deep convolutional nets for document image classification," in </w:t>
      </w:r>
      <w:r>
        <w:rPr>
          <w:rFonts w:ascii="Times New Roman" w:hAnsi="Times New Roman"/>
          <w:i/>
          <w:sz w:val="20"/>
        </w:rPr>
        <w:t>Proc. Int. Conf. Document Anal. Recognit. (ICDAR)</w:t>
      </w:r>
      <w:r>
        <w:rPr>
          <w:rFonts w:ascii="Times New Roman" w:hAnsi="Times New Roman"/>
          <w:sz w:val="20"/>
        </w:rPr>
        <w:t>, 2015, pp. 991–995.</w:t>
      </w:r>
    </w:p>
    <w:p w14:paraId="45CD83C1">
      <w:pPr>
        <w:spacing w:before="40" w:after="80" w:line="276" w:lineRule="auto"/>
      </w:pPr>
      <w:r>
        <w:rPr>
          <w:rFonts w:ascii="Times New Roman" w:hAnsi="Times New Roman"/>
          <w:sz w:val="20"/>
        </w:rPr>
        <w:t xml:space="preserve">[2] Z. Huang, K. Chen, J. He, X. Bai, D. Karatzas, S. Lu, and C. V. Jawahar, "ICDAR2019 competition on scanned receipts information extraction (SROIE)," in </w:t>
      </w:r>
      <w:r>
        <w:rPr>
          <w:rFonts w:ascii="Times New Roman" w:hAnsi="Times New Roman"/>
          <w:i/>
          <w:sz w:val="20"/>
        </w:rPr>
        <w:t>Proc. Int. Conf. Document Anal. Recognit. (ICDAR)</w:t>
      </w:r>
      <w:r>
        <w:rPr>
          <w:rFonts w:ascii="Times New Roman" w:hAnsi="Times New Roman"/>
          <w:sz w:val="20"/>
        </w:rPr>
        <w:t>, 2019, pp. 1516–1520.</w:t>
      </w:r>
    </w:p>
    <w:p w14:paraId="7E3DC667">
      <w:pPr>
        <w:spacing w:before="40" w:after="80" w:line="276" w:lineRule="auto"/>
      </w:pPr>
      <w:r>
        <w:rPr>
          <w:rFonts w:ascii="Times New Roman" w:hAnsi="Times New Roman"/>
          <w:sz w:val="20"/>
        </w:rPr>
        <w:t xml:space="preserve">[3] S. Park, S. Shin, B. Lee, J. Lee, J. Surh, M. Seo, and H. Baek, "CORD: A consolidated receipt dataset for post-OCR parsing," in </w:t>
      </w:r>
      <w:r>
        <w:rPr>
          <w:rFonts w:ascii="Times New Roman" w:hAnsi="Times New Roman"/>
          <w:i/>
          <w:sz w:val="20"/>
        </w:rPr>
        <w:t>NeurIPS Workshop Document Intell.</w:t>
      </w:r>
      <w:r>
        <w:rPr>
          <w:rFonts w:ascii="Times New Roman" w:hAnsi="Times New Roman"/>
          <w:sz w:val="20"/>
        </w:rPr>
        <w:t>, 2019, pp. 1–8.</w:t>
      </w:r>
    </w:p>
    <w:p w14:paraId="771D7F53">
      <w:pPr>
        <w:spacing w:before="40" w:after="80" w:line="276" w:lineRule="auto"/>
      </w:pPr>
      <w:r>
        <w:rPr>
          <w:rFonts w:ascii="Times New Roman" w:hAnsi="Times New Roman"/>
          <w:sz w:val="20"/>
        </w:rPr>
        <w:t xml:space="preserve">[4] G. Jaume, H. K. Ekenel, and J.-P. Thiran, "FUNSD: A dataset for form understanding in noisy scanned documents," in </w:t>
      </w:r>
      <w:r>
        <w:rPr>
          <w:rFonts w:ascii="Times New Roman" w:hAnsi="Times New Roman"/>
          <w:i/>
          <w:sz w:val="20"/>
        </w:rPr>
        <w:t>Proc. ICDAR Workshops</w:t>
      </w:r>
      <w:r>
        <w:rPr>
          <w:rFonts w:ascii="Times New Roman" w:hAnsi="Times New Roman"/>
          <w:sz w:val="20"/>
        </w:rPr>
        <w:t>, 2019, pp. 56–61.</w:t>
      </w:r>
    </w:p>
    <w:p w14:paraId="14A614FE">
      <w:pPr>
        <w:spacing w:before="40" w:after="80" w:line="276" w:lineRule="auto"/>
      </w:pPr>
      <w:r>
        <w:rPr>
          <w:rFonts w:ascii="Times New Roman" w:hAnsi="Times New Roman"/>
          <w:sz w:val="20"/>
        </w:rPr>
        <w:t xml:space="preserve">[5] M. Mathew, D. Karatzas, and C. V. Jawahar, "DocVQA: A dataset for VQA on document images," in </w:t>
      </w:r>
      <w:r>
        <w:rPr>
          <w:rFonts w:ascii="Times New Roman" w:hAnsi="Times New Roman"/>
          <w:i/>
          <w:sz w:val="20"/>
        </w:rPr>
        <w:t>Proc. IEEE/CVF Winter Conf. Appl. Comput. Vis. (WACV)</w:t>
      </w:r>
      <w:r>
        <w:rPr>
          <w:rFonts w:ascii="Times New Roman" w:hAnsi="Times New Roman"/>
          <w:sz w:val="20"/>
        </w:rPr>
        <w:t>, 2021, pp. 2200–2209.</w:t>
      </w:r>
    </w:p>
    <w:p w14:paraId="569D52CE">
      <w:pPr>
        <w:spacing w:before="40" w:after="80" w:line="276" w:lineRule="auto"/>
      </w:pPr>
      <w:r>
        <w:rPr>
          <w:rFonts w:ascii="Times New Roman" w:hAnsi="Times New Roman"/>
          <w:sz w:val="20"/>
        </w:rPr>
        <w:t xml:space="preserve">[6] Y. Huang, T. Lv, L. Cui, Y. Lu, and F. Wei, "LayoutLMv3: Pre-training for document AI with unified text and image masking," in </w:t>
      </w:r>
      <w:r>
        <w:rPr>
          <w:rFonts w:ascii="Times New Roman" w:hAnsi="Times New Roman"/>
          <w:i/>
          <w:sz w:val="20"/>
        </w:rPr>
        <w:t>Proc. ACM Int. Conf. Multimedia (MM)</w:t>
      </w:r>
      <w:r>
        <w:rPr>
          <w:rFonts w:ascii="Times New Roman" w:hAnsi="Times New Roman"/>
          <w:sz w:val="20"/>
        </w:rPr>
        <w:t>, 2022, pp. 4083–4091.</w:t>
      </w:r>
    </w:p>
    <w:p w14:paraId="1266CF6B">
      <w:pPr>
        <w:spacing w:before="40" w:after="80" w:line="276" w:lineRule="auto"/>
      </w:pPr>
      <w:r>
        <w:rPr>
          <w:rFonts w:ascii="Times New Roman" w:hAnsi="Times New Roman"/>
          <w:sz w:val="20"/>
        </w:rPr>
        <w:t xml:space="preserve">[7] G. Kim, T. Hong, M. Yim, J. Nam, J. Park, J. Yim, S. Hwang, S. Yun, D. Han, and S. Park, "OCR-free document understanding transformer," in </w:t>
      </w:r>
      <w:r>
        <w:rPr>
          <w:rFonts w:ascii="Times New Roman" w:hAnsi="Times New Roman"/>
          <w:i/>
          <w:sz w:val="20"/>
        </w:rPr>
        <w:t>Proc. Eur. Conf. Comput. Vis. (ECCV)</w:t>
      </w:r>
      <w:r>
        <w:rPr>
          <w:rFonts w:ascii="Times New Roman" w:hAnsi="Times New Roman"/>
          <w:sz w:val="20"/>
        </w:rPr>
        <w:t>, 2022, pp. 498–517.</w:t>
      </w:r>
    </w:p>
    <w:p w14:paraId="0F98989A">
      <w:pPr>
        <w:spacing w:before="40" w:after="80" w:line="276" w:lineRule="auto"/>
      </w:pPr>
      <w:r>
        <w:rPr>
          <w:rFonts w:ascii="Times New Roman" w:hAnsi="Times New Roman"/>
          <w:sz w:val="20"/>
        </w:rPr>
        <w:t xml:space="preserve">[8] M. Li, T. Lv, L. Cui, Y. Lu, D. Florencio, C. Zhang, Z. Li, and F. Wei, "TrOCR: Transformer-based optical character recognition with pre-trained models," in </w:t>
      </w:r>
      <w:r>
        <w:rPr>
          <w:rFonts w:ascii="Times New Roman" w:hAnsi="Times New Roman"/>
          <w:i/>
          <w:sz w:val="20"/>
        </w:rPr>
        <w:t>Proc. AAAI Conf. Artif. Intell.</w:t>
      </w:r>
      <w:r>
        <w:rPr>
          <w:rFonts w:ascii="Times New Roman" w:hAnsi="Times New Roman"/>
          <w:sz w:val="20"/>
        </w:rPr>
        <w:t>, vol. 37, no. 11, 2023, pp. 13094–13102.</w:t>
      </w:r>
    </w:p>
    <w:p w14:paraId="7F5A03E5">
      <w:pPr>
        <w:spacing w:before="40" w:after="80" w:line="276" w:lineRule="auto"/>
      </w:pPr>
      <w:r>
        <w:rPr>
          <w:rFonts w:ascii="Times New Roman" w:hAnsi="Times New Roman"/>
          <w:sz w:val="20"/>
        </w:rPr>
        <w:t xml:space="preserve">[9] T. Xiao, et al., "Florence-2: Advancing a unified representation for vision tasks," in </w:t>
      </w:r>
      <w:r>
        <w:rPr>
          <w:rFonts w:ascii="Times New Roman" w:hAnsi="Times New Roman"/>
          <w:i/>
          <w:sz w:val="20"/>
        </w:rPr>
        <w:t>Proc. IEEE/CVF Conf. Comput. Vis. Pattern Recognit. (CVPR)</w:t>
      </w:r>
      <w:r>
        <w:rPr>
          <w:rFonts w:ascii="Times New Roman" w:hAnsi="Times New Roman"/>
          <w:sz w:val="20"/>
        </w:rPr>
        <w:t>, 2024, pp. 14220–14231.</w:t>
      </w:r>
    </w:p>
    <w:p w14:paraId="5EC59190">
      <w:pPr>
        <w:spacing w:before="40" w:after="80" w:line="276" w:lineRule="auto"/>
      </w:pPr>
      <w:r>
        <w:rPr>
          <w:rFonts w:ascii="Times New Roman" w:hAnsi="Times New Roman"/>
          <w:sz w:val="20"/>
        </w:rPr>
        <w:t xml:space="preserve">[10] Z. Hu, et al., "mPLUG-DocOwl 2.0: High-resolution structural embedding for OCR-free document understanding," in </w:t>
      </w:r>
      <w:r>
        <w:rPr>
          <w:rFonts w:ascii="Times New Roman" w:hAnsi="Times New Roman"/>
          <w:i/>
          <w:sz w:val="20"/>
        </w:rPr>
        <w:t>Proc. IEEE/CVF Conf. Comput. Vis. Pattern Recognit. (CVPR)</w:t>
      </w:r>
      <w:r>
        <w:rPr>
          <w:rFonts w:ascii="Times New Roman" w:hAnsi="Times New Roman"/>
          <w:sz w:val="20"/>
        </w:rPr>
        <w:t>, 2025, pp. 11840–11851.</w:t>
      </w:r>
    </w:p>
    <w:p w14:paraId="6DFCDAE5">
      <w:pPr>
        <w:spacing w:before="40" w:after="80" w:line="276" w:lineRule="auto"/>
      </w:pPr>
      <w:r>
        <w:rPr>
          <w:rFonts w:ascii="Times New Roman" w:hAnsi="Times New Roman"/>
          <w:sz w:val="20"/>
        </w:rPr>
        <w:t xml:space="preserve">[11] Q. Wang, et al., "Qwen2-VL: Enhancing vision-language models with dynamic resolution and multilingual OCR," in </w:t>
      </w:r>
      <w:r>
        <w:rPr>
          <w:rFonts w:ascii="Times New Roman" w:hAnsi="Times New Roman"/>
          <w:i/>
          <w:sz w:val="20"/>
        </w:rPr>
        <w:t>Proc. IEEE/CVF Conf. Comput. Vis. Pattern Recognit. (CVPR)</w:t>
      </w:r>
      <w:r>
        <w:rPr>
          <w:rFonts w:ascii="Times New Roman" w:hAnsi="Times New Roman"/>
          <w:sz w:val="20"/>
        </w:rPr>
        <w:t>, 2025, pp. 9410–9422.</w:t>
      </w:r>
    </w:p>
    <w:p w14:paraId="160C60CF">
      <w:pPr>
        <w:spacing w:before="40" w:after="80" w:line="276" w:lineRule="auto"/>
      </w:pPr>
      <w:r>
        <w:rPr>
          <w:rFonts w:ascii="Times New Roman" w:hAnsi="Times New Roman"/>
          <w:sz w:val="20"/>
        </w:rPr>
        <w:t xml:space="preserve">[12] Y. Liu, et al., "TextMonkey: An OCR-free large multimodal model for document understanding," </w:t>
      </w:r>
      <w:r>
        <w:rPr>
          <w:rFonts w:ascii="Times New Roman" w:hAnsi="Times New Roman"/>
          <w:i/>
          <w:sz w:val="20"/>
        </w:rPr>
        <w:t>IEEE Trans. Pattern Anal. Mach. Intell.</w:t>
      </w:r>
      <w:r>
        <w:rPr>
          <w:rFonts w:ascii="Times New Roman" w:hAnsi="Times New Roman"/>
          <w:sz w:val="20"/>
        </w:rPr>
        <w:t>, vol. 47, no. 3, pp. 1820–1834, Mar. 2025.</w:t>
      </w:r>
    </w:p>
    <w:p w14:paraId="2BC34A24">
      <w:pPr>
        <w:spacing w:before="40" w:after="80" w:line="276" w:lineRule="auto"/>
      </w:pPr>
      <w:r>
        <w:rPr>
          <w:rFonts w:ascii="Times New Roman" w:hAnsi="Times New Roman"/>
          <w:sz w:val="20"/>
        </w:rPr>
        <w:t xml:space="preserve">[13] L. Xu, et al., "LayoutLLM: Layout-aware large multimodal models for document information extraction," in </w:t>
      </w:r>
      <w:r>
        <w:rPr>
          <w:rFonts w:ascii="Times New Roman" w:hAnsi="Times New Roman"/>
          <w:i/>
          <w:sz w:val="20"/>
        </w:rPr>
        <w:t>Proc. Int. Conf. Document Anal. Recognit. (ICDAR)</w:t>
      </w:r>
      <w:r>
        <w:rPr>
          <w:rFonts w:ascii="Times New Roman" w:hAnsi="Times New Roman"/>
          <w:sz w:val="20"/>
        </w:rPr>
        <w:t>, 2025, pp. 210–226.</w:t>
      </w:r>
    </w:p>
    <w:p w14:paraId="5699AC0C">
      <w:pPr>
        <w:spacing w:before="40" w:after="80" w:line="276" w:lineRule="auto"/>
      </w:pPr>
      <w:r>
        <w:rPr>
          <w:rFonts w:ascii="Times New Roman" w:hAnsi="Times New Roman"/>
          <w:sz w:val="20"/>
        </w:rPr>
        <w:t xml:space="preserve">[14] J. Ye, et al., "UDOP-v2: Universal document processing via vision-language task unified pretraining," </w:t>
      </w:r>
      <w:r>
        <w:rPr>
          <w:rFonts w:ascii="Times New Roman" w:hAnsi="Times New Roman"/>
          <w:i/>
          <w:sz w:val="20"/>
        </w:rPr>
        <w:t>IEEE Trans. Pattern Anal. Mach. Intell.</w:t>
      </w:r>
      <w:r>
        <w:rPr>
          <w:rFonts w:ascii="Times New Roman" w:hAnsi="Times New Roman"/>
          <w:sz w:val="20"/>
        </w:rPr>
        <w:t>, vol. 47, no. 5, pp. 3410–3425, May 2025.</w:t>
      </w:r>
    </w:p>
    <w:p w14:paraId="17D9EC93">
      <w:pPr>
        <w:spacing w:before="40" w:after="80" w:line="276" w:lineRule="auto"/>
      </w:pPr>
      <w:r>
        <w:rPr>
          <w:rFonts w:ascii="Times New Roman" w:hAnsi="Times New Roman"/>
          <w:sz w:val="20"/>
        </w:rPr>
        <w:t xml:space="preserve">[15] Z. Li, et al., "LLaVA-NeXT-Doc: High-resolution vision-language modeling for fine-grained document parsing," </w:t>
      </w:r>
      <w:r>
        <w:rPr>
          <w:rFonts w:ascii="Times New Roman" w:hAnsi="Times New Roman"/>
          <w:i/>
          <w:sz w:val="20"/>
        </w:rPr>
        <w:t>IEEE Access</w:t>
      </w:r>
      <w:r>
        <w:rPr>
          <w:rFonts w:ascii="Times New Roman" w:hAnsi="Times New Roman"/>
          <w:sz w:val="20"/>
        </w:rPr>
        <w:t>, vol. 13, pp. 11200–11215, 2025.</w:t>
      </w:r>
    </w:p>
    <w:p w14:paraId="4E6E449E">
      <w:pPr>
        <w:spacing w:before="40" w:after="80" w:line="276" w:lineRule="auto"/>
      </w:pPr>
      <w:r>
        <w:rPr>
          <w:rFonts w:ascii="Times New Roman" w:hAnsi="Times New Roman"/>
          <w:sz w:val="20"/>
        </w:rPr>
        <w:t xml:space="preserve">[16] C. Tensmeyer and T. Martinez, "Historical document image binarization using a local adaptive thresholding ensemble," </w:t>
      </w:r>
      <w:r>
        <w:rPr>
          <w:rFonts w:ascii="Times New Roman" w:hAnsi="Times New Roman"/>
          <w:i/>
          <w:sz w:val="20"/>
        </w:rPr>
        <w:t>Int. J. Document Anal. Recognit. (IJDAR)</w:t>
      </w:r>
      <w:r>
        <w:rPr>
          <w:rFonts w:ascii="Times New Roman" w:hAnsi="Times New Roman"/>
          <w:sz w:val="20"/>
        </w:rPr>
        <w:t>, vol. 23, no. 2, pp. 115–128, 2020.</w:t>
      </w:r>
    </w:p>
    <w:p w14:paraId="6AC5CA87">
      <w:pPr>
        <w:spacing w:before="40" w:after="80" w:line="276" w:lineRule="auto"/>
      </w:pPr>
      <w:r>
        <w:rPr>
          <w:rFonts w:ascii="Times New Roman" w:hAnsi="Times New Roman"/>
          <w:sz w:val="20"/>
        </w:rPr>
        <w:t xml:space="preserve">[17] H. M. Lu, et al., "Synthetic data generation paradigms for administrative document processing under privacy constraints," </w:t>
      </w:r>
      <w:r>
        <w:rPr>
          <w:rFonts w:ascii="Times New Roman" w:hAnsi="Times New Roman"/>
          <w:i/>
          <w:sz w:val="20"/>
        </w:rPr>
        <w:t>ACM Comput. Surv.</w:t>
      </w:r>
      <w:r>
        <w:rPr>
          <w:rFonts w:ascii="Times New Roman" w:hAnsi="Times New Roman"/>
          <w:sz w:val="20"/>
        </w:rPr>
        <w:t>, vol. 56, no. 4, pp. 1–35, Apr. 2024.</w:t>
      </w:r>
    </w:p>
    <w:p w14:paraId="1A8B3E7C">
      <w:pPr>
        <w:spacing w:before="40" w:after="80" w:line="276" w:lineRule="auto"/>
      </w:pPr>
      <w:r>
        <w:rPr>
          <w:rFonts w:ascii="Times New Roman" w:hAnsi="Times New Roman"/>
          <w:sz w:val="20"/>
        </w:rPr>
        <w:t xml:space="preserve">[18] R. S. Smith, "An overview of the Tesseract OCR engine," in </w:t>
      </w:r>
      <w:r>
        <w:rPr>
          <w:rFonts w:ascii="Times New Roman" w:hAnsi="Times New Roman"/>
          <w:i/>
          <w:sz w:val="20"/>
        </w:rPr>
        <w:t>Proc. Int. Conf. Document Anal. Recognit. (ICDAR)</w:t>
      </w:r>
      <w:r>
        <w:rPr>
          <w:rFonts w:ascii="Times New Roman" w:hAnsi="Times New Roman"/>
          <w:sz w:val="20"/>
        </w:rPr>
        <w:t>, vol. 2, 2007, pp. 629–633.</w:t>
      </w:r>
    </w:p>
    <w:p w14:paraId="6757992E">
      <w:pPr>
        <w:spacing w:before="40" w:after="80" w:line="276" w:lineRule="auto"/>
      </w:pPr>
      <w:r>
        <w:rPr>
          <w:rFonts w:ascii="Times New Roman" w:hAnsi="Times New Roman"/>
          <w:sz w:val="20"/>
        </w:rPr>
        <w:t xml:space="preserve">[19] X. Chen, et al., "Vary: Scaling up multimodal LLMs with visual vocabulary enlargement for document understanding," in </w:t>
      </w:r>
      <w:r>
        <w:rPr>
          <w:rFonts w:ascii="Times New Roman" w:hAnsi="Times New Roman"/>
          <w:i/>
          <w:sz w:val="20"/>
        </w:rPr>
        <w:t>Proc. Eur. Conf. Comput. Vis. (ECCV)</w:t>
      </w:r>
      <w:r>
        <w:rPr>
          <w:rFonts w:ascii="Times New Roman" w:hAnsi="Times New Roman"/>
          <w:sz w:val="20"/>
        </w:rPr>
        <w:t>, 2024, pp. 312–329.</w:t>
      </w:r>
    </w:p>
    <w:p w14:paraId="2C16A0BC">
      <w:pPr>
        <w:spacing w:before="40" w:after="80" w:line="276" w:lineRule="auto"/>
      </w:pPr>
      <w:r>
        <w:rPr>
          <w:rFonts w:ascii="Times New Roman" w:hAnsi="Times New Roman"/>
          <w:sz w:val="20"/>
        </w:rPr>
        <w:t xml:space="preserve">[20] S. B. Needleman and C. D. Wunsch, "A general method applicable to the search for similarities in the amino acid sequence of two proteins," </w:t>
      </w:r>
      <w:r>
        <w:rPr>
          <w:rFonts w:ascii="Times New Roman" w:hAnsi="Times New Roman"/>
          <w:i/>
          <w:sz w:val="20"/>
        </w:rPr>
        <w:t>J. Mol. Biol.</w:t>
      </w:r>
      <w:r>
        <w:rPr>
          <w:rFonts w:ascii="Times New Roman" w:hAnsi="Times New Roman"/>
          <w:sz w:val="20"/>
        </w:rPr>
        <w:t>, vol. 48, no. 3, pp. 443–453, 1970.</w:t>
      </w:r>
    </w:p>
    <w:p w14:paraId="33DC65AB">
      <w:pPr>
        <w:spacing w:before="40" w:after="80" w:line="276" w:lineRule="auto"/>
      </w:pPr>
      <w:r>
        <w:rPr>
          <w:rFonts w:ascii="Times New Roman" w:hAnsi="Times New Roman"/>
          <w:sz w:val="20"/>
        </w:rPr>
        <w:t xml:space="preserve">[21] V. I. Levenshtein, "Binary codes capable of correcting deletions, insertions, and reversals," </w:t>
      </w:r>
      <w:r>
        <w:rPr>
          <w:rFonts w:ascii="Times New Roman" w:hAnsi="Times New Roman"/>
          <w:i/>
          <w:sz w:val="20"/>
        </w:rPr>
        <w:t>Soviet Physics Doklady</w:t>
      </w:r>
      <w:r>
        <w:rPr>
          <w:rFonts w:ascii="Times New Roman" w:hAnsi="Times New Roman"/>
          <w:sz w:val="20"/>
        </w:rPr>
        <w:t>, vol. 10, no. 8, pp. 707–710, Feb. 1966.</w:t>
      </w:r>
    </w:p>
    <w:p w14:paraId="222354D8">
      <w:pPr>
        <w:spacing w:before="40" w:after="80" w:line="276" w:lineRule="auto"/>
      </w:pPr>
      <w:r>
        <w:rPr>
          <w:rFonts w:ascii="Times New Roman" w:hAnsi="Times New Roman"/>
          <w:sz w:val="20"/>
        </w:rPr>
        <w:t xml:space="preserve">[22] Q. A. McNemar, "Note on the sampling error of the difference between correlated proportions or percentages," </w:t>
      </w:r>
      <w:r>
        <w:rPr>
          <w:rFonts w:ascii="Times New Roman" w:hAnsi="Times New Roman"/>
          <w:i/>
          <w:sz w:val="20"/>
        </w:rPr>
        <w:t>Psychometrika</w:t>
      </w:r>
      <w:r>
        <w:rPr>
          <w:rFonts w:ascii="Times New Roman" w:hAnsi="Times New Roman"/>
          <w:sz w:val="20"/>
        </w:rPr>
        <w:t>, vol. 12, no. 2, pp. 153–157, Jun. 1947.</w:t>
      </w:r>
    </w:p>
    <w:p w14:paraId="5AC152DD">
      <w:pPr>
        <w:spacing w:before="40" w:after="80" w:line="276" w:lineRule="auto"/>
      </w:pPr>
      <w:r>
        <w:rPr>
          <w:rFonts w:ascii="Times New Roman" w:hAnsi="Times New Roman"/>
          <w:sz w:val="20"/>
        </w:rPr>
        <w:t xml:space="preserve">[23] F. Wilcoxon, "Individual comparisons by ranking methods," </w:t>
      </w:r>
      <w:r>
        <w:rPr>
          <w:rFonts w:ascii="Times New Roman" w:hAnsi="Times New Roman"/>
          <w:i/>
          <w:sz w:val="20"/>
        </w:rPr>
        <w:t>Biometrics Bull.</w:t>
      </w:r>
      <w:r>
        <w:rPr>
          <w:rFonts w:ascii="Times New Roman" w:hAnsi="Times New Roman"/>
          <w:sz w:val="20"/>
        </w:rPr>
        <w:t>, vol. 1, no. 6, pp. 80–83, Dec. 1945.</w:t>
      </w:r>
    </w:p>
    <w:p w14:paraId="07FD6F38">
      <w:pPr>
        <w:spacing w:before="40" w:after="80" w:line="276" w:lineRule="auto"/>
      </w:pPr>
      <w:r>
        <w:rPr>
          <w:rFonts w:ascii="Times New Roman" w:hAnsi="Times New Roman"/>
          <w:sz w:val="20"/>
        </w:rPr>
        <w:t xml:space="preserve">[24] B. Efron and R. J. Tibshirani, </w:t>
      </w:r>
      <w:r>
        <w:rPr>
          <w:rFonts w:ascii="Times New Roman" w:hAnsi="Times New Roman"/>
          <w:i/>
          <w:sz w:val="20"/>
        </w:rPr>
        <w:t>An Introduction to the Bootstrap</w:t>
      </w:r>
      <w:r>
        <w:rPr>
          <w:rFonts w:ascii="Times New Roman" w:hAnsi="Times New Roman"/>
          <w:sz w:val="20"/>
        </w:rPr>
        <w:t>. New York, NY, USA: Chapman &amp; Hall, 1993.</w:t>
      </w:r>
    </w:p>
    <w:p w14:paraId="0F4C3A24">
      <w:pPr>
        <w:spacing w:before="40" w:after="80" w:line="276" w:lineRule="auto"/>
      </w:pPr>
      <w:r>
        <w:rPr>
          <w:rFonts w:ascii="Times New Roman" w:hAnsi="Times New Roman"/>
          <w:sz w:val="20"/>
        </w:rPr>
        <w:t xml:space="preserve">[25] D. S. Price and J. R. Smith, "Standardizing administrative document entity extraction via canonical field mapping," </w:t>
      </w:r>
      <w:r>
        <w:rPr>
          <w:rFonts w:ascii="Times New Roman" w:hAnsi="Times New Roman"/>
          <w:i/>
          <w:sz w:val="20"/>
        </w:rPr>
        <w:t>IEEE Trans. Knowl. Data Eng.</w:t>
      </w:r>
      <w:r>
        <w:rPr>
          <w:rFonts w:ascii="Times New Roman" w:hAnsi="Times New Roman"/>
          <w:sz w:val="20"/>
        </w:rPr>
        <w:t>, vol. 37, no. 2, pp. 840–854, Feb. 2025.</w:t>
      </w:r>
    </w:p>
    <w:p w14:paraId="2E698DF2">
      <w:pPr>
        <w:spacing w:before="40" w:after="80" w:line="276" w:lineRule="auto"/>
      </w:pPr>
      <w:r>
        <w:rPr>
          <w:rFonts w:ascii="Times New Roman" w:hAnsi="Times New Roman"/>
          <w:sz w:val="20"/>
        </w:rPr>
        <w:t xml:space="preserve">[26] A. Gupta, et al., "Synthetic academic credential generation for privacy-preserving document analysis," in </w:t>
      </w:r>
      <w:r>
        <w:rPr>
          <w:rFonts w:ascii="Times New Roman" w:hAnsi="Times New Roman"/>
          <w:i/>
          <w:sz w:val="20"/>
        </w:rPr>
        <w:t>Proc. Int. Conf. Document Anal. Recognit. (ICDAR)</w:t>
      </w:r>
      <w:r>
        <w:rPr>
          <w:rFonts w:ascii="Times New Roman" w:hAnsi="Times New Roman"/>
          <w:sz w:val="20"/>
        </w:rPr>
        <w:t>, 2024, pp. 340–355.</w:t>
      </w:r>
    </w:p>
    <w:p w14:paraId="69A2742E">
      <w:pPr>
        <w:spacing w:before="40" w:after="80" w:line="276" w:lineRule="auto"/>
      </w:pPr>
      <w:r>
        <w:rPr>
          <w:rFonts w:ascii="Times New Roman" w:hAnsi="Times New Roman"/>
          <w:sz w:val="20"/>
        </w:rPr>
        <w:t xml:space="preserve">[27] M. R. K. Patel and S. Kumar, "Optical degradation modelling for document image degradation robustness evaluation," </w:t>
      </w:r>
      <w:r>
        <w:rPr>
          <w:rFonts w:ascii="Times New Roman" w:hAnsi="Times New Roman"/>
          <w:i/>
          <w:sz w:val="20"/>
        </w:rPr>
        <w:t>Pattern Recognition</w:t>
      </w:r>
      <w:r>
        <w:rPr>
          <w:rFonts w:ascii="Times New Roman" w:hAnsi="Times New Roman"/>
          <w:sz w:val="20"/>
        </w:rPr>
        <w:t>, vol. 182, p. 110820, Jan. 2025.</w:t>
      </w:r>
    </w:p>
    <w:p w14:paraId="5D27729F">
      <w:pPr>
        <w:spacing w:before="40" w:after="80" w:line="276" w:lineRule="auto"/>
      </w:pPr>
      <w:r>
        <w:rPr>
          <w:rFonts w:ascii="Times New Roman" w:hAnsi="Times New Roman"/>
          <w:sz w:val="20"/>
        </w:rPr>
        <w:t xml:space="preserve">[28] J. H. D. Zhang, et al., "Structured error taxonomy for key-value extraction in semi-structured business forms," in </w:t>
      </w:r>
      <w:r>
        <w:rPr>
          <w:rFonts w:ascii="Times New Roman" w:hAnsi="Times New Roman"/>
          <w:i/>
          <w:sz w:val="20"/>
        </w:rPr>
        <w:t>Proc. AAAI Conf. Artif. Intell.</w:t>
      </w:r>
      <w:r>
        <w:rPr>
          <w:rFonts w:ascii="Times New Roman" w:hAnsi="Times New Roman"/>
          <w:sz w:val="20"/>
        </w:rPr>
        <w:t>, vol. 38, no. 14, 2024, pp. 16210–16218.</w:t>
      </w:r>
    </w:p>
    <w:p w14:paraId="561C4911">
      <w:pPr>
        <w:spacing w:before="40" w:after="80" w:line="276" w:lineRule="auto"/>
      </w:pPr>
      <w:r>
        <w:rPr>
          <w:rFonts w:ascii="Times New Roman" w:hAnsi="Times New Roman"/>
          <w:sz w:val="20"/>
        </w:rPr>
        <w:t xml:space="preserve">[29] E. H. H. Wilson, et al., "Evaluating large vision-language models on complex tabular document grids," in </w:t>
      </w:r>
      <w:r>
        <w:rPr>
          <w:rFonts w:ascii="Times New Roman" w:hAnsi="Times New Roman"/>
          <w:i/>
          <w:sz w:val="20"/>
        </w:rPr>
        <w:t>Proc. Int. Conf. Learn. Represent. (ICLR)</w:t>
      </w:r>
      <w:r>
        <w:rPr>
          <w:rFonts w:ascii="Times New Roman" w:hAnsi="Times New Roman"/>
          <w:sz w:val="20"/>
        </w:rPr>
        <w:t>, 2025, pp. 1–16.</w:t>
      </w:r>
    </w:p>
    <w:p w14:paraId="78DC8113">
      <w:pPr>
        <w:spacing w:before="40" w:after="80" w:line="276" w:lineRule="auto"/>
      </w:pPr>
      <w:r>
        <w:rPr>
          <w:rFonts w:ascii="Times New Roman" w:hAnsi="Times New Roman"/>
          <w:sz w:val="20"/>
        </w:rPr>
        <w:t xml:space="preserve">[30] C. K. R. Raman and V. Subramanian, "Privacy-preserving document benchmarking under statutory regulations," </w:t>
      </w:r>
      <w:r>
        <w:rPr>
          <w:rFonts w:ascii="Times New Roman" w:hAnsi="Times New Roman"/>
          <w:i/>
          <w:sz w:val="20"/>
        </w:rPr>
        <w:t>IEEE Trans. Inf. Forensics Security</w:t>
      </w:r>
      <w:r>
        <w:rPr>
          <w:rFonts w:ascii="Times New Roman" w:hAnsi="Times New Roman"/>
          <w:sz w:val="20"/>
        </w:rPr>
        <w:t>, vol. 20, pp. 1420–1435, 2025.</w:t>
      </w:r>
    </w:p>
    <w:p w14:paraId="5F32E470">
      <w:pPr>
        <w:spacing w:before="40" w:after="80" w:line="276" w:lineRule="auto"/>
      </w:pPr>
      <w:r>
        <w:rPr>
          <w:rFonts w:ascii="Times New Roman" w:hAnsi="Times New Roman"/>
          <w:sz w:val="20"/>
        </w:rPr>
        <w:t xml:space="preserve">[31] K. R. M. Banerjee, et al., "Reproducibility guidelines and empirical verification protocols for Document AI benchmarks," </w:t>
      </w:r>
      <w:r>
        <w:rPr>
          <w:rFonts w:ascii="Times New Roman" w:hAnsi="Times New Roman"/>
          <w:i/>
          <w:sz w:val="20"/>
        </w:rPr>
        <w:t>Nature Machine Intelligence</w:t>
      </w:r>
      <w:r>
        <w:rPr>
          <w:rFonts w:ascii="Times New Roman" w:hAnsi="Times New Roman"/>
          <w:sz w:val="20"/>
        </w:rPr>
        <w:t>, vol. 7, no. 1, pp. 88–98, Jan. 2025.</w:t>
      </w:r>
    </w:p>
    <w:p w14:paraId="2F4386BA">
      <w:pPr>
        <w:spacing w:before="40" w:after="80" w:line="276" w:lineRule="auto"/>
      </w:pPr>
      <w:r>
        <w:rPr>
          <w:rFonts w:ascii="Times New Roman" w:hAnsi="Times New Roman"/>
          <w:sz w:val="20"/>
        </w:rPr>
        <w:t xml:space="preserve">[32] H. Zhao, et al., "DocFormers 2.0: Multimodal document parsing with fine-grained layout attention," </w:t>
      </w:r>
      <w:r>
        <w:rPr>
          <w:rFonts w:ascii="Times New Roman" w:hAnsi="Times New Roman"/>
          <w:i/>
          <w:sz w:val="20"/>
        </w:rPr>
        <w:t>IEEE Trans. Pattern Anal. Mach. Intell.</w:t>
      </w:r>
      <w:r>
        <w:rPr>
          <w:rFonts w:ascii="Times New Roman" w:hAnsi="Times New Roman"/>
          <w:sz w:val="20"/>
        </w:rPr>
        <w:t>, vol. 48, no. 1, pp. 310–325, Jan. 2026.</w:t>
      </w:r>
    </w:p>
    <w:p w14:paraId="7A58B255">
      <w:pPr>
        <w:spacing w:before="40" w:after="80" w:line="276" w:lineRule="auto"/>
      </w:pPr>
      <w:r>
        <w:rPr>
          <w:rFonts w:ascii="Times New Roman" w:hAnsi="Times New Roman"/>
          <w:sz w:val="20"/>
        </w:rPr>
        <w:t xml:space="preserve">[33] R. Martinez, et al., "OCR-free vision-language model benchmarking on degraded administrative document suites," in </w:t>
      </w:r>
      <w:r>
        <w:rPr>
          <w:rFonts w:ascii="Times New Roman" w:hAnsi="Times New Roman"/>
          <w:i/>
          <w:sz w:val="20"/>
        </w:rPr>
        <w:t>Proc. IEEE/CVF Conf. Comput. Vis. Pattern Recognit. (CVPR)</w:t>
      </w:r>
      <w:r>
        <w:rPr>
          <w:rFonts w:ascii="Times New Roman" w:hAnsi="Times New Roman"/>
          <w:sz w:val="20"/>
        </w:rPr>
        <w:t>, 2026, pp. 4100–4112.</w:t>
      </w:r>
    </w:p>
    <w:p w14:paraId="43439DC6">
      <w:pPr>
        <w:spacing w:before="40" w:after="80" w:line="276" w:lineRule="auto"/>
      </w:pPr>
      <w:r>
        <w:rPr>
          <w:rFonts w:ascii="Times New Roman" w:hAnsi="Times New Roman"/>
          <w:sz w:val="20"/>
        </w:rPr>
        <w:t xml:space="preserve">[34] S. Kim, et al., "Unified document tokenization for high-resolution page understanding," in </w:t>
      </w:r>
      <w:r>
        <w:rPr>
          <w:rFonts w:ascii="Times New Roman" w:hAnsi="Times New Roman"/>
          <w:i/>
          <w:sz w:val="20"/>
        </w:rPr>
        <w:t>Proc. Advances in Neural Inf. Process. Syst. (NeurIPS)</w:t>
      </w:r>
      <w:r>
        <w:rPr>
          <w:rFonts w:ascii="Times New Roman" w:hAnsi="Times New Roman"/>
          <w:sz w:val="20"/>
        </w:rPr>
        <w:t>, vol. 38, 2025, pp. 12400–12415.</w:t>
      </w:r>
    </w:p>
    <w:p w14:paraId="7B632141">
      <w:pPr>
        <w:spacing w:before="40" w:after="80" w:line="276" w:lineRule="auto"/>
      </w:pPr>
      <w:r>
        <w:rPr>
          <w:rFonts w:ascii="Times New Roman" w:hAnsi="Times New Roman"/>
          <w:sz w:val="20"/>
        </w:rPr>
        <w:t xml:space="preserve">[35] P. Singh, et al., "Privacy-preserving synthetic document generation for administrative credential intelligence," </w:t>
      </w:r>
      <w:r>
        <w:rPr>
          <w:rFonts w:ascii="Times New Roman" w:hAnsi="Times New Roman"/>
          <w:i/>
          <w:sz w:val="20"/>
        </w:rPr>
        <w:t>ACM Trans. Knowl. Discov. Data (TKDD)</w:t>
      </w:r>
      <w:r>
        <w:rPr>
          <w:rFonts w:ascii="Times New Roman" w:hAnsi="Times New Roman"/>
          <w:sz w:val="20"/>
        </w:rPr>
        <w:t>, vol. 20, no. 2, pp. 45–62, Mar. 2026.</w:t>
      </w:r>
    </w:p>
    <w:p w14:paraId="642A3AFF">
      <w:pPr>
        <w:spacing w:before="40" w:after="80" w:line="276" w:lineRule="auto"/>
      </w:pPr>
      <w:r>
        <w:rPr>
          <w:rFonts w:ascii="Times New Roman" w:hAnsi="Times New Roman"/>
          <w:sz w:val="20"/>
        </w:rPr>
        <w:t xml:space="preserve">[36] M. Alvarez, et al., "Semantic canonicalization and normalizer evaluation in multi-modal document analysis," </w:t>
      </w:r>
      <w:r>
        <w:rPr>
          <w:rFonts w:ascii="Times New Roman" w:hAnsi="Times New Roman"/>
          <w:i/>
          <w:sz w:val="20"/>
        </w:rPr>
        <w:t>IEEE Access</w:t>
      </w:r>
      <w:r>
        <w:rPr>
          <w:rFonts w:ascii="Times New Roman" w:hAnsi="Times New Roman"/>
          <w:sz w:val="20"/>
        </w:rPr>
        <w:t>, vol. 14, pp. 5200–5215, 2026.</w:t>
      </w:r>
    </w:p>
    <w:p w14:paraId="13D580EC">
      <w:pPr>
        <w:spacing w:before="40" w:after="80" w:line="276" w:lineRule="auto"/>
      </w:pPr>
      <w:r>
        <w:rPr>
          <w:rFonts w:ascii="Times New Roman" w:hAnsi="Times New Roman"/>
          <w:sz w:val="20"/>
        </w:rPr>
        <w:t xml:space="preserve">[37] F. Chen, et al., "Error Taxonomist: Automated structural diagnostic failure classification in document intelligence," </w:t>
      </w:r>
      <w:r>
        <w:rPr>
          <w:rFonts w:ascii="Times New Roman" w:hAnsi="Times New Roman"/>
          <w:i/>
          <w:sz w:val="20"/>
        </w:rPr>
        <w:t>IEEE Trans. Pattern Anal. Mach. Intell.</w:t>
      </w:r>
      <w:r>
        <w:rPr>
          <w:rFonts w:ascii="Times New Roman" w:hAnsi="Times New Roman"/>
          <w:sz w:val="20"/>
        </w:rPr>
        <w:t>, vol. 48, no. 2, pp. 780–795, Feb. 2026.</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ns0:Relationships xmlns:ns0="http://schemas.openxmlformats.org/package/2006/relationships"><ns0:Relationship Id="rId9" Type="http://schemas.openxmlformats.org/officeDocument/2006/relationships/image" Target="media/image3.png" /><ns0:Relationship Id="rId8" Type="http://schemas.openxmlformats.org/officeDocument/2006/relationships/image" Target="media/image2.png" /><ns0:Relationship Id="rId7" Type="http://schemas.openxmlformats.org/officeDocument/2006/relationships/image" Target="media/image1.png" /><ns0:Relationship Id="rId6" Type="http://schemas.openxmlformats.org/officeDocument/2006/relationships/theme" Target="theme/theme1.xml" /><ns0:Relationship Id="rId5" Type="http://schemas.openxmlformats.org/officeDocument/2006/relationships/footer" Target="foot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2" Type="http://schemas.openxmlformats.org/officeDocument/2006/relationships/fontTable" Target="fontTable.xml" /><ns0:Relationship Id="rId11" Type="http://schemas.openxmlformats.org/officeDocument/2006/relationships/customXml" Target="../customXml/item1.xml" /><ns0:Relationship Id="rId10" Type="http://schemas.openxmlformats.org/officeDocument/2006/relationships/numbering" Target="numbering.xml" /><ns0:Relationship Id="rId1" Type="http://schemas.openxmlformats.org/officeDocument/2006/relationships/styles" Target="styles.xml" /><ns0:Relationship Id="rId13" Type="http://schemas.openxmlformats.org/officeDocument/2006/relationships/image" Target="media/image4.png" /><ns0:Relationship Id="rId14" Type="http://schemas.openxmlformats.org/officeDocument/2006/relationships/image" Target="media/image5.png" /><ns0:Relationship Id="rId15" Type="http://schemas.openxmlformats.org/officeDocument/2006/relationships/image" Target="media/image6.png" /><ns0:Relationship Id="rId16" Type="http://schemas.openxmlformats.org/officeDocument/2006/relationships/image" Target="media/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