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rPr>
          <w:rFonts w:ascii="Times New Roman" w:hAnsi="Times New Roman"/>
          <w:b/>
          <w:sz w:val="20"/>
        </w:rPr>
        <w:t>Authors</w:t>
      </w:r>
      <w:r>
        <w:rPr>
          <w:rFonts w:ascii="Times New Roman" w:hAnsi="Times New Roman"/>
          <w:sz w:val="20"/>
        </w:rPr>
        <w:t>: AU DIC Research Team</w:t>
      </w:r>
    </w:p>
    <w:p w14:paraId="39299AC9">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30DF3D25">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014C6355">
      <w:pPr>
        <w:spacing w:before="40" w:after="80" w:line="276" w:lineRule="auto"/>
      </w:pPr>
      <w:r>
        <w:rPr>
          <w:rFonts w:ascii="Times New Roman" w:hAnsi="Times New Roman"/>
          <w:sz w:val="20"/>
        </w:rPr>
        <w:t>---</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m:oMath>
        <m:r>
          <m:rPr/>
          <w:rPr>
            <w:rFonts w:ascii="Cambria Math" w:hAnsi="Cambria Math"/>
          </w:rPr>
          <m:t>3</m:t>
        </m:r>
        <m:r>
          <m:rPr/>
          <w:rPr>
            <w:rFonts w:ascii="Times New Roman" w:hAnsi="Times New Roman"/>
          </w:rPr>
          <m:t>categories</m:t>
        </m:r>
        <m:r>
          <m:rPr/>
          <w:rPr>
            <w:rFonts w:ascii="Cambria Math" w:hAnsi="Cambria Math"/>
          </w:rPr>
          <m:t>×30</m:t>
        </m:r>
        <m:r>
          <m:rPr/>
          <w:rPr>
            <w:rFonts w:ascii="Times New Roman" w:hAnsi="Times New Roman"/>
          </w:rPr>
          <m:t>instances</m:t>
        </m:r>
        <m:r>
          <m:rPr/>
          <w:rPr>
            <w:rFonts w:ascii="Cambria Math" w:hAnsi="Cambria Math"/>
          </w:rPr>
          <m:t>×4</m:t>
        </m:r>
        <m:r>
          <m:rPr/>
          <w:rPr>
            <w:rFonts w:ascii="Times New Roman" w:hAnsi="Times New Roman"/>
          </w:rPr>
          <m:t>degradation profiles</m:t>
        </m:r>
      </m:oMath>
      <w:r>
        <w:t xml:space="preserve">We evaluate the benchmark suite across 360 specimens (5,760 total field comparisons).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100.00% Field Extraction F1 score and 0.00% Character Error Rate (CER)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The current evaluation baseline employs a zero-shot text-prompted LLM (Option B); image-based VLM and OCR engine benchmarking under Option A is designated as immediate future work.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060AE78D">
      <w:pPr>
        <w:spacing w:before="40" w:after="80" w:line="276" w:lineRule="auto"/>
      </w:pPr>
      <w:r>
        <w:rPr>
          <w:rFonts w:ascii="Times New Roman" w:hAnsi="Times New Roman"/>
          <w:sz w:val="20"/>
        </w:rPr>
        <w:t>---</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 xml:space="preserve">5. Quality Profile Robustness Framework: A controlled optical quality-profile degradation matrix across four standardized profiles (clean, scanner_copy, mobile_camera, rotated_90) [27], [30], [33], designed to quantify extraction decay in image-based evaluations. The current text-prompted (Option B) baseline establishes reference metrics; image-based evaluation under Option A is reserved for future work.</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initial baseline evaluation employs zero-shot text-prompted LLM inference (Option B). Extension to image-based VLM and classical OCR engine evaluation (Option A) is designated as the primary future work direction.</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0C7932EC">
      <w:pPr>
        <w:spacing w:before="40" w:after="80" w:line="276" w:lineRule="auto"/>
      </w:pPr>
      <w:r>
        <w:rPr>
          <w:rFonts w:ascii="Times New Roman" w:hAnsi="Times New Roman"/>
          <w:sz w:val="20"/>
        </w:rPr>
        <w:t>---</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rPr>
          <w:rFonts w:ascii="Times New Roman" w:hAnsi="Times New Roman"/>
          <w:sz w:val="20"/>
        </w:rPr>
        <w:t>Table 0 provides an objective, comprehensive comparative analysis contrasting ADBG v1.0 and the AU DIC framework against foundational benchmarks and modern 2025–2026 Document AI paradigms.</w:t>
      </w:r>
    </w:p>
    <w:p w14:paraId="50009E26">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2EA679E7">
      <w:pPr>
        <w:spacing w:after="120"/>
      </w:pPr>
    </w:p>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2FB5DAD">
      <w:pPr>
        <w:spacing w:before="40" w:after="80" w:line="276" w:lineRule="auto"/>
      </w:pPr>
      <w:r>
        <w:rPr>
          <w:rFonts w:ascii="Times New Roman" w:hAnsi="Times New Roman"/>
          <w:sz w:val="20"/>
        </w:rPr>
        <w:t>---</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wp:inline distT="0" distB="0" distL="0" distR="0">
            <wp:extent cx="5943600" cy="2476500"/>
            <wp:effectExtent l="0" t="0" r="0" b="0"/>
            <wp:docPr id="1" name="Picture 1"/>
            <wp:cNvGraphicFramePr>
              <ns5:graphicFrameLocks noChangeAspect="1"/>
            </wp: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wp: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wp:inline distT="0" distB="0" distL="0" distR="0">
            <wp:extent cx="1950000" cy="5400000"/>
            <wp:effectExtent l="0" t="0" r="5715" b="2540"/>
            <wp:docPr id="2" name="Picture 2"/>
            <wp:cNvGraphicFramePr>
              <ns5:graphicFrameLocks noChangeAspect="1"/>
            </wp: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wp: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6E16FD90">
      <w:pPr>
        <w:spacing w:before="0" w:after="0"/>
        <w:jc w:val="center"/>
      </w:pPr>
      <m:oMathPara>
        <m:oMath>
          <m:r>
            <m:rPr/>
            <w:rPr>
              <w:rFonts w:ascii="Cambria Math" w:hAnsi="Cambria Math"/>
            </w:rPr>
            <m:t>DocumentSpecimen=G(</m:t>
          </m:r>
          <m:r>
            <m:rPr/>
            <w:rPr>
              <w:rFonts w:ascii="Times New Roman" w:hAnsi="Times New Roman"/>
            </w:rPr>
            <m:t>Seed</m:t>
          </m:r>
          <m:r>
            <m:rPr/>
            <w:rPr>
              <w:rFonts w:ascii="Cambria Math" w:hAnsi="Cambria Math"/>
            </w:rPr>
            <m:t>,</m:t>
          </m:r>
          <m:r>
            <m:rPr/>
            <w:rPr>
              <w:rFonts w:ascii="Times New Roman" w:hAnsi="Times New Roman"/>
            </w:rPr>
            <m:t>Category</m:t>
          </m:r>
          <m:r>
            <m:rPr/>
            <w:rPr>
              <w:rFonts w:ascii="Cambria Math" w:hAnsi="Cambria Math"/>
            </w:rPr>
            <m:t>,</m:t>
          </m:r>
          <m:r>
            <m:rPr/>
            <w:rPr>
              <w:rFonts w:ascii="Times New Roman" w:hAnsi="Times New Roman"/>
            </w:rPr>
            <m:t>Profile</m:t>
          </m:r>
          <m:r>
            <m:rPr/>
            <w:rPr>
              <w:rFonts w:ascii="Cambria Math" w:hAnsi="Cambria Math"/>
            </w:rPr>
            <m:t>)</m:t>
          </m:r>
        </m:oMath>
      </m:oMathPara>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A6A26F3">
      <w:pPr>
        <w:spacing w:before="0" w:after="0"/>
        <w:jc w:val="center"/>
      </w:pPr>
      <m:oMathPara>
        <m:oMath>
          <m:sSub>
            <m:sSubPr/>
            <m:e>
              <m:r>
                <m:rPr/>
                <w:rPr>
                  <w:rFonts w:ascii="Cambria Math" w:hAnsi="Cambria Math"/>
                </w:rPr>
                <m:t>I</m:t>
              </m:r>
            </m:e>
            <m:sub>
              <m:r>
                <m:rPr/>
                <w:rPr>
                  <w:rFonts w:ascii="Times New Roman" w:hAnsi="Times New Roman"/>
                </w:rPr>
                <m:t>degraded</m:t>
              </m:r>
            </m:sub>
          </m:sSub>
          <m:r>
            <m:rPr/>
            <w:rPr>
              <w:rFonts w:ascii="Cambria Math" w:hAnsi="Cambria Math"/>
            </w:rPr>
            <m:t>=</m:t>
          </m:r>
          <m:sSub>
            <m:sSubPr/>
            <m:e>
              <m:r>
                <m:rPr/>
                <w:rPr>
                  <w:rFonts w:ascii="Cambria Math" w:hAnsi="Cambria Math"/>
                </w:rPr>
                <m:t>D</m:t>
              </m:r>
            </m:e>
            <m:sub>
              <m:r>
                <m:rPr/>
                <w:rPr>
                  <w:rFonts w:ascii="Times New Roman" w:hAnsi="Times New Roman"/>
                </w:rPr>
                <m:t>rotation</m:t>
              </m:r>
            </m:sub>
          </m:sSub>
          <m:r>
            <m:rPr/>
            <w:rPr>
              <w:rFonts w:ascii="Cambria Math" w:hAnsi="Cambria Math"/>
            </w:rPr>
            <m:t>∘</m:t>
          </m:r>
          <m:sSub>
            <m:sSubPr/>
            <m:e>
              <m:r>
                <m:rPr/>
                <w:rPr>
                  <w:rFonts w:ascii="Cambria Math" w:hAnsi="Cambria Math"/>
                </w:rPr>
                <m:t>D</m:t>
              </m:r>
            </m:e>
            <m:sub>
              <m:r>
                <m:rPr/>
                <w:rPr>
                  <w:rFonts w:ascii="Times New Roman" w:hAnsi="Times New Roman"/>
                </w:rPr>
                <m:t>contrast</m:t>
              </m:r>
            </m:sub>
          </m:sSub>
          <m:r>
            <m:rPr/>
            <w:rPr>
              <w:rFonts w:ascii="Cambria Math" w:hAnsi="Cambria Math"/>
            </w:rPr>
            <m:t>∘</m:t>
          </m:r>
          <m:sSub>
            <m:sSubPr/>
            <m:e>
              <m:r>
                <m:rPr/>
                <w:rPr>
                  <w:rFonts w:ascii="Cambria Math" w:hAnsi="Cambria Math"/>
                </w:rPr>
                <m:t>D</m:t>
              </m:r>
            </m:e>
            <m:sub>
              <m:r>
                <m:rPr/>
                <w:rPr>
                  <w:rFonts w:ascii="Times New Roman" w:hAnsi="Times New Roman"/>
                </w:rPr>
                <m:t>gaussian</m:t>
              </m:r>
            </m:sub>
          </m:sSub>
          <m:r>
            <m:rPr/>
            <w:rPr>
              <w:rFonts w:ascii="Cambria Math" w:hAnsi="Cambria Math"/>
            </w:rPr>
            <m:t>∘</m:t>
          </m:r>
          <m:sSub>
            <m:sSubPr/>
            <m:e>
              <m:r>
                <m:rPr/>
                <w:rPr>
                  <w:rFonts w:ascii="Cambria Math" w:hAnsi="Cambria Math"/>
                </w:rPr>
                <m:t>D</m:t>
              </m:r>
            </m:e>
            <m:sub>
              <m:r>
                <m:rPr/>
                <w:rPr>
                  <w:rFonts w:ascii="Times New Roman" w:hAnsi="Times New Roman"/>
                </w:rPr>
                <m:t>blur</m:t>
              </m:r>
            </m:sub>
          </m:sSub>
          <m:r>
            <m:rPr/>
            <w:rPr>
              <w:rFonts w:ascii="Cambria Math" w:hAnsi="Cambria Math"/>
            </w:rPr>
            <m:t>(</m:t>
          </m:r>
          <m:sSub>
            <m:sSubPr/>
            <m:e>
              <m:r>
                <m:rPr/>
                <w:rPr>
                  <w:rFonts w:ascii="Cambria Math" w:hAnsi="Cambria Math"/>
                </w:rPr>
                <m:t>I</m:t>
              </m:r>
            </m:e>
            <m:sub>
              <m:r>
                <m:rPr/>
                <w:rPr>
                  <w:rFonts w:ascii="Times New Roman" w:hAnsi="Times New Roman"/>
                </w:rPr>
                <m:t>clean</m:t>
              </m:r>
            </m:sub>
          </m:sSub>
          <m:r>
            <m:rPr/>
            <w:rPr>
              <w:rFonts w:ascii="Cambria Math" w:hAnsi="Cambria Math"/>
            </w:rPr>
            <m:t>)</m:t>
          </m:r>
        </m:oMath>
      </m:oMathPara>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m:oMath>
        <m:r>
          <m:rPr/>
          <w:rPr>
            <w:rFonts w:ascii="Cambria Math" w:hAnsi="Cambria Math"/>
          </w:rPr>
          <m:t>→</m:t>
        </m:r>
      </m: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72A6DE10">
      <w:pPr>
        <w:spacing w:before="0" w:after="0"/>
        <w:jc w:val="center"/>
      </w:pPr>
      <m:oMathPara>
        <m:oMath>
          <m:r>
            <m:rPr/>
            <w:rPr>
              <w:rFonts w:ascii="Cambria Math" w:hAnsi="Cambria Math"/>
            </w:rPr>
            <m:t>ErrorCategory∈{</m:t>
          </m:r>
          <m:r>
            <m:rPr/>
            <w:rPr>
              <w:rFonts w:ascii="Times New Roman" w:hAnsi="Times New Roman"/>
            </w:rPr>
            <m:t>OCR\_ERROR</m:t>
          </m:r>
          <m:r>
            <m:rPr/>
            <w:rPr>
              <w:rFonts w:ascii="Cambria Math" w:hAnsi="Cambria Math"/>
            </w:rPr>
            <m:t>,</m:t>
          </m:r>
          <m:r>
            <m:rPr/>
            <w:rPr>
              <w:rFonts w:ascii="Times New Roman" w:hAnsi="Times New Roman"/>
            </w:rPr>
            <m:t>FIELD\_MISSING</m:t>
          </m:r>
          <m:r>
            <m:rPr/>
            <w:rPr>
              <w:rFonts w:ascii="Cambria Math" w:hAnsi="Cambria Math"/>
            </w:rPr>
            <m:t>,</m:t>
          </m:r>
          <m:r>
            <m:rPr/>
            <w:rPr>
              <w:rFonts w:ascii="Times New Roman" w:hAnsi="Times New Roman"/>
            </w:rPr>
            <m:t>HALLUCINATION</m:t>
          </m:r>
          <m:r>
            <m:rPr/>
            <w:rPr>
              <w:rFonts w:ascii="Cambria Math" w:hAnsi="Cambria Math"/>
            </w:rPr>
            <m:t>,</m:t>
          </m:r>
          <m:r>
            <m:rPr/>
            <w:rPr>
              <w:rFonts w:ascii="Times New Roman" w:hAnsi="Times New Roman"/>
            </w:rPr>
            <m:t>FORMAT\_ERROR</m:t>
          </m:r>
          <m:r>
            <m:rPr/>
            <w:rPr>
              <w:rFonts w:ascii="Cambria Math" w:hAnsi="Cambria Math"/>
            </w:rPr>
            <m:t>,</m:t>
          </m:r>
          <m:r>
            <m:rPr/>
            <w:rPr>
              <w:rFonts w:ascii="Times New Roman" w:hAnsi="Times New Roman"/>
            </w:rPr>
            <m:t>NORMALIZATION\_ERROR</m:t>
          </m:r>
          <m:r>
            <m:rPr/>
            <w:rPr>
              <w:rFonts w:ascii="Cambria Math" w:hAnsi="Cambria Math"/>
            </w:rPr>
            <m:t>,</m:t>
          </m:r>
          <m:r>
            <m:rPr/>
            <w:rPr>
              <w:rFonts w:ascii="Times New Roman" w:hAnsi="Times New Roman"/>
            </w:rPr>
            <m:t>PARTIAL\_MATCH</m:t>
          </m:r>
          <m:r>
            <m:rPr/>
            <w:rPr>
              <w:rFonts w:ascii="Cambria Math" w:hAnsi="Cambria Math"/>
            </w:rPr>
            <m:t>,</m:t>
          </m:r>
          <m:r>
            <m:rPr/>
            <w:rPr>
              <w:rFonts w:ascii="Times New Roman" w:hAnsi="Times New Roman"/>
            </w:rPr>
            <m:t>LOW\_CONFIDENCE</m:t>
          </m:r>
          <m:r>
            <m:rPr/>
            <w:rPr>
              <w:rFonts w:ascii="Cambria Math" w:hAnsi="Cambria Math"/>
            </w:rPr>
            <m:t>,</m:t>
          </m:r>
          <m:r>
            <m:rPr/>
            <w:rPr>
              <w:rFonts w:ascii="Times New Roman" w:hAnsi="Times New Roman"/>
            </w:rPr>
            <m:t>CATEGORY\_ERROR</m:t>
          </m:r>
          <m:r>
            <m:rPr/>
            <w:rPr>
              <w:rFonts w:ascii="Cambria Math" w:hAnsi="Cambria Math"/>
            </w:rPr>
            <m:t>,</m:t>
          </m:r>
          <m:r>
            <m:rPr/>
            <w:rPr>
              <w:rFonts w:ascii="Times New Roman" w:hAnsi="Times New Roman"/>
            </w:rPr>
            <m:t>EXACT\_MATCH</m:t>
          </m:r>
          <m:r>
            <m:rPr/>
            <w:rPr>
              <w:rFonts w:ascii="Cambria Math" w:hAnsi="Cambria Math"/>
            </w:rPr>
            <m:t>}</m:t>
          </m:r>
        </m:oMath>
      </m:oMathPara>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sz w:val="20"/>
        </w:rPr>
        <w:t>) and Prediction (</w:t>
      </w:r>
      <m:oMath>
        <m:acc>
          <m:accPr/>
          <m:e>
            <m:r>
              <m:rPr/>
              <w:rPr>
                <w:rFonts w:ascii="Cambria Math" w:hAnsi="Cambria Math"/>
              </w:rPr>
              <m:t>V</m:t>
            </m:r>
          </m:e>
        </m:acc>
      </m: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2E663D9C">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m:oMath>
              <m:acc>
                <m:accPr/>
                <m:e>
                  <m:r>
                    <m:rPr/>
                    <w:rPr>
                      <w:rFonts w:ascii="Cambria Math" w:hAnsi="Cambria Math"/>
                    </w:rPr>
                    <m:t>V</m:t>
                  </m:r>
                </m:e>
              </m:acc>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m:t>
              </m:r>
              <m:r>
                <m:rPr/>
                <w:rPr>
                  <w:rFonts w:ascii="Times New Roman" w:hAnsi="Times New Roman"/>
                </w:rPr>
                <m:t>vs</m:t>
              </m:r>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m:oMath>
              <m:r>
                <m:rPr/>
                <w:rPr>
                  <w:rFonts w:ascii="Cambria Math" w:hAnsi="Cambria Math"/>
                </w:rPr>
                <m:t>≠</m:t>
              </m:r>
            </m: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m:oMath>
              <m:r>
                <m:rPr/>
                <w:rPr>
                  <w:rFonts w:ascii="Cambria Math" w:hAnsi="Cambria Math"/>
                </w:rPr>
                <m:t>≠</m:t>
              </m:r>
            </m: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125609C0">
      <w:pPr>
        <w:spacing w:after="120"/>
      </w:pPr>
    </w:p>
    <w:p w14:paraId="433FE6AF">
      <w:pPr>
        <w:spacing w:before="40" w:after="80" w:line="276" w:lineRule="auto"/>
      </w:pPr>
      <w:r>
        <w:rPr>
          <w:rFonts w:ascii="Times New Roman" w:hAnsi="Times New Roman"/>
          <w:sz w:val="20"/>
        </w:rPr>
        <w:t>---</w:t>
      </w:r>
    </w:p>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m:oMath>
        <m:r>
          <m:rPr/>
          <w:rPr>
            <w:rFonts w:ascii="Cambria Math" w:hAnsi="Cambria Math"/>
          </w:rPr>
          <m:t>×</m:t>
        </m:r>
      </m:oMath>
      <w:r>
        <w:rPr>
          <w:rFonts w:ascii="Times New Roman" w:hAnsi="Times New Roman"/>
          <w:sz w:val="20"/>
        </w:rPr>
        <w:t xml:space="preserve"> 30 unique document instances </w:t>
      </w:r>
      <m:oMath>
        <m:r>
          <m:rPr/>
          <w:rPr>
            <w:rFonts w:ascii="Cambria Math" w:hAnsi="Cambria Math"/>
          </w:rPr>
          <m:t>×</m:t>
        </m:r>
      </m: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m:oMath>
        <m:sSub>
          <m:sSubPr/>
          <m:e>
            <m:acc>
              <m:accPr/>
              <m:e>
                <m:r>
                  <m:rPr/>
                  <w:rPr>
                    <w:rFonts w:ascii="Cambria Math" w:hAnsi="Cambria Math"/>
                  </w:rPr>
                  <m:t>C</m:t>
                </m:r>
              </m:e>
            </m:acc>
          </m:e>
          <m:sub>
            <m:r>
              <m:rPr/>
              <w:rPr>
                <w:rFonts w:ascii="Cambria Math" w:hAnsi="Cambria Math"/>
              </w:rPr>
              <m:t>i</m:t>
            </m:r>
          </m:sub>
        </m:sSub>
      </m:oMath>
      <w:r>
        <w:rPr>
          <w:rFonts w:ascii="Times New Roman" w:hAnsi="Times New Roman"/>
          <w:sz w:val="20"/>
        </w:rPr>
        <w:t>) matches the ground truth category (</w:t>
      </w:r>
      <m:oMath>
        <m:sSub>
          <m:sSubPr/>
          <m:e>
            <m:r>
              <m:rPr/>
              <w:rPr>
                <w:rFonts w:ascii="Cambria Math" w:hAnsi="Cambria Math"/>
              </w:rPr>
              <m:t>C</m:t>
            </m:r>
          </m:e>
          <m:sub>
            <m:r>
              <m:rPr/>
              <w:rPr>
                <w:rFonts w:ascii="Cambria Math" w:hAnsi="Cambria Math"/>
              </w:rPr>
              <m:t>i</m:t>
            </m:r>
          </m:sub>
        </m:sSub>
      </m:oMath>
      <w:r>
        <w:rPr>
          <w:rFonts w:ascii="Times New Roman" w:hAnsi="Times New Roman"/>
          <w:sz w:val="20"/>
        </w:rPr>
        <w:t>):</w:t>
      </w:r>
    </w:p>
    <w:p w14:paraId="2657B9BC">
      <w:pPr>
        <w:spacing w:before="0" w:after="0"/>
        <w:jc w:val="center"/>
      </w:pPr>
      <m:oMathPara>
        <m:oMath>
          <m:r>
            <m:rPr/>
            <w:rPr>
              <w:rFonts w:ascii="Cambria Math" w:hAnsi="Cambria Math"/>
            </w:rPr>
            <m:t>CategoryAccuracy=</m:t>
          </m:r>
          <m:f>
            <m:fPr/>
            <m:num>
              <m:nary>
                <m:naryPr>
                  <m:chr m:val="∑"/>
                  <m:limLoc m:val="undOvr"/>
                </m:naryPr>
                <m:sub>
                  <m:r>
                    <m:rPr/>
                    <w:rPr>
                      <w:rFonts w:ascii="Cambria Math" w:hAnsi="Cambria Math"/>
                    </w:rPr>
                    <m:t>i=1</m:t>
                  </m:r>
                </m:sub>
                <m:sup>
                  <m:r>
                    <m:rPr/>
                    <w:rPr>
                      <w:rFonts w:ascii="Cambria Math" w:hAnsi="Cambria Math"/>
                    </w:rPr>
                    <m:t>N</m:t>
                  </m:r>
                </m:sup>
                <m:e/>
              </m:nary>
              <m:r>
                <m:rPr>
                  <m:scr m:val="double-struck"/>
                </m:rPr>
                <w:rPr>
                  <w:rFonts w:ascii="Times New Roman" w:hAnsi="Times New Roman"/>
                </w:rPr>
                <m:t>1</m:t>
              </m:r>
              <m:r>
                <m:rPr/>
                <w:rPr>
                  <w:rFonts w:ascii="Cambria Math" w:hAnsi="Cambria Math"/>
                </w:rPr>
                <m:t>(</m:t>
              </m:r>
              <m:sSub>
                <m:sSubPr/>
                <m:e>
                  <m:acc>
                    <m:accPr/>
                    <m:e>
                      <m:r>
                        <m:rPr/>
                        <w:rPr>
                          <w:rFonts w:ascii="Cambria Math" w:hAnsi="Cambria Math"/>
                        </w:rPr>
                        <m:t>C</m:t>
                      </m:r>
                    </m:e>
                  </m:acc>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num>
            <m:den>
              <m:r>
                <m:rPr/>
                <w:rPr>
                  <w:rFonts w:ascii="Cambria Math" w:hAnsi="Cambria Math"/>
                </w:rPr>
                <m:t>N</m:t>
              </m:r>
            </m:den>
          </m:f>
        </m:oMath>
      </m:oMathPara>
    </w:p>
    <w:p w14:paraId="0B6F120C">
      <w:pPr>
        <w:spacing w:before="40" w:after="80" w:line="276" w:lineRule="auto"/>
      </w:pPr>
      <w:r>
        <w:rPr>
          <w:rFonts w:ascii="Times New Roman" w:hAnsi="Times New Roman"/>
          <w:sz w:val="20"/>
        </w:rPr>
        <w:t xml:space="preserve">where </w:t>
      </w:r>
      <m:oMath>
        <m:r>
          <m:rPr/>
          <w:rPr>
            <w:rFonts w:ascii="Cambria Math" w:hAnsi="Cambria Math"/>
          </w:rPr>
          <m:t>N=360</m:t>
        </m:r>
      </m:oMath>
      <w:r>
        <w:rPr>
          <w:rFonts w:ascii="Times New Roman" w:hAnsi="Times New Roman"/>
          <w:sz w:val="20"/>
        </w:rPr>
        <w:t xml:space="preserve"> total evaluated specimens.</w:t>
      </w:r>
    </w:p>
    <w:p w14:paraId="3A5AC0ED">
      <w:pPr>
        <w:spacing w:before="20" w:after="40"/>
        <w:ind w:left="360"/>
      </w:pPr>
      <w:r>
        <w:rPr>
          <w:rFonts w:ascii="Times New Roman" w:hAnsi="Times New Roman"/>
          <w:b/>
          <w:sz w:val="20"/>
        </w:rPr>
        <w:t>2. Field Extraction Precision (</w:t>
      </w:r>
      <m:oMath>
        <m:r>
          <m:rP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m:rP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sSubPr/>
          <m:e>
            <m:r>
              <m:rPr/>
              <w:rPr>
                <w:rFonts w:ascii="Cambria Math" w:hAnsi="Cambria Math"/>
              </w:rPr>
              <m:t>F</m:t>
            </m:r>
          </m:e>
          <m:sub>
            <m:r>
              <m:rP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14:paraId="526006D4">
      <w:pPr>
        <w:spacing w:before="0" w:after="0"/>
        <w:jc w:val="center"/>
      </w:pPr>
      <m:oMathPara>
        <m:oMath>
          <m:r>
            <m:rPr/>
            <w:rPr>
              <w:rFonts w:ascii="Cambria Math" w:hAnsi="Cambria Math"/>
            </w:rPr>
            <m:t>P=</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Positive Fields</m:t>
              </m:r>
            </m:den>
          </m:f>
          <m:r>
            <m:rPr/>
            <w:rPr>
              <w:rFonts w:ascii="Cambria Math" w:hAnsi="Cambria Math"/>
            </w:rPr>
            <m:t>,R=</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Negative Fields</m:t>
              </m:r>
            </m:den>
          </m:f>
          <m:r>
            <m:rPr/>
            <w:rPr>
              <w:rFonts w:ascii="Cambria Math" w:hAnsi="Cambria Math"/>
            </w:rPr>
            <m:t>,</m:t>
          </m:r>
          <m:sSub>
            <m:sSubPr/>
            <m:e>
              <m:r>
                <m:rPr/>
                <w:rPr>
                  <w:rFonts w:ascii="Cambria Math" w:hAnsi="Cambria Math"/>
                </w:rPr>
                <m:t>F</m:t>
              </m:r>
            </m:e>
            <m:sub>
              <m:r>
                <m:rPr/>
                <w:rPr>
                  <w:rFonts w:ascii="Cambria Math" w:hAnsi="Cambria Math"/>
                </w:rPr>
                <m:t>1</m:t>
              </m:r>
            </m:sub>
          </m:sSub>
          <m:r>
            <m:rPr/>
            <w:rPr>
              <w:rFonts w:ascii="Cambria Math" w:hAnsi="Cambria Math"/>
            </w:rPr>
            <m:t>=2·</m:t>
          </m:r>
          <m:f>
            <m:fPr/>
            <m:num>
              <m:r>
                <m:rPr/>
                <w:rPr>
                  <w:rFonts w:ascii="Cambria Math" w:hAnsi="Cambria Math"/>
                </w:rPr>
                <m:t>P·R</m:t>
              </m:r>
            </m:num>
            <m:den>
              <m:r>
                <m:rPr/>
                <w:rPr>
                  <w:rFonts w:ascii="Cambria Math" w:hAnsi="Cambria Math"/>
                </w:rPr>
                <m:t>P+R</m:t>
              </m:r>
            </m:den>
          </m:f>
        </m:oMath>
      </m:oMathPara>
      <w:bookmarkStart w:id="0" w:name="_GoBack"/>
      <w:bookmarkEnd w:id="0"/>
    </w:p>
    <w:p w14:paraId="3096A6D7">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[21] between canonically normalized predicted field strings and expected ground truth field strings, normalized by total ground truth character length (</w:t>
      </w:r>
      <m:oMath>
        <m:sSub>
          <m:sSubPr/>
          <m:e>
            <m:r>
              <m:rPr/>
              <w:rPr>
                <w:rFonts w:ascii="Cambria Math" w:hAnsi="Cambria Math"/>
              </w:rPr>
              <m:t>L</m:t>
            </m:r>
          </m:e>
          <m:sub>
            <m:r>
              <m:rPr/>
              <w:rPr>
                <w:rFonts w:ascii="Times New Roman" w:hAnsi="Times New Roman"/>
              </w:rPr>
              <m:t>GT</m:t>
            </m:r>
          </m:sub>
        </m:sSub>
      </m:oMath>
      <w:r>
        <w:rPr>
          <w:rFonts w:ascii="Times New Roman" w:hAnsi="Times New Roman"/>
          <w:sz w:val="20"/>
        </w:rPr>
        <w:t>):</w:t>
      </w:r>
    </w:p>
    <w:p w14:paraId="456E9AE3">
      <w:pPr>
        <w:spacing w:before="0" w:after="0"/>
        <w:jc w:val="center"/>
      </w:pPr>
      <m:oMathPara>
        <m:oMath>
          <m:r>
            <m:rPr/>
            <w:rPr>
              <w:rFonts w:ascii="Times New Roman" w:hAnsi="Times New Roman"/>
            </w:rPr>
            <m:t>CER</m:t>
          </m:r>
          <m:r>
            <m:rPr/>
            <w:rPr>
              <w:rFonts w:ascii="Cambria Math" w:hAnsi="Cambria Math"/>
            </w:rPr>
            <m:t>=</m:t>
          </m:r>
          <m:f>
            <m:fPr/>
            <m:num>
              <m:sSub>
                <m:sSubPr/>
                <m:e>
                  <m:r>
                    <m:rPr/>
                    <w:rPr>
                      <w:rFonts w:ascii="Cambria Math" w:hAnsi="Cambria Math"/>
                    </w:rPr>
                    <m:t>S</m:t>
                  </m:r>
                </m:e>
                <m:sub>
                  <m:r>
                    <m:rPr/>
                    <w:rPr>
                      <w:rFonts w:ascii="Times New Roman" w:hAnsi="Times New Roman"/>
                    </w:rPr>
                    <m:t>char</m:t>
                  </m:r>
                </m:sub>
              </m:sSub>
              <m:r>
                <m:rPr/>
                <w:rPr>
                  <w:rFonts w:ascii="Cambria Math" w:hAnsi="Cambria Math"/>
                </w:rPr>
                <m:t>+</m:t>
              </m:r>
              <m:sSub>
                <m:sSubPr/>
                <m:e>
                  <m:r>
                    <m:rPr/>
                    <w:rPr>
                      <w:rFonts w:ascii="Cambria Math" w:hAnsi="Cambria Math"/>
                    </w:rPr>
                    <m:t>D</m:t>
                  </m:r>
                </m:e>
                <m:sub>
                  <m:r>
                    <m:rPr/>
                    <w:rPr>
                      <w:rFonts w:ascii="Times New Roman" w:hAnsi="Times New Roman"/>
                    </w:rPr>
                    <m:t>char</m:t>
                  </m:r>
                </m:sub>
              </m:sSub>
              <m:r>
                <m:rPr/>
                <w:rPr>
                  <w:rFonts w:ascii="Cambria Math" w:hAnsi="Cambria Math"/>
                </w:rPr>
                <m:t>+</m:t>
              </m:r>
              <m:sSub>
                <m:sSubPr/>
                <m:e>
                  <m:r>
                    <m:rPr/>
                    <w:rPr>
                      <w:rFonts w:ascii="Cambria Math" w:hAnsi="Cambria Math"/>
                    </w:rPr>
                    <m:t>I</m:t>
                  </m:r>
                </m:e>
                <m:sub>
                  <m:r>
                    <m:rPr/>
                    <w:rPr>
                      <w:rFonts w:ascii="Times New Roman" w:hAnsi="Times New Roman"/>
                    </w:rPr>
                    <m:t>char</m:t>
                  </m:r>
                </m:sub>
              </m:sSub>
            </m:num>
            <m:den>
              <m:sSub>
                <m:sSubPr/>
                <m:e>
                  <m:r>
                    <m:rPr/>
                    <w:rPr>
                      <w:rFonts w:ascii="Cambria Math" w:hAnsi="Cambria Math"/>
                    </w:rPr>
                    <m:t>L</m:t>
                  </m:r>
                </m:e>
                <m:sub>
                  <m:r>
                    <m:rPr/>
                    <w:rPr>
                      <w:rFonts w:ascii="Times New Roman" w:hAnsi="Times New Roman"/>
                    </w:rPr>
                    <m:t>GT</m:t>
                  </m:r>
                </m:sub>
              </m:sSub>
            </m:den>
          </m:f>
        </m:oMath>
      </m:oMathPara>
    </w:p>
    <w:p w14:paraId="28D3FA95">
      <w:pPr>
        <w:spacing w:before="20" w:after="40"/>
        <w:ind w:left="360"/>
      </w:pPr>
      <w:r>
        <w:rPr>
          <w:rFonts w:ascii="Times New Roman" w:hAnsi="Times New Roman"/>
          <w:b/>
          <w:sz w:val="20"/>
        </w:rPr>
        <w:t>4. Word Error Rate (WER)</w:t>
      </w:r>
      <w:r>
        <w:rPr>
          <w:rFonts w:ascii="Times New Roman" w:hAnsi="Times New Roman"/>
          <w:sz w:val="20"/>
        </w:rPr>
        <w:t>: Tokenized word-level edit distance [20] between predicted field strings and ground truth field strings, normalized by total ground truth word count (</w:t>
      </w:r>
      <m:oMath>
        <m:sSub>
          <m:sSubPr/>
          <m:e>
            <m:r>
              <m:rPr/>
              <w:rPr>
                <w:rFonts w:ascii="Cambria Math" w:hAnsi="Cambria Math"/>
              </w:rPr>
              <m:t>W</m:t>
            </m:r>
          </m:e>
          <m:sub>
            <m:r>
              <m:rPr/>
              <w:rPr>
                <w:rFonts w:ascii="Times New Roman" w:hAnsi="Times New Roman"/>
              </w:rPr>
              <m:t>GT</m:t>
            </m:r>
          </m:sub>
        </m:sSub>
      </m:oMath>
      <w:r>
        <w:rPr>
          <w:rFonts w:ascii="Times New Roman" w:hAnsi="Times New Roman"/>
          <w:sz w:val="20"/>
        </w:rPr>
        <w:t>):</w:t>
      </w:r>
    </w:p>
    <w:p w14:paraId="456A4CA1">
      <w:pPr>
        <w:spacing w:before="0" w:after="0"/>
        <w:jc w:val="center"/>
      </w:pPr>
      <m:oMathPara>
        <m:oMath>
          <m:r>
            <m:rPr/>
            <w:rPr>
              <w:rFonts w:ascii="Times New Roman" w:hAnsi="Times New Roman"/>
            </w:rPr>
            <m:t>WER</m:t>
          </m:r>
          <m:r>
            <m:rPr/>
            <w:rPr>
              <w:rFonts w:ascii="Cambria Math" w:hAnsi="Cambria Math"/>
            </w:rPr>
            <m:t>=</m:t>
          </m:r>
          <m:f>
            <m:fPr/>
            <m:num>
              <m:sSub>
                <m:sSubPr/>
                <m:e>
                  <m:r>
                    <m:rPr/>
                    <w:rPr>
                      <w:rFonts w:ascii="Cambria Math" w:hAnsi="Cambria Math"/>
                    </w:rPr>
                    <m:t>S</m:t>
                  </m:r>
                </m:e>
                <m:sub>
                  <m:r>
                    <m:rPr/>
                    <w:rPr>
                      <w:rFonts w:ascii="Times New Roman" w:hAnsi="Times New Roman"/>
                    </w:rPr>
                    <m:t>word</m:t>
                  </m:r>
                </m:sub>
              </m:sSub>
              <m:r>
                <m:rPr/>
                <w:rPr>
                  <w:rFonts w:ascii="Cambria Math" w:hAnsi="Cambria Math"/>
                </w:rPr>
                <m:t>+</m:t>
              </m:r>
              <m:sSub>
                <m:sSubPr/>
                <m:e>
                  <m:r>
                    <m:rPr/>
                    <w:rPr>
                      <w:rFonts w:ascii="Cambria Math" w:hAnsi="Cambria Math"/>
                    </w:rPr>
                    <m:t>D</m:t>
                  </m:r>
                </m:e>
                <m:sub>
                  <m:r>
                    <m:rPr/>
                    <w:rPr>
                      <w:rFonts w:ascii="Times New Roman" w:hAnsi="Times New Roman"/>
                    </w:rPr>
                    <m:t>word</m:t>
                  </m:r>
                </m:sub>
              </m:sSub>
              <m:r>
                <m:rPr/>
                <w:rPr>
                  <w:rFonts w:ascii="Cambria Math" w:hAnsi="Cambria Math"/>
                </w:rPr>
                <m:t>+</m:t>
              </m:r>
              <m:sSub>
                <m:sSubPr/>
                <m:e>
                  <m:r>
                    <m:rPr/>
                    <w:rPr>
                      <w:rFonts w:ascii="Cambria Math" w:hAnsi="Cambria Math"/>
                    </w:rPr>
                    <m:t>I</m:t>
                  </m:r>
                </m:e>
                <m:sub>
                  <m:r>
                    <m:rPr/>
                    <w:rPr>
                      <w:rFonts w:ascii="Times New Roman" w:hAnsi="Times New Roman"/>
                    </w:rPr>
                    <m:t>word</m:t>
                  </m:r>
                </m:sub>
              </m:sSub>
            </m:num>
            <m:den>
              <m:sSub>
                <m:sSubPr/>
                <m:e>
                  <m:r>
                    <m:rPr/>
                    <w:rPr>
                      <w:rFonts w:ascii="Cambria Math" w:hAnsi="Cambria Math"/>
                    </w:rPr>
                    <m:t>W</m:t>
                  </m:r>
                </m:e>
                <m:sub>
                  <m:r>
                    <m:rPr/>
                    <w:rPr>
                      <w:rFonts w:ascii="Times New Roman" w:hAnsi="Times New Roman"/>
                    </w:rPr>
                    <m:t>GT</m:t>
                  </m:r>
                </m:sub>
              </m:sSub>
            </m:den>
          </m:f>
        </m:oMath>
      </m:oMathPara>
    </w:p>
    <w:p w14:paraId="22B41161">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4D33CC89">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m:oMath>
        <m:r>
          <m:rPr/>
          <w:rPr>
            <w:rFonts w:ascii="Times New Roman" w:hAnsi="Times New Roman"/>
          </w:rPr>
          <m:t>ms/sample</m:t>
        </m:r>
      </m:oMath>
      <w:r>
        <w:rPr>
          <w:rFonts w:ascii="Times New Roman" w:hAnsi="Times New Roman"/>
          <w:sz w:val="20"/>
        </w:rPr>
        <w:t>) and framework processing throughput (</w:t>
      </w:r>
      <m:oMath>
        <m:r>
          <m:rPr/>
          <w:rPr>
            <w:rFonts w:ascii="Times New Roman" w:hAnsi="Times New Roman"/>
          </w:rPr>
          <m:t>samples/sec</m:t>
        </m:r>
      </m:oMath>
      <w:r>
        <w:rPr>
          <w:rFonts w:ascii="Times New Roman" w:hAnsi="Times New Roman"/>
          <w:sz w:val="20"/>
        </w:rPr>
        <w:t>).</w:t>
      </w:r>
    </w:p>
    <w:p w14:paraId="6B789D83">
      <w:pPr>
        <w:spacing w:before="40" w:after="80" w:line="276" w:lineRule="auto"/>
      </w:pPr>
      <w:r>
        <w:rPr>
          <w:rFonts w:ascii="Times New Roman" w:hAnsi="Times New Roman"/>
          <w:sz w:val="20"/>
        </w:rPr>
        <w:t>---</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71A92F66">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1D758CA0">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6DD2ED62">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148D6DDA">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6E0B802A">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780474C8">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1A773B1A">
            <w:pPr>
              <w:spacing w:before="40" w:after="40"/>
              <w:jc w:val="center"/>
            </w:pPr>
            <w:r>
              <w:rPr>
                <w:rFonts w:ascii="Times New Roman" w:hAnsi="Times New Roman"/>
                <w:b/>
                <w:color w:val="FFFFFF"/>
                <w:sz w:val="19"/>
              </w:rPr>
              <w:t>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18678141">
      <w:pPr>
        <w:spacing w:after="120"/>
      </w:pPr>
    </w:p>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m:oMath>
        <m:r>
          <m:rPr/>
          <w:rPr>
            <w:rFonts w:ascii="Cambria Math" w:hAnsi="Cambria Math"/>
          </w:rPr>
          <m:t>σ=0.45</m:t>
        </m:r>
        <m:r>
          <m:rPr/>
          <w:rPr>
            <w:rFonts w:ascii="Times New Roman" w:hAnsi="Times New Roman"/>
          </w:rPr>
          <m:t>ms</m:t>
        </m:r>
      </m: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rPr>
          <w:rFonts w:ascii="Times New Roman" w:hAnsi="Times New Roman"/>
          <w:b/>
          <w:i/>
          <w:sz w:val="21"/>
        </w:rPr>
        <w:t>5.4.1 Inference Pipeline Disambiguation (Option B)</w:t>
      </w:r>
    </w:p>
    <w:p w14:paraId="7661D404">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7B658E96">
      <w:pPr>
        <w:spacing w:before="160" w:after="80" w:line="240" w:lineRule="atLeast"/>
        <w:jc w:val="center"/>
      </w:pPr>
      <w:r>
        <w:drawing>
          <wp:inline distT="0" distB="0" distL="0" distR="0">
            <wp:extent cx="5943600" cy="2806700"/>
            <wp:effectExtent l="0" t="0" r="0" b="12700"/>
            <wp:docPr id="3" name="Picture 3"/>
            <wp:cNvGraphicFramePr>
              <ns5:graphicFrameLocks noChangeAspect="1"/>
            </wp: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wp:inline>
        </w:drawing>
      </w:r>
    </w:p>
    <w:p w14:paraId="62752EBD">
      <w:pPr>
        <w:spacing w:after="160"/>
        <w:jc w:val="center"/>
      </w:pPr>
      <w:r>
        <w:rPr>
          <w:rFonts w:ascii="Times New Roman" w:hAnsi="Times New Roman"/>
          <w:b/>
          <w:color w:val="003366"/>
          <w:sz w:val="19"/>
        </w:rPr>
        <w:t>Fig. 3. Option B Zero-Shot Text-Prompted Neural LLM Evaluation Pipeline Architecture.</w:t>
      </w:r>
    </w:p>
    <w:p w14:paraId="109F1399">
      <w:pPr>
        <w:spacing w:before="40" w:after="80" w:line="276" w:lineRule="auto"/>
      </w:pPr>
      <w:r>
        <w:t xml:space="preserve">Fig. 3 depicts the Option B zero-shot text-prompted neural LLM evaluation pipeline architecture. In Option B, document text is extracted from each specimen prior to LLM inference and supplied directly as a text prompt; no image pixel processing occurs. Consequently, the four optical degradation profiles (clean, scanner_copy, mobile_camera, rotated_90) do not affect text-prompt inference — identical field extraction accuracy is expected and observed across all profiles. This baseline quantifies LLM key-value structuring correctness from clean text, independent of image quality. Option A (direct image-based VLM inference) remains as future work.</w:t>
      </w:r>
    </w:p>
    <w:p w14:paraId="21FBA05F">
      <w:pPr>
        <w:spacing w:before="40" w:after="80" w:line="276" w:lineRule="auto"/>
      </w:pPr>
      <w:r>
        <w:rPr>
          <w:rFonts w:ascii="Times New Roman" w:hAnsi="Times New Roman"/>
          <w:sz w:val="20"/>
        </w:rPr>
        <w:t>Table 2 details live model extraction and document category classification performance evaluated on Groq Cloud Llama 3.1 8B Instant.</w:t>
      </w:r>
    </w:p>
    <w:p w14:paraId="29D205C5">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55DB299B">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293CE496">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10FE9E63">
            <w:pPr>
              <w:spacing w:before="40" w:after="40"/>
              <w:jc w:val="center"/>
            </w:pPr>
            <w:r>
              <w:rPr>
                <w:rFonts w:ascii="Times New Roman" w:hAnsi="Times New Roman"/>
                <w:b/>
                <w:color w:val="FFFFFF"/>
                <w:sz w:val="19"/>
              </w:rPr>
              <w:t>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263E7BE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6B1D8298">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66FFFC07">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B61E416">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06CA889">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3FED81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41A060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3F52F76">
            <w:pPr>
              <w:spacing w:before="40" w:after="40"/>
              <w:jc w:val="center"/>
            </w:pPr>
            <w:r>
              <w:rPr>
                <w:rFonts w:ascii="Times New Roman" w:hAnsi="Times New Roman"/>
                <w:sz w:val="18"/>
              </w:rPr>
              <w:t>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60DD4469">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0DE6AB5F">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EB505E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60F6E5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7E47077">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02D05BF8">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7E58A7E2">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5AB6AC97">
            <w:pPr>
              <w:spacing w:before="40" w:after="40"/>
              <w:jc w:val="center"/>
            </w:pPr>
            <w:r>
              <w:rPr>
                <w:rFonts w:ascii="Times New Roman" w:hAnsi="Times New Roman"/>
                <w:sz w:val="18"/>
              </w:rPr>
              <w:t>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498F1A7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7E8E1A33">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7A54031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56AF2EC">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247317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3E6999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C756EE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E0B3D0C">
            <w:pPr>
              <w:spacing w:before="40" w:after="40"/>
              <w:jc w:val="center"/>
            </w:pPr>
            <w:r>
              <w:rPr>
                <w:rFonts w:ascii="Times New Roman" w:hAnsi="Times New Roman"/>
                <w:sz w:val="18"/>
              </w:rPr>
              <w:t>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0188613B">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7FC658CC">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DBCE0C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0EC2343">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5B74AC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75804FB">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6EE89C6A">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06BBBD7B">
            <w:pPr>
              <w:spacing w:before="40" w:after="40"/>
              <w:jc w:val="center"/>
            </w:pPr>
            <w:r>
              <w:rPr>
                <w:rFonts w:ascii="Times New Roman" w:hAnsi="Times New Roman"/>
                <w:sz w:val="18"/>
              </w:rPr>
              <w:t>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1093241F">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57DA7CB4">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DD33A9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FCD709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F8CBF4C">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C1501CF">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AF8FCAB">
            <w:pPr>
              <w:spacing w:before="40" w:after="40"/>
              <w:jc w:val="center"/>
            </w:pPr>
            <w:r>
              <w:rPr>
                <w:rFonts w:ascii="Times New Roman" w:hAnsi="Times New Roman"/>
                <w:b/>
                <w:sz w:val="18"/>
              </w:rPr>
              <w:t>0.00%</w:t>
            </w:r>
          </w:p>
        </w:tc>
      </w:tr>
    </w:tbl>
    <w:p w14:paraId="445F0E85">
      <w:pPr>
        <w:spacing w:after="120"/>
      </w:pPr>
    </w:p>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059DEFCF">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rPr>
          <w:rFonts w:ascii="Times New Roman" w:hAnsi="Times New Roman"/>
          <w:sz w:val="20"/>
        </w:rPr>
        <w:t>To empirically measure the scientific contribution of the Six-Stage Semantic Canonical Normalization Layer (CanonicalNormalizer) [25], [36], we executed a two-pass benchmark evaluation across all 360 specimens (5,760 total field comparisons).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rPr>
          <w:rFonts w:ascii="Times New Roman" w:hAnsi="Times New Roman"/>
          <w:sz w:val="20"/>
        </w:rPr>
        <w:t>Table 3 summarizes the empirical metric impact of semantic canonical normalization measured during the two-pass ablation study.</w:t>
      </w:r>
    </w:p>
    <w:p w14:paraId="17F928D7">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09DD34EF">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0E364019">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3A0CD186">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07CC0946">
            <w:pPr>
              <w:spacing w:before="40" w:after="40"/>
              <w:jc w:val="center"/>
            </w:pPr>
            <w:r>
              <w:rPr>
                <w:rFonts w:ascii="Times New Roman" w:hAnsi="Times New Roman"/>
                <w:b/>
                <w:color w:val="FFFFFF"/>
                <w:sz w:val="19"/>
              </w:rPr>
              <w:t>Mean WER</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747A4854">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F1F416A">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79F7D005">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A0DDE50">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00CAB29A">
            <w:pPr>
              <w:spacing w:before="40" w:after="40"/>
              <w:jc w:val="center"/>
            </w:pPr>
            <w:r>
              <w:rPr>
                <w:rFonts w:ascii="Times New Roman" w:hAnsi="Times New Roman"/>
                <w:sz w:val="18"/>
              </w:rPr>
              <w:t>285.31%</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4F51C18F">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C52DCBC">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2385BA7">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1835AC34">
            <w:pPr>
              <w:spacing w:before="40" w:after="40"/>
              <w:jc w:val="center"/>
            </w:pPr>
            <w:r>
              <w:rPr>
                <w:rFonts w:ascii="Times New Roman" w:hAnsi="Times New Roman"/>
                <w:b/>
                <w:sz w:val="18"/>
              </w:rPr>
              <w:t>27.01%</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79B68280">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1C43BF7A">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40D0B3CF">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6552A3AE">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78569E93">
            <w:pPr>
              <w:spacing w:before="40" w:after="40"/>
              <w:jc w:val="center"/>
            </w:pPr>
            <w:r>
              <w:rPr>
                <w:rFonts w:ascii="Times New Roman" w:hAnsi="Times New Roman"/>
                <w:b/>
                <w:sz w:val="18"/>
              </w:rPr>
              <w:t>-258.30%</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5D041F5A">
      <w:pPr>
        <w:spacing w:after="120"/>
      </w:pPr>
    </w:p>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6BAA8573">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m:oMath>
              <m:r>
                <m:rPr/>
                <w:rPr>
                  <w:rFonts w:ascii="Cambria Math" w:hAnsi="Cambria Math"/>
                </w:rPr>
                <m:t>→</m:t>
              </m:r>
            </m: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m:oMath>
              <m:r>
                <m:rPr/>
                <w:rPr>
                  <w:rFonts w:ascii="Cambria Math" w:hAnsi="Cambria Math"/>
                </w:rPr>
                <m:t>→</m:t>
              </m:r>
            </m: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m:oMath>
              <m:r>
                <m:rPr/>
                <w:rPr>
                  <w:rFonts w:ascii="Cambria Math" w:hAnsi="Cambria Math"/>
                </w:rPr>
                <m:t>→</m:t>
              </m:r>
            </m: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m:oMath>
              <m:r>
                <m:rPr/>
                <w:rPr>
                  <w:rFonts w:ascii="Cambria Math" w:hAnsi="Cambria Math"/>
                </w:rPr>
                <m:t>→</m:t>
              </m:r>
            </m: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m:oMath>
              <m:r>
                <m:rPr/>
                <w:rPr>
                  <w:rFonts w:ascii="Cambria Math" w:hAnsi="Cambria Math"/>
                </w:rPr>
                <m:t>→</m:t>
              </m:r>
            </m: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4949581">
      <w:pPr>
        <w:spacing w:after="120"/>
      </w:pPr>
    </w:p>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wp:inline distT="0" distB="0" distL="0" distR="0">
            <wp:extent cx="5486400" cy="3657600"/>
            <wp:effectExtent l="0" t="0" r="0" b="0"/>
            <wp:docPr id="4" name="Picture 4"/>
            <wp:cNvGraphicFramePr>
              <ns5:graphicFrameLocks noChangeAspect="1"/>
            </wp: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wp: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wp:inline distT="0" distB="0" distL="0" distR="0">
            <wp:extent cx="5486400" cy="4389120"/>
            <wp:effectExtent l="0" t="0" r="0" b="11430"/>
            <wp:docPr id="5" name="Picture 5"/>
            <wp:cNvGraphicFramePr>
              <ns5:graphicFrameLocks noChangeAspect="1"/>
            </wp: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wp: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wp:inline distT="0" distB="0" distL="0" distR="0">
            <wp:extent cx="5486400" cy="3375660"/>
            <wp:effectExtent l="0" t="0" r="0" b="15240"/>
            <wp:docPr id="6" name="Picture 6"/>
            <wp:cNvGraphicFramePr>
              <ns5:graphicFrameLocks noChangeAspect="1"/>
            </wp: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wp: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wp:inline distT="0" distB="0" distL="0" distR="0">
            <wp:extent cx="5486400" cy="3086100"/>
            <wp:effectExtent l="0" t="0" r="0" b="0"/>
            <wp:docPr id="7" name="Picture 7"/>
            <wp:cNvGraphicFramePr>
              <ns5:graphicFrameLocks noChangeAspect="1"/>
            </wp: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wp: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rPr>
          <w:rFonts w:ascii="Times New Roman" w:hAnsi="Times New Roman"/>
          <w:sz w:val="20"/>
        </w:rPr>
        <w:t xml:space="preserve">Routing field extractions through CanonicalNormalizer (Pass B) recovers true extraction performance, boosting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m:rPr/>
          <w:rPr>
            <w:rFonts w:ascii="Cambria Math" w:hAnsi="Cambria Math"/>
          </w:rPr>
          <m:t>N=5,760</m:t>
        </m:r>
      </m:oMath>
      <w:r>
        <w:rPr>
          <w:rFonts w:ascii="Times New Roman" w:hAnsi="Times New Roman"/>
          <w:sz w:val="20"/>
        </w:rPr>
        <w:t>).</w:t>
      </w:r>
    </w:p>
    <w:p w14:paraId="5DAB0695">
      <w:pPr>
        <w:spacing w:before="40" w:after="80" w:line="276" w:lineRule="auto"/>
      </w:pPr>
      <w:r>
        <w:rPr>
          <w:rFonts w:ascii="Times New Roman" w:hAnsi="Times New Roman"/>
          <w:sz w:val="20"/>
        </w:rPr>
        <w:t>Table 5 summarizes statistical hypothesis testing results across the 5,760 paired field observations.</w:t>
      </w:r>
    </w:p>
    <w:p w14:paraId="0E5E9854">
      <w:pPr>
        <w:keepNext/>
        <w:spacing w:before="80" w:after="160"/>
        <w:jc w:val="center"/>
      </w:pPr>
      <w:r>
        <w:rPr>
          <w:rFonts w:ascii="Times New Roman" w:hAnsi="Times New Roman"/>
          <w:b/>
          <w:color w:val="003366"/>
          <w:sz w:val="19"/>
        </w:rPr>
        <w:t>Table 5: Statistical Hypothesis Testing Summary (</w:t>
      </w:r>
      <m:oMath>
        <m:r>
          <m:rPr/>
          <w:rPr>
            <w:rFonts w:ascii="Cambria Math" w:hAnsi="Cambria Math"/>
          </w:rPr>
          <m:t>α=0.001</m:t>
        </m:r>
      </m: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16DFBE7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18CB6E77">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6140756C">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764AAC8C">
            <w:pPr>
              <w:spacing w:before="40" w:after="40"/>
              <w:jc w:val="center"/>
            </w:pPr>
            <w:r>
              <w:rPr>
                <w:rFonts w:ascii="Times New Roman" w:hAnsi="Times New Roman"/>
                <w:b/>
                <w:color w:val="FFFFFF"/>
                <w:sz w:val="19"/>
              </w:rPr>
              <w:t>Null Hypothesis (</w:t>
            </w:r>
            <m:oMath>
              <m:sSub>
                <m:sSubPr/>
                <m:e>
                  <m:r>
                    <m:rPr/>
                    <w:rPr>
                      <w:rFonts w:ascii="Cambria Math" w:hAnsi="Cambria Math"/>
                    </w:rPr>
                    <m:t>H</m:t>
                  </m:r>
                </m:e>
                <m:sub>
                  <m:r>
                    <m:rPr/>
                    <w:rPr>
                      <w:rFonts w:ascii="Cambria Math" w:hAnsi="Cambria Math"/>
                    </w:rPr>
                    <m:t>0</m:t>
                  </m:r>
                </m:sub>
              </m:sSub>
            </m: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7D6B92D6">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030B7A06">
            <w:pPr>
              <w:spacing w:before="40" w:after="40"/>
              <w:jc w:val="center"/>
            </w:pPr>
            <w:r>
              <w:rPr>
                <w:rFonts w:ascii="Times New Roman" w:hAnsi="Times New Roman"/>
                <w:b/>
                <w:color w:val="FFFFFF"/>
                <w:sz w:val="19"/>
              </w:rPr>
              <w:t xml:space="preserve">Exact </w:t>
            </w:r>
            <m:oMath>
              <m:r>
                <m:rPr/>
                <w:rPr>
                  <w:rFonts w:ascii="Cambria Math" w:hAnsi="Cambria Math"/>
                </w:rPr>
                <m:t>p</m:t>
              </m:r>
            </m: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4C6E366B">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6FB2FEBF">
            <w:pPr>
              <w:spacing w:before="40" w:after="40"/>
              <w:jc w:val="center"/>
            </w:pPr>
            <w:r>
              <w:rPr>
                <w:rFonts w:ascii="Times New Roman" w:hAnsi="Times New Roman"/>
                <w:b/>
                <w:color w:val="FFFFFF"/>
                <w:sz w:val="19"/>
              </w:rPr>
              <w:t>Significance Level</w:t>
            </w:r>
          </w:p>
        </w:tc>
      </w:tr>
      <w:tr w14:paraId="109DED9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05AF4432">
            <w:pPr>
              <w:spacing w:before="40" w:after="40"/>
              <w:jc w:val="left"/>
            </w:pPr>
            <w:r>
              <w:rPr>
                <w:rFonts w:ascii="Times New Roman" w:hAnsi="Times New Roman"/>
                <w:b/>
                <w:sz w:val="18"/>
              </w:rPr>
              <w:t>McNemar Test</w:t>
            </w:r>
            <w:r>
              <w:rPr>
                <w:rFonts w:ascii="Times New Roman" w:hAnsi="Times New Roman"/>
                <w:sz w:val="18"/>
              </w:rPr>
              <w:t xml:space="preserve"> [22]</w:t>
            </w:r>
          </w:p>
        </w:tc>
        <w:tc>
          <w:tcPr>
            <w:tcW w:w="1337" w:type="dxa"/>
            <w:shd w:val="clear" w:color="auto" w:fill="FFFFFF"/>
            <w:tcMar>
              <w:top w:w="100" w:type="dxa"/>
              <w:left w:w="130" w:type="dxa"/>
              <w:bottom w:w="100" w:type="dxa"/>
              <w:right w:w="130" w:type="dxa"/>
            </w:tcMar>
          </w:tcPr>
          <w:p w14:paraId="74644C47">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08916090">
            <w:pPr>
              <w:spacing w:before="40" w:after="40"/>
              <w:jc w:val="center"/>
            </w:pPr>
            <m:oMathPara>
              <m:oMath>
                <m:sSub>
                  <m:sSubPr/>
                  <m:e>
                    <m:r>
                      <m:rPr/>
                      <w:rPr>
                        <w:rFonts w:ascii="Times New Roman" w:hAnsi="Times New Roman"/>
                      </w:rPr>
                      <m:t>Acc</m:t>
                    </m:r>
                  </m:e>
                  <m:sub>
                    <m:r>
                      <m:rPr/>
                      <w:rPr>
                        <w:rFonts w:ascii="Times New Roman" w:hAnsi="Times New Roman"/>
                      </w:rPr>
                      <m:t>Pass A</m:t>
                    </m:r>
                  </m:sub>
                </m:sSub>
                <m:r>
                  <m:rPr/>
                  <w:rPr>
                    <w:rFonts w:ascii="Cambria Math" w:hAnsi="Cambria Math"/>
                  </w:rPr>
                  <m:t>=</m:t>
                </m:r>
                <m:sSub>
                  <m:sSubPr/>
                  <m:e>
                    <m:r>
                      <m:rPr/>
                      <w:rPr>
                        <w:rFonts w:ascii="Times New Roman" w:hAnsi="Times New Roman"/>
                      </w:rPr>
                      <m:t>Acc</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0D99A008">
            <w:pPr>
              <w:spacing w:before="40" w:after="40"/>
              <w:jc w:val="center"/>
            </w:pPr>
            <m:oMathPara>
              <m:oMath>
                <m:sSup>
                  <m:sSupPr/>
                  <m:e>
                    <m:r>
                      <m:rPr/>
                      <w:rPr>
                        <w:rFonts w:ascii="Cambria Math" w:hAnsi="Cambria Math"/>
                      </w:rPr>
                      <m:t>χ</m:t>
                    </m:r>
                  </m:e>
                  <m:sup>
                    <m:r>
                      <m:rPr/>
                      <w:rPr>
                        <w:rFonts w:ascii="Cambria Math" w:hAnsi="Cambria Math"/>
                      </w:rPr>
                      <m:t>2</m:t>
                    </m:r>
                  </m:sup>
                </m:sSup>
                <m:r>
                  <m:rPr/>
                  <w:rPr>
                    <w:rFonts w:ascii="Cambria Math" w:hAnsi="Cambria Math"/>
                  </w:rPr>
                  <m:t>=2618.00</m:t>
                </m:r>
              </m:oMath>
            </m:oMathPara>
          </w:p>
        </w:tc>
        <w:tc>
          <w:tcPr>
            <w:tcW w:w="1337" w:type="dxa"/>
            <w:shd w:val="clear" w:color="auto" w:fill="FFFFFF"/>
            <w:tcMar>
              <w:top w:w="100" w:type="dxa"/>
              <w:left w:w="130" w:type="dxa"/>
              <w:bottom w:w="100" w:type="dxa"/>
              <w:right w:w="130" w:type="dxa"/>
            </w:tcMar>
          </w:tcPr>
          <w:p w14:paraId="41BD005C">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100D1F57">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78133BB7">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5A435A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607AE8AD">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8F9FA"/>
            <w:tcMar>
              <w:top w:w="100" w:type="dxa"/>
              <w:left w:w="130" w:type="dxa"/>
              <w:bottom w:w="100" w:type="dxa"/>
              <w:right w:w="130" w:type="dxa"/>
            </w:tcMar>
          </w:tcPr>
          <w:p w14:paraId="0A682091">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4EFA2065">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F1</m:t>
                </m:r>
                <m:r>
                  <m:rPr/>
                  <w:rPr>
                    <w:rFonts w:ascii="Cambria Math" w:hAnsi="Cambria Math"/>
                  </w:rPr>
                  <m:t>)=0</m:t>
                </m:r>
              </m:oMath>
            </m:oMathPara>
          </w:p>
        </w:tc>
        <w:tc>
          <w:tcPr>
            <w:tcW w:w="1337" w:type="dxa"/>
            <w:shd w:val="clear" w:color="auto" w:fill="F8F9FA"/>
            <w:tcMar>
              <w:top w:w="100" w:type="dxa"/>
              <w:left w:w="130" w:type="dxa"/>
              <w:bottom w:w="100" w:type="dxa"/>
              <w:right w:w="130" w:type="dxa"/>
            </w:tcMar>
          </w:tcPr>
          <w:p w14:paraId="163C01BF">
            <w:pPr>
              <w:spacing w:before="40" w:after="40"/>
              <w:jc w:val="center"/>
            </w:pPr>
            <m:oMathPara>
              <m:oMath>
                <m:r>
                  <m:rPr/>
                  <w:rPr>
                    <w:rFonts w:ascii="Cambria Math" w:hAnsi="Cambria Math"/>
                  </w:rPr>
                  <m:t>W=64980.0</m:t>
                </m:r>
              </m:oMath>
            </m:oMathPara>
          </w:p>
        </w:tc>
        <w:tc>
          <w:tcPr>
            <w:tcW w:w="1337" w:type="dxa"/>
            <w:shd w:val="clear" w:color="auto" w:fill="F8F9FA"/>
            <w:tcMar>
              <w:top w:w="100" w:type="dxa"/>
              <w:left w:w="130" w:type="dxa"/>
              <w:bottom w:w="100" w:type="dxa"/>
              <w:right w:w="130" w:type="dxa"/>
            </w:tcMar>
          </w:tcPr>
          <w:p w14:paraId="3DEF9D35">
            <w:pPr>
              <w:spacing w:before="40" w:after="40"/>
              <w:jc w:val="center"/>
            </w:pPr>
            <m:oMathPara>
              <m:oMath>
                <m:r>
                  <m:rPr/>
                  <w:rPr>
                    <w:rFonts w:ascii="Cambria Math" w:hAnsi="Cambria Math"/>
                  </w:rPr>
                  <m:t>1.55×</m:t>
                </m:r>
                <m:sSup>
                  <m:sSupPr/>
                  <m:e>
                    <m:r>
                      <m:rPr/>
                      <w:rPr>
                        <w:rFonts w:ascii="Cambria Math" w:hAnsi="Cambria Math"/>
                      </w:rPr>
                      <m:t>10</m:t>
                    </m:r>
                  </m:e>
                  <m:sup>
                    <m:r>
                      <m:rPr/>
                      <w:rPr>
                        <w:rFonts w:ascii="Cambria Math" w:hAnsi="Cambria Math"/>
                      </w:rPr>
                      <m:t>−67</m:t>
                    </m:r>
                  </m:sup>
                </m:sSup>
              </m:oMath>
            </m:oMathPara>
          </w:p>
        </w:tc>
        <w:tc>
          <w:tcPr>
            <w:tcW w:w="1337" w:type="dxa"/>
            <w:shd w:val="clear" w:color="auto" w:fill="F8F9FA"/>
            <w:tcMar>
              <w:top w:w="100" w:type="dxa"/>
              <w:left w:w="130" w:type="dxa"/>
              <w:bottom w:w="100" w:type="dxa"/>
              <w:right w:w="130" w:type="dxa"/>
            </w:tcMar>
          </w:tcPr>
          <w:p w14:paraId="7ABA1916">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0C319A5E">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340E8B5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3D2B9C0F">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FFFFF"/>
            <w:tcMar>
              <w:top w:w="100" w:type="dxa"/>
              <w:left w:w="130" w:type="dxa"/>
              <w:bottom w:w="100" w:type="dxa"/>
              <w:right w:w="130" w:type="dxa"/>
            </w:tcMar>
          </w:tcPr>
          <w:p w14:paraId="5EF5E9AC">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4919BAB7">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CER</m:t>
                </m:r>
                <m:r>
                  <m:rPr/>
                  <w:rPr>
                    <w:rFonts w:ascii="Cambria Math" w:hAnsi="Cambria Math"/>
                  </w:rPr>
                  <m:t>)=0</m:t>
                </m:r>
              </m:oMath>
            </m:oMathPara>
          </w:p>
        </w:tc>
        <w:tc>
          <w:tcPr>
            <w:tcW w:w="1337" w:type="dxa"/>
            <w:shd w:val="clear" w:color="auto" w:fill="FFFFFF"/>
            <w:tcMar>
              <w:top w:w="100" w:type="dxa"/>
              <w:left w:w="130" w:type="dxa"/>
              <w:bottom w:w="100" w:type="dxa"/>
              <w:right w:w="130" w:type="dxa"/>
            </w:tcMar>
          </w:tcPr>
          <w:p w14:paraId="58A1A845">
            <w:pPr>
              <w:spacing w:before="40" w:after="40"/>
              <w:jc w:val="center"/>
            </w:pPr>
            <m:oMathPara>
              <m:oMath>
                <m:r>
                  <m:rPr/>
                  <w:rPr>
                    <w:rFonts w:ascii="Cambria Math" w:hAnsi="Cambria Math"/>
                  </w:rPr>
                  <m:t>W=64980.0</m:t>
                </m:r>
              </m:oMath>
            </m:oMathPara>
          </w:p>
        </w:tc>
        <w:tc>
          <w:tcPr>
            <w:tcW w:w="1337" w:type="dxa"/>
            <w:shd w:val="clear" w:color="auto" w:fill="FFFFFF"/>
            <w:tcMar>
              <w:top w:w="100" w:type="dxa"/>
              <w:left w:w="130" w:type="dxa"/>
              <w:bottom w:w="100" w:type="dxa"/>
              <w:right w:w="130" w:type="dxa"/>
            </w:tcMar>
          </w:tcPr>
          <w:p w14:paraId="6A32979F">
            <w:pPr>
              <w:spacing w:before="40" w:after="40"/>
              <w:jc w:val="center"/>
            </w:pPr>
            <m:oMathPara>
              <m:oMath>
                <m:r>
                  <m:rPr/>
                  <w:rPr>
                    <w:rFonts w:ascii="Cambria Math" w:hAnsi="Cambria Math"/>
                  </w:rPr>
                  <m:t>4.68×</m:t>
                </m:r>
                <m:sSup>
                  <m:sSupPr/>
                  <m:e>
                    <m:r>
                      <m:rPr/>
                      <w:rPr>
                        <w:rFonts w:ascii="Cambria Math" w:hAnsi="Cambria Math"/>
                      </w:rPr>
                      <m:t>10</m:t>
                    </m:r>
                  </m:e>
                  <m:sup>
                    <m:r>
                      <m:rPr/>
                      <w:rPr>
                        <w:rFonts w:ascii="Cambria Math" w:hAnsi="Cambria Math"/>
                      </w:rPr>
                      <m:t>−61</m:t>
                    </m:r>
                  </m:sup>
                </m:sSup>
              </m:oMath>
            </m:oMathPara>
          </w:p>
        </w:tc>
        <w:tc>
          <w:tcPr>
            <w:tcW w:w="1337" w:type="dxa"/>
            <w:shd w:val="clear" w:color="auto" w:fill="FFFFFF"/>
            <w:tcMar>
              <w:top w:w="100" w:type="dxa"/>
              <w:left w:w="130" w:type="dxa"/>
              <w:bottom w:w="100" w:type="dxa"/>
              <w:right w:w="130" w:type="dxa"/>
            </w:tcMar>
          </w:tcPr>
          <w:p w14:paraId="777CBEC9">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1CDFDD94">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68ADB05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08E43F61">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358E2A89">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1661063D">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8F9FA"/>
            <w:tcMar>
              <w:top w:w="100" w:type="dxa"/>
              <w:left w:w="130" w:type="dxa"/>
              <w:bottom w:w="100" w:type="dxa"/>
              <w:right w:w="130" w:type="dxa"/>
            </w:tcMar>
          </w:tcPr>
          <w:p w14:paraId="13D9D2F5">
            <w:pPr>
              <w:spacing w:before="40" w:after="40"/>
              <w:jc w:val="center"/>
            </w:pPr>
            <m:oMathPara>
              <m:oMath>
                <m:r>
                  <m:rPr/>
                  <w:rPr>
                    <w:rFonts w:ascii="Cambria Math" w:hAnsi="Cambria Math"/>
                  </w:rPr>
                  <m:t>t=307.87</m:t>
                </m:r>
              </m:oMath>
            </m:oMathPara>
          </w:p>
        </w:tc>
        <w:tc>
          <w:tcPr>
            <w:tcW w:w="1337" w:type="dxa"/>
            <w:shd w:val="clear" w:color="auto" w:fill="F8F9FA"/>
            <w:tcMar>
              <w:top w:w="100" w:type="dxa"/>
              <w:left w:w="130" w:type="dxa"/>
              <w:bottom w:w="100" w:type="dxa"/>
              <w:right w:w="130" w:type="dxa"/>
            </w:tcMar>
          </w:tcPr>
          <w:p w14:paraId="1E5CC5C1">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8F9FA"/>
            <w:tcMar>
              <w:top w:w="100" w:type="dxa"/>
              <w:left w:w="130" w:type="dxa"/>
              <w:bottom w:w="100" w:type="dxa"/>
              <w:right w:w="130" w:type="dxa"/>
            </w:tcMar>
          </w:tcPr>
          <w:p w14:paraId="142ADBF7">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45E8C6CD">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0B7C4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2492331F">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0A361868">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11A86AB7">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26950817">
            <w:pPr>
              <w:spacing w:before="40" w:after="40"/>
              <w:jc w:val="center"/>
            </w:pPr>
            <m:oMathPara>
              <m:oMath>
                <m:r>
                  <m:rPr/>
                  <w:rPr>
                    <w:rFonts w:ascii="Cambria Math" w:hAnsi="Cambria Math"/>
                  </w:rPr>
                  <m:t>t=262.36</m:t>
                </m:r>
              </m:oMath>
            </m:oMathPara>
          </w:p>
        </w:tc>
        <w:tc>
          <w:tcPr>
            <w:tcW w:w="1337" w:type="dxa"/>
            <w:shd w:val="clear" w:color="auto" w:fill="FFFFFF"/>
            <w:tcMar>
              <w:top w:w="100" w:type="dxa"/>
              <w:left w:w="130" w:type="dxa"/>
              <w:bottom w:w="100" w:type="dxa"/>
              <w:right w:w="130" w:type="dxa"/>
            </w:tcMar>
          </w:tcPr>
          <w:p w14:paraId="4FDF2C2A">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4BD8E7D9">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0E798EB2">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bl>
    <w:p w14:paraId="3E373470">
      <w:pPr>
        <w:spacing w:after="120"/>
      </w:pPr>
    </w:p>
    <w:p w14:paraId="788D6430">
      <w:pPr>
        <w:spacing w:before="40" w:after="80" w:line="276" w:lineRule="auto"/>
      </w:pPr>
      <w:r>
        <w:rPr>
          <w:rFonts w:ascii="Times New Roman" w:hAnsi="Times New Roman"/>
          <w:sz w:val="20"/>
        </w:rPr>
        <w:t xml:space="preserve">McNemar's test [22] over the </w:t>
      </w:r>
      <m:oMath>
        <m:r>
          <m:rPr/>
          <w:rPr>
            <w:rFonts w:ascii="Cambria Math" w:hAnsi="Cambria Math"/>
          </w:rPr>
          <m:t>2×2</m:t>
        </m:r>
      </m:oMath>
      <w:r>
        <w:rPr>
          <w:rFonts w:ascii="Times New Roman" w:hAnsi="Times New Roman"/>
          <w:sz w:val="20"/>
        </w:rPr>
        <w:t xml:space="preserve"> contingency matrix (</w:t>
      </w:r>
      <m:oMath>
        <m:r>
          <m:rPr/>
          <w:rPr>
            <w:rFonts w:ascii="Cambria Math" w:hAnsi="Cambria Math"/>
          </w:rPr>
          <m:t>a=2,880,b=0,c=2,620,d=260</m:t>
        </m:r>
      </m:oMath>
      <w:r>
        <w:rPr>
          <w:rFonts w:ascii="Times New Roman" w:hAnsi="Times New Roman"/>
          <w:sz w:val="20"/>
        </w:rPr>
        <w:t xml:space="preserve">) yielded </w:t>
      </w:r>
      <m:oMath>
        <m:sSup>
          <m:sSupPr/>
          <m:e>
            <m:r>
              <m:rPr/>
              <w:rPr>
                <w:rFonts w:ascii="Cambria Math" w:hAnsi="Cambria Math"/>
              </w:rPr>
              <m:t>χ</m:t>
            </m:r>
          </m:e>
          <m:sup>
            <m:r>
              <m:rPr/>
              <w:rPr>
                <w:rFonts w:ascii="Cambria Math" w:hAnsi="Cambria Math"/>
              </w:rPr>
              <m:t>2</m:t>
            </m:r>
          </m:sup>
        </m:sSup>
        <m:r>
          <m:rPr/>
          <w:rPr>
            <w:rFonts w:ascii="Cambria Math" w:hAnsi="Cambria Math"/>
          </w:rPr>
          <m:t>=2618.00</m:t>
        </m:r>
      </m:oMath>
      <w:r>
        <w:rPr>
          <w:rFonts w:ascii="Times New Roman" w:hAnsi="Times New Roman"/>
          <w:sz w:val="20"/>
        </w:rPr>
        <w:t xml:space="preserve"> (</w:t>
      </w:r>
      <m:oMath>
        <m:r>
          <m:rPr/>
          <w:rPr>
            <w:rFonts w:ascii="Cambria Math" w:hAnsi="Cambria Math"/>
          </w:rPr>
          <m:t>p&lt;0.0001</m:t>
        </m:r>
      </m:oMath>
      <w:r>
        <w:rPr>
          <w:rFonts w:ascii="Times New Roman" w:hAnsi="Times New Roman"/>
          <w:sz w:val="20"/>
        </w:rPr>
        <w:t>), confirming that canonical normalization provides an overwhelmingly statistically significant improvement in field match accuracy.</w:t>
      </w:r>
    </w:p>
    <w:p w14:paraId="4F9F57F8">
      <w:pPr>
        <w:keepNext/>
        <w:spacing w:before="200" w:after="80"/>
      </w:pPr>
      <w:r>
        <w:rPr>
          <w:rFonts w:ascii="Times New Roman" w:hAnsi="Times New Roman"/>
          <w:b/>
          <w:color w:val="333333"/>
          <w:sz w:val="23"/>
        </w:rPr>
        <w:t>5.7 Non-Parametric 95% Bootstrap Confidence Intervals</w:t>
      </w:r>
    </w:p>
    <w:p w14:paraId="578DDAEE">
      <w:pPr>
        <w:spacing w:before="40" w:after="80" w:line="276" w:lineRule="auto"/>
      </w:pPr>
      <w:r>
        <w:rPr>
          <w:rFonts w:ascii="Times New Roman" w:hAnsi="Times New Roman"/>
          <w:sz w:val="20"/>
        </w:rPr>
        <w:t>To establish rigorous confidence bounds, non-parametric empirical bootstrap resampling (</w:t>
      </w:r>
      <m:oMath>
        <m:r>
          <m:rPr/>
          <w:rPr>
            <w:rFonts w:ascii="Cambria Math" w:hAnsi="Cambria Math"/>
          </w:rPr>
          <m:t>B=1,000</m:t>
        </m:r>
      </m:oMath>
      <w:r>
        <w:rPr>
          <w:rFonts w:ascii="Times New Roman" w:hAnsi="Times New Roman"/>
          <w:sz w:val="20"/>
        </w:rPr>
        <w:t xml:space="preserve"> iterations) [24] was performed over the 5,760 field observations.</w:t>
      </w:r>
    </w:p>
    <w:p w14:paraId="69FABC89">
      <w:pPr>
        <w:spacing w:before="40" w:after="80" w:line="276" w:lineRule="auto"/>
      </w:pPr>
      <w:r>
        <w:rPr>
          <w:rFonts w:ascii="Times New Roman" w:hAnsi="Times New Roman"/>
          <w:sz w:val="20"/>
        </w:rPr>
        <w:t>Table 6 presents empirical benchmark metrics with 95% bootstrap confidence intervals (</w:t>
      </w:r>
      <m:oMath>
        <m:r>
          <m:rPr/>
          <w:rPr>
            <w:rFonts w:ascii="Cambria Math" w:hAnsi="Cambria Math"/>
          </w:rPr>
          <m:t>B=1,000</m:t>
        </m:r>
      </m:oMath>
      <w:r>
        <w:rPr>
          <w:rFonts w:ascii="Times New Roman" w:hAnsi="Times New Roman"/>
          <w:sz w:val="20"/>
        </w:rPr>
        <w:t xml:space="preserve"> iterations).</w:t>
      </w:r>
    </w:p>
    <w:p w14:paraId="1B82FFBA">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294A806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0A0697C1">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4DF1546A">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18D81D90">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0B7C0D98">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3909E36F">
            <w:pPr>
              <w:spacing w:before="40" w:after="40"/>
              <w:jc w:val="center"/>
            </w:pPr>
            <w:r>
              <w:rPr>
                <w:rFonts w:ascii="Times New Roman" w:hAnsi="Times New Roman"/>
                <w:b/>
                <w:color w:val="FFFFFF"/>
                <w:sz w:val="19"/>
              </w:rPr>
              <w:t>CI Bound Range (</w:t>
            </w:r>
            <m:oMath>
              <m:r>
                <m:rPr/>
                <w:rPr>
                  <w:rFonts w:ascii="Cambria Math" w:hAnsi="Cambria Math"/>
                </w:rPr>
                <m:t>Δ</m:t>
              </m:r>
            </m:oMath>
            <w:r>
              <w:rPr>
                <w:rFonts w:ascii="Times New Roman" w:hAnsi="Times New Roman"/>
                <w:b/>
                <w:color w:val="FFFFFF"/>
                <w:sz w:val="19"/>
              </w:rPr>
              <w:t>)</w:t>
            </w:r>
          </w:p>
        </w:tc>
      </w:tr>
      <w:tr w14:paraId="21E4C5B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41B91A7">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1E6539DE">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7ABB059B">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102C1047">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5D0E149B">
            <w:pPr>
              <w:spacing w:before="40" w:after="40"/>
              <w:jc w:val="center"/>
            </w:pPr>
            <w:r>
              <w:rPr>
                <w:rFonts w:ascii="Times New Roman" w:hAnsi="Times New Roman"/>
                <w:sz w:val="18"/>
              </w:rPr>
              <w:t>2.57%</w:t>
            </w:r>
          </w:p>
        </w:tc>
      </w:tr>
      <w:tr w14:paraId="4537DCA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FDD5C8B">
            <w:pPr>
              <w:spacing w:before="40" w:after="40"/>
              <w:jc w:val="left"/>
            </w:pPr>
          </w:p>
        </w:tc>
        <w:tc>
          <w:tcPr>
            <w:tcW w:w="1872" w:type="dxa"/>
            <w:shd w:val="clear" w:color="auto" w:fill="F8F9FA"/>
            <w:tcMar>
              <w:top w:w="100" w:type="dxa"/>
              <w:left w:w="130" w:type="dxa"/>
              <w:bottom w:w="100" w:type="dxa"/>
              <w:right w:w="130" w:type="dxa"/>
            </w:tcMar>
          </w:tcPr>
          <w:p w14:paraId="02960C6D">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0F75021E">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11901F40">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24EB4D4B">
            <w:pPr>
              <w:spacing w:before="40" w:after="40"/>
              <w:jc w:val="center"/>
            </w:pPr>
            <w:r>
              <w:rPr>
                <w:rFonts w:ascii="Times New Roman" w:hAnsi="Times New Roman"/>
                <w:sz w:val="18"/>
              </w:rPr>
              <w:t>2.44%</w:t>
            </w:r>
          </w:p>
        </w:tc>
      </w:tr>
      <w:tr w14:paraId="49FC872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892F53B">
            <w:pPr>
              <w:spacing w:before="40" w:after="40"/>
              <w:jc w:val="left"/>
            </w:pPr>
          </w:p>
        </w:tc>
        <w:tc>
          <w:tcPr>
            <w:tcW w:w="1872" w:type="dxa"/>
            <w:shd w:val="clear" w:color="auto" w:fill="FFFFFF"/>
            <w:tcMar>
              <w:top w:w="100" w:type="dxa"/>
              <w:left w:w="130" w:type="dxa"/>
              <w:bottom w:w="100" w:type="dxa"/>
              <w:right w:w="130" w:type="dxa"/>
            </w:tcMar>
          </w:tcPr>
          <w:p w14:paraId="360A6C95">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4C2F56DF">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3F1938DC">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15558EED">
            <w:pPr>
              <w:spacing w:before="40" w:after="40"/>
              <w:jc w:val="center"/>
            </w:pPr>
            <w:r>
              <w:rPr>
                <w:rFonts w:ascii="Times New Roman" w:hAnsi="Times New Roman"/>
                <w:sz w:val="18"/>
              </w:rPr>
              <w:t>18.62%</w:t>
            </w:r>
          </w:p>
        </w:tc>
      </w:tr>
      <w:tr w14:paraId="67C142C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0D634840">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304D53ED">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6AD58B08">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1813561B">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73996FA0">
            <w:pPr>
              <w:spacing w:before="40" w:after="40"/>
              <w:jc w:val="center"/>
            </w:pPr>
            <w:r>
              <w:rPr>
                <w:rFonts w:ascii="Times New Roman" w:hAnsi="Times New Roman"/>
                <w:sz w:val="18"/>
              </w:rPr>
              <w:t>1.08%</w:t>
            </w:r>
          </w:p>
        </w:tc>
      </w:tr>
      <w:tr w14:paraId="51A91D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0175F5E1">
            <w:pPr>
              <w:spacing w:before="40" w:after="40"/>
              <w:jc w:val="left"/>
            </w:pPr>
          </w:p>
        </w:tc>
        <w:tc>
          <w:tcPr>
            <w:tcW w:w="1872" w:type="dxa"/>
            <w:shd w:val="clear" w:color="auto" w:fill="FFFFFF"/>
            <w:tcMar>
              <w:top w:w="100" w:type="dxa"/>
              <w:left w:w="130" w:type="dxa"/>
              <w:bottom w:w="100" w:type="dxa"/>
              <w:right w:w="130" w:type="dxa"/>
            </w:tcMar>
          </w:tcPr>
          <w:p w14:paraId="63767A61">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206987E7">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1D0E22E4">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7538C8F1">
            <w:pPr>
              <w:spacing w:before="40" w:after="40"/>
              <w:jc w:val="center"/>
            </w:pPr>
            <w:r>
              <w:rPr>
                <w:rFonts w:ascii="Times New Roman" w:hAnsi="Times New Roman"/>
                <w:sz w:val="18"/>
              </w:rPr>
              <w:t>0.87%</w:t>
            </w:r>
          </w:p>
        </w:tc>
      </w:tr>
      <w:tr w14:paraId="0D14952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0542A2B">
            <w:pPr>
              <w:spacing w:before="40" w:after="40"/>
              <w:jc w:val="left"/>
            </w:pPr>
          </w:p>
        </w:tc>
        <w:tc>
          <w:tcPr>
            <w:tcW w:w="1872" w:type="dxa"/>
            <w:shd w:val="clear" w:color="auto" w:fill="F8F9FA"/>
            <w:tcMar>
              <w:top w:w="100" w:type="dxa"/>
              <w:left w:w="130" w:type="dxa"/>
              <w:bottom w:w="100" w:type="dxa"/>
              <w:right w:w="130" w:type="dxa"/>
            </w:tcMar>
          </w:tcPr>
          <w:p w14:paraId="0713551E">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264DBD4D">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727D1F8B">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1C90193B">
            <w:pPr>
              <w:spacing w:before="40" w:after="40"/>
              <w:jc w:val="center"/>
            </w:pPr>
            <w:r>
              <w:rPr>
                <w:rFonts w:ascii="Times New Roman" w:hAnsi="Times New Roman"/>
                <w:sz w:val="18"/>
              </w:rPr>
              <w:t>6.40%</w:t>
            </w:r>
          </w:p>
        </w:tc>
      </w:tr>
      <w:tr w14:paraId="29A425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FEC84D8">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43978F90">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6F6FE408">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5BE80B9C">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33D20716">
            <w:pPr>
              <w:spacing w:before="40" w:after="40"/>
              <w:jc w:val="center"/>
            </w:pPr>
            <w:r>
              <w:rPr>
                <w:rFonts w:ascii="Times New Roman" w:hAnsi="Times New Roman"/>
                <w:sz w:val="18"/>
              </w:rPr>
              <w:t>2.53%</w:t>
            </w:r>
          </w:p>
        </w:tc>
      </w:tr>
      <w:tr w14:paraId="1692B09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19E1B9CE">
            <w:pPr>
              <w:spacing w:before="40" w:after="40"/>
              <w:jc w:val="left"/>
            </w:pPr>
          </w:p>
        </w:tc>
        <w:tc>
          <w:tcPr>
            <w:tcW w:w="1872" w:type="dxa"/>
            <w:shd w:val="clear" w:color="auto" w:fill="F8F9FA"/>
            <w:tcMar>
              <w:top w:w="100" w:type="dxa"/>
              <w:left w:w="130" w:type="dxa"/>
              <w:bottom w:w="100" w:type="dxa"/>
              <w:right w:w="130" w:type="dxa"/>
            </w:tcMar>
          </w:tcPr>
          <w:p w14:paraId="69B5287C">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29975DF7">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31D5F293">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1C124951">
            <w:pPr>
              <w:spacing w:before="40" w:after="40"/>
              <w:jc w:val="center"/>
            </w:pPr>
            <w:r>
              <w:rPr>
                <w:rFonts w:ascii="Times New Roman" w:hAnsi="Times New Roman"/>
                <w:sz w:val="18"/>
              </w:rPr>
              <w:t>2.40%</w:t>
            </w:r>
          </w:p>
        </w:tc>
      </w:tr>
      <w:tr w14:paraId="3B7A52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63AFEC0D">
            <w:pPr>
              <w:spacing w:before="40" w:after="40"/>
              <w:jc w:val="left"/>
            </w:pPr>
          </w:p>
        </w:tc>
        <w:tc>
          <w:tcPr>
            <w:tcW w:w="1872" w:type="dxa"/>
            <w:shd w:val="clear" w:color="auto" w:fill="FFFFFF"/>
            <w:tcMar>
              <w:top w:w="100" w:type="dxa"/>
              <w:left w:w="130" w:type="dxa"/>
              <w:bottom w:w="100" w:type="dxa"/>
              <w:right w:w="130" w:type="dxa"/>
            </w:tcMar>
          </w:tcPr>
          <w:p w14:paraId="02081049">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25E66CF7">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321E6132">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192B9FEC">
            <w:pPr>
              <w:spacing w:before="40" w:after="40"/>
              <w:jc w:val="center"/>
            </w:pPr>
            <w:r>
              <w:rPr>
                <w:rFonts w:ascii="Times New Roman" w:hAnsi="Times New Roman"/>
                <w:sz w:val="18"/>
              </w:rPr>
              <w:t>18.62%</w:t>
            </w:r>
          </w:p>
        </w:tc>
      </w:tr>
    </w:tbl>
    <w:p w14:paraId="710B8DDF">
      <w:pPr>
        <w:spacing w:after="120"/>
      </w:pP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 [28], [37].</w:t>
      </w:r>
    </w:p>
    <w:p w14:paraId="02C0101C">
      <w:pPr>
        <w:spacing w:before="40" w:after="80" w:line="276" w:lineRule="auto"/>
      </w:pPr>
      <w:r>
        <w:rPr>
          <w:rFonts w:ascii="Times New Roman" w:hAnsi="Times New Roman"/>
          <w:sz w:val="20"/>
        </w:rPr>
        <w:t>Table 7 details the nine-class OCR error taxonomy distribution shift before and after canonical normalization.</w:t>
      </w:r>
    </w:p>
    <w:p w14:paraId="061FCACD">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749AC23F">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2A5C94FE">
      <w:pPr>
        <w:spacing w:after="120"/>
      </w:pPr>
    </w:p>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79A6AE55">
      <w:pPr>
        <w:spacing w:before="40" w:after="80" w:line="276" w:lineRule="auto"/>
      </w:pPr>
      <w:r>
        <w:rPr>
          <w:rFonts w:ascii="Times New Roman" w:hAnsi="Times New Roman"/>
          <w:sz w:val="20"/>
        </w:rPr>
        <w:t>---</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 xml:space="preserve">2. Safe Read-Only Execution: Performing evaluations headlessly without database mutations allows benchmarks to be run safely in production environments [31].
3. Option B Evaluation Scope: Under text-prompted inference (Option B), optical degradation profiles produce identical extraction results because image quality does not affect text-level input. The degradation matrix is architected for Option A (image-based) evaluation in future experiments.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7CB9E8A2">
      <w:pPr>
        <w:spacing w:before="40" w:after="80" w:line="276" w:lineRule="auto"/>
      </w:pPr>
      <w:r>
        <w:rPr>
          <w:rFonts w:ascii="Times New Roman" w:hAnsi="Times New Roman"/>
          <w:sz w:val="20"/>
        </w:rPr>
        <w:t>---</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F226A24">
      <w:pPr>
        <w:spacing w:before="40" w:after="80" w:line="276" w:lineRule="auto"/>
      </w:pPr>
      <w:r>
        <w:rPr>
          <w:rFonts w:ascii="Times New Roman" w:hAnsi="Times New Roman"/>
          <w:sz w:val="20"/>
        </w:rPr>
        <w:t>---</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30C6CE29">
      <w:pPr>
        <w:spacing w:before="40" w:after="80" w:line="276" w:lineRule="auto"/>
      </w:pPr>
      <w:r>
        <w:rPr>
          <w:rFonts w:ascii="Times New Roman" w:hAnsi="Times New Roman"/>
          <w:sz w:val="20"/>
        </w:rPr>
        <w:t>---</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m:oMath>
        <m:r>
          <m:rPr/>
          <w:rPr>
            <w:rFonts w:ascii="Cambria Math" w:hAnsi="Cambria Math"/>
          </w:rPr>
          <m:t>5,760</m:t>
        </m:r>
      </m:oMath>
      <m:oMath>
        <m:r>
          <m:rPr/>
          <w:rPr>
            <w:rFonts w:ascii="Cambria Math" w:hAnsi="Cambria Math"/>
          </w:rPr>
          <m:t>p&lt;0.0001</m:t>
        </m:r>
      </m:oMath>
      <w:r>
        <w:t xml:space="preserve">Empirical evaluation across 360 benchmark specimens ( paired field observations) confirmed that semantic canonical normalization successfully isolates genuine recognition failures from superficial formatting discrepancies () [22], [25], while live model evaluation uncovered prompt-level schema constraint failure modes in zero-shot document category classification.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The initial evaluation baseline uses zero-shot text-prompted LLM inference (Option B). Full image-based evaluation of classical OCR engines and open-weight Vision-Language Models under Option A constitutes the primary planned extension.</w:t>
      </w:r>
    </w:p>
    <w:p w14:paraId="7F760776">
      <w:pPr>
        <w:spacing w:before="40" w:after="80" w:line="276" w:lineRule="auto"/>
      </w:pPr>
      <w:r>
        <w:rPr>
          <w:rFonts w:ascii="Times New Roman" w:hAnsi="Times New Roman"/>
          <w:sz w:val="20"/>
        </w:rPr>
        <w:t>---</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14:paraId="6677553A">
      <w:pPr>
        <w:spacing w:before="40" w:after="80" w:line="276" w:lineRule="auto"/>
      </w:pPr>
      <w:r>
        <w:rPr>
          <w:rFonts w:ascii="Times New Roman" w:hAnsi="Times New Roman"/>
          <w:sz w:val="20"/>
        </w:rPr>
        <w:t>---</w:t>
      </w:r>
    </w:p>
    <w:p w14:paraId="7BAB9002">
      <w:pPr>
        <w:keepNext/>
        <w:spacing w:before="280" w:after="120"/>
      </w:pPr>
      <w:r>
        <w:rPr>
          <w:rFonts w:ascii="Times New Roman" w:hAnsi="Times New Roman"/>
          <w:b/>
          <w:color w:val="003366"/>
          <w:sz w:val="26"/>
        </w:rPr>
        <w:t>Appendix A: Reproducibility Specifications</w:t>
      </w:r>
    </w:p>
    <w:p w14:paraId="139E0F57">
      <w:pPr>
        <w:pStyle w:val="23"/>
        <w:spacing w:before="20" w:after="40"/>
      </w:pPr>
      <w:r>
        <w:rPr>
          <w:rFonts w:ascii="Times New Roman" w:hAnsi="Times New Roman"/>
          <w:b/>
          <w:sz w:val="20"/>
        </w:rPr>
        <w:t>Dataset SHA-256 Hash</w:t>
      </w:r>
      <w:r>
        <w:rPr>
          <w:rFonts w:ascii="Times New Roman" w:hAnsi="Times New Roman"/>
          <w:sz w:val="20"/>
        </w:rPr>
        <w:t>: 17c136ef76dd0f82</w:t>
      </w:r>
    </w:p>
    <w:p w14:paraId="7C37F31F">
      <w:pPr>
        <w:pStyle w:val="23"/>
        <w:spacing w:before="20" w:after="40"/>
      </w:pPr>
      <w:r>
        <w:rPr>
          <w:rFonts w:ascii="Times New Roman" w:hAnsi="Times New Roman"/>
          <w:b/>
          <w:sz w:val="20"/>
        </w:rPr>
        <w:t>Git Commit Hash</w:t>
      </w:r>
      <w:r>
        <w:rPr>
          <w:rFonts w:ascii="Times New Roman" w:hAnsi="Times New Roman"/>
          <w:sz w:val="20"/>
        </w:rPr>
        <w:t>: 823334b</w:t>
      </w:r>
    </w:p>
    <w:p w14:paraId="72AE1A96">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6F3BFB39">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29E38C3A">
      <w:pPr>
        <w:spacing w:before="40" w:after="80" w:line="276" w:lineRule="auto"/>
      </w:pPr>
      <w:r>
        <w:rPr>
          <w:rFonts w:ascii="Times New Roman" w:hAnsi="Times New Roman"/>
          <w:sz w:val="20"/>
        </w:rPr>
        <w:t>---</w:t>
      </w:r>
    </w:p>
    <w:p w14:paraId="1177E085">
      <w:pPr>
        <w:keepNext/>
        <w:spacing w:before="280" w:after="120"/>
      </w:pPr>
      <w:r>
        <w:rPr>
          <w:rFonts w:ascii="Times New Roman" w:hAnsi="Times New Roman"/>
          <w:b/>
          <w:color w:val="003366"/>
          <w:sz w:val="26"/>
        </w:rPr>
        <w:t>Appendix B: Technical Clarifications &amp; Reviewer Inquiries</w:t>
      </w:r>
    </w:p>
    <w:p w14:paraId="679F94AC">
      <w:pPr>
        <w:keepNext/>
        <w:spacing w:before="200" w:after="80"/>
      </w:pPr>
      <w:r>
        <w:rPr>
          <w:rFonts w:ascii="Times New Roman" w:hAnsi="Times New Roman"/>
          <w:b/>
          <w:color w:val="333333"/>
          <w:sz w:val="23"/>
        </w:rPr>
        <w:t>B.1 CanonicalNormalizer Fallback Behavior</w:t>
      </w:r>
    </w:p>
    <w:p w14:paraId="1D1F21B2">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3853FA9A">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14:paraId="6CC51B3F">
      <w:pPr>
        <w:keepNext/>
        <w:spacing w:before="200" w:after="80"/>
      </w:pPr>
      <w:r>
        <w:rPr>
          <w:rFonts w:ascii="Times New Roman" w:hAnsi="Times New Roman"/>
          <w:b/>
          <w:color w:val="333333"/>
          <w:sz w:val="23"/>
        </w:rPr>
        <w:t>B.2 Scalability Beyond 360 Samples</w:t>
      </w:r>
    </w:p>
    <w:p w14:paraId="6D403661">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7DCD3183">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m:rPr/>
          <w:rPr>
            <w:rFonts w:ascii="Cambria Math" w:hAnsi="Cambria Math"/>
          </w:rPr>
          <m:t>O(N)</m:t>
        </m:r>
      </m:oMath>
      <w:r>
        <w:rPr>
          <w:rFonts w:ascii="Times New Roman" w:hAnsi="Times New Roman"/>
          <w:sz w:val="20"/>
        </w:rPr>
        <w: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14:paraId="25ACFE46">
      <w:pPr>
        <w:keepNext/>
        <w:spacing w:before="200" w:after="80"/>
      </w:pPr>
      <w:r>
        <w:rPr>
          <w:rFonts w:ascii="Times New Roman" w:hAnsi="Times New Roman"/>
          <w:b/>
          <w:color w:val="333333"/>
          <w:sz w:val="23"/>
        </w:rPr>
        <w:t>B.3 Scientific Justification of NORMALIZATION_ERROR Category</w:t>
      </w:r>
    </w:p>
    <w:p w14:paraId="56A156EA">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6EDE6392">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40C16289">
      <w:pPr>
        <w:spacing w:before="40" w:after="80" w:line="276" w:lineRule="auto"/>
      </w:pPr>
      <w:r>
        <w:rPr>
          <w:rFonts w:ascii="Times New Roman" w:hAnsi="Times New Roman"/>
          <w:sz w:val="20"/>
        </w:rPr>
        <w:t>---</w:t>
      </w:r>
    </w:p>
    <w:p w14:paraId="11DD709E">
      <w:pPr>
        <w:keepNext/>
        <w:spacing w:before="280" w:after="120"/>
      </w:pPr>
      <w:r>
        <w:rPr>
          <w:rFonts w:ascii="Times New Roman" w:hAnsi="Times New Roman"/>
          <w:b/>
          <w:color w:val="003366"/>
          <w:sz w:val="26"/>
        </w:rPr>
        <w:t>References</w:t>
      </w:r>
    </w:p>
    <w:sectPr>
      <w:footerReference r:id="rId5" w:type="default"/>
      <w:pgSz w:w="12240" w:h="15840"/>
      <w:pgMar w:top="1440" w:right="1440" w:bottom="1440" w:left="1440" w:header="720" w:footer="720" w:gutter="0"/>
      <w:cols w:space="720" w:num="1"/>
      <w:docGrid w:linePitch="360" w:charSpace="0"/>
    </w:sectPr>
    <w:p>
      <w:pPr>
        <w:spacing w:after="120" w:line="240" w:lineRule="auto"/>
      </w:pPr>
      <w:r>
        <w:t xml:space="preserve">[1] A. W. Harley, A. Ufkes, and K. G. Derpanis, "Evaluation of deep convolutional nets for document image classification and retrieval," in Proc. ICDAR, 2015, pp. 991-995. DOI: 10.1109/ICDAR.2015.7333910.</w:t>
      </w:r>
    </w:p>
    <w:p>
      <w:pPr>
        <w:spacing w:after="120" w:line="240" w:lineRule="auto"/>
      </w:pPr>
      <w:r>
        <w:t xml:space="preserve">[2] Z. Huang et al., "ICDAR2019 Competition on Scanned Receipt OCR and Information Extraction," in Proc. ICDAR, 2019, pp. 1516-1520. DOI: 10.1109/ICDAR.2019.00244.</w:t>
      </w:r>
    </w:p>
    <w:p>
      <w:pPr>
        <w:spacing w:after="120" w:line="240" w:lineRule="auto"/>
      </w:pPr>
      <w:r>
        <w:t xml:space="preserve">[3] S. Park et al., "CORD: A Consolidated Receipt Dataset for Post-OCR Parsing," in Proc. NeurIPS Workshop, 2019.</w:t>
      </w:r>
    </w:p>
    <w:p>
      <w:pPr>
        <w:spacing w:after="120" w:line="240" w:lineRule="auto"/>
      </w:pPr>
      <w:r>
        <w:t xml:space="preserve">[4] G. Jaume, H.-K. Ekenel, and J.-P. Thiran, "FUNSD: A Dataset for Form Understanding in Noisy Scanned Documents," in Proc. ICDAR Workshop, 2019. DOI: 10.1109/ICDARDP.2019.8893182.</w:t>
      </w:r>
    </w:p>
    <w:p>
      <w:pPr>
        <w:spacing w:after="120" w:line="240" w:lineRule="auto"/>
      </w:pPr>
      <w:r>
        <w:t xml:space="preserve">[5] M. Mathew, D. Karatzas, and C. V. Jawahar, "DocVQA: A Dataset for VQA on Document Images," in Proc. WACV, 2021, pp. 2200-2209. DOI: 10.1109/WACV48630.2021.00225.</w:t>
      </w:r>
    </w:p>
    <w:p>
      <w:pPr>
        <w:spacing w:after="120" w:line="240" w:lineRule="auto"/>
      </w:pPr>
      <w:r>
        <w:t xml:space="preserve">[6] Y. Huang et al., "LayoutLMv3: Pre-training for Document AI with Unified Text and Image Masking," in Proc. ACM MM, 2022. DOI: 10.1145/3503161.3548112.</w:t>
      </w:r>
    </w:p>
    <w:p>
      <w:pPr>
        <w:spacing w:after="120" w:line="240" w:lineRule="auto"/>
      </w:pPr>
      <w:r>
        <w:t xml:space="preserve">[7] G. Kim et al., "OCR-free Document Understanding Transformer," in Proc. ECCV, 2022. DOI: 10.1007/978-3-031-19815-1_14.</w:t>
      </w:r>
    </w:p>
    <w:p>
      <w:pPr>
        <w:spacing w:after="120" w:line="240" w:lineRule="auto"/>
      </w:pPr>
      <w:r>
        <w:t xml:space="preserve">[8] M. Li et al., "TrOCR: Transformer-based Optical Character Recognition with Pre-trained Models," in Proc. AAAI, 2023. DOI: 10.1609/aaai.v37i11.26538.</w:t>
      </w:r>
    </w:p>
    <w:p>
      <w:pPr>
        <w:spacing w:after="120" w:line="240" w:lineRule="auto"/>
      </w:pPr>
      <w:r>
        <w:t xml:space="preserve">[9] B. Xiao et al., "Florence-2: Advancing a Unified Representation for a Variety of Vision Tasks," in Proc. CVPR, 2024. DOI: 10.1109/CVPR52733.2024.02175.</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R. Smith, "An overview of the Tesseract OCR engine," in Proc. ICDAR, 2007, pp. 629-633. DOI: 10.1109/ICDAR.2007.4376991.</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D. Jurafsky and J. H. Martin, Speech and Language Processing, 3rd ed. Prentice Hall, 2023. [Online]. Available: https://web.stanford.edu/~jurafsky/slp3/.</w:t>
      </w:r>
    </w:p>
    <w:p>
      <w:pPr>
        <w:spacing w:after="120" w:line="240" w:lineRule="auto"/>
      </w:pPr>
      <w:r>
        <w:t xml:space="preserve">[21] V. I. Levenshtein, "Binary codes capable of correcting deletions, insertions, and reversals," Soviet Physics Doklady, vol. 10, no. 8, pp. 707-710, 1966.</w:t>
      </w:r>
    </w:p>
    <w:p>
      <w:pPr>
        <w:spacing w:after="120" w:line="240" w:lineRule="auto"/>
      </w:pPr>
      <w:r>
        <w:t xml:space="preserve">[22] Q. McNemar, "Note on the sampling error of the difference between correlated proportions or percentages," Psychometrika, vol. 12, no. 2, pp. 153-157, 1947. DOI: 10.1007/BF02295996.</w:t>
      </w:r>
    </w:p>
    <w:p>
      <w:pPr>
        <w:spacing w:after="120" w:line="240" w:lineRule="auto"/>
      </w:pPr>
      <w:r>
        <w:t xml:space="preserve">[23] F. Wilcoxon, "Individual comparisons by ranking methods," Biometrics Bulletin, vol. 1, no. 6, pp. 80-83, 1945. DOI: 10.2307/3001968.</w:t>
      </w:r>
    </w:p>
    <w:p>
      <w:pPr>
        <w:spacing w:after="120" w:line="240" w:lineRule="auto"/>
      </w:pPr>
      <w:r>
        <w:t xml:space="preserve">[24] B. Efron and R. J. Tibshirani, An Introduction to the Bootstrap. New York, NY: Chapman &amp; Hall, 1993. DOI: 10.1007/978-1-4899-4541-9.</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pPr>
        <w:spacing w:after="120" w:line="240" w:lineRule="auto"/>
      </w:pPr>
      <w:r>
        <w:t xml:space="preserve">[31]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