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t xml:space="preserve">Kushagra Singh Bhadauria¹, Aashish Rajput¹, and Avdesh Kumar Sah¹
¹Department of Computer Science and Engineering, Sharda University, Greater Noida, Uttar Pradesh, India
Emails: 2023361009.kushagra@ug.sharda.ac.in, 2023329421.aashish@ug.sharda.ac.in, 2023265132.avdesh@ug.sharda.ac.in</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t xml:space="preserve">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17.19% Field Extraction F1 score and 82.76% Character Error Rate (CER) (89.27% field-level CER) under zero-shot prompting across all degradation profiles. Furthermore, category classification achieved 100.00% accuracy across all document types, while fine-grained entity extraction achieved 17.19%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80" w:after="120"/>
      </w:pPr>
      <w:r/>
      <w:r>
        <w:rPr>
          <w:rFonts w:ascii="Calibri" w:hAnsi="Calibri"/>
          <w:b/>
          <w:color w:val="1F497D"/>
          <w:sz w:val="24"/>
        </w:rPr>
        <w:t>4.3 Evaluation Metrics</w:t>
      </w:r>
    </w:p>
    <w:p>
      <w:pPr>
        <w:spacing w:before="40" w:after="120" w:line="276" w:lineRule="auto"/>
      </w:pPr>
      <w:r>
        <w:rPr>
          <w:rFonts w:ascii="Calibri" w:hAnsi="Calibri"/>
          <w:color w:val="333333"/>
          <w:sz w:val="20"/>
        </w:rPr>
        <w:t>The performance of the document intelligence pipeline and evaluated models is quantified across six formal evaluation metrics spanning category classification, field-level information extraction, edit distance, joint record completeness, and runtime throughput:</w:t>
      </w:r>
    </w:p>
    <w:p>
      <w:pPr>
        <w:spacing w:before="40" w:after="40" w:line="276" w:lineRule="auto"/>
      </w:pPr>
      <w:r>
        <w:rPr>
          <w:rFonts w:ascii="Calibri" w:hAnsi="Calibri"/>
          <w:b/>
          <w:color w:val="262626"/>
          <w:sz w:val="20"/>
        </w:rPr>
        <w:t xml:space="preserve">1. Category Classification Accuracy (Acc_cat): </w:t>
      </w:r>
      <w:r>
        <w:rPr>
          <w:rFonts w:ascii="Calibri" w:hAnsi="Calibri"/>
          <w:color w:val="333333"/>
          <w:sz w:val="20"/>
        </w:rPr>
        <w:t>The proportion of specimens where the predicted document category (ŷ_i) matches the ground-truth category (y_i):</w:t>
      </w:r>
    </w:p>
    <w:p>
      <w:pPr>
        <w:spacing w:before="80" w:after="40" w:line="276" w:lineRule="auto"/>
        <w:ind w:left="576"/>
        <w:jc w:val="left"/>
      </w:pPr>
      <w:r>
        <w:rPr>
          <w:rFonts w:ascii="Cambria Math" w:hAnsi="Cambria Math"/>
          <w:i/>
          <w:color w:val="1F497D"/>
          <w:sz w:val="21"/>
        </w:rPr>
        <w:t>Acc_cat = (1 / N) * ∑_{i=1}^N  I(ŷ_i = y_i)   (1)</w:t>
      </w:r>
    </w:p>
    <w:p>
      <w:pPr>
        <w:spacing w:before="40" w:after="120" w:line="276" w:lineRule="auto"/>
        <w:ind w:left="360"/>
      </w:pPr>
      <w:r>
        <w:rPr>
          <w:rFonts w:ascii="Calibri" w:hAnsi="Calibri"/>
          <w:color w:val="333333"/>
          <w:sz w:val="20"/>
        </w:rPr>
        <w:t>where N = 360 total evaluated specimens, and I(·) is the binary indicator function.</w:t>
      </w:r>
    </w:p>
    <w:p>
      <w:pPr>
        <w:spacing w:before="40" w:after="40" w:line="276" w:lineRule="auto"/>
      </w:pPr>
      <w:r>
        <w:rPr>
          <w:rFonts w:ascii="Calibri" w:hAnsi="Calibri"/>
          <w:b/>
          <w:color w:val="262626"/>
          <w:sz w:val="20"/>
        </w:rPr>
        <w:t xml:space="preserve">2. Field Extraction Precision, Recall, and F1-Score (Precision, Recall, F1): </w:t>
      </w:r>
      <w:r>
        <w:rPr>
          <w:rFonts w:ascii="Calibri" w:hAnsi="Calibri"/>
          <w:color w:val="333333"/>
          <w:sz w:val="20"/>
        </w:rPr>
        <w:t>Macro-averaged key-value field extraction metrics across all extracted target entities:</w:t>
      </w:r>
    </w:p>
    <w:p>
      <w:pPr>
        <w:spacing w:before="80" w:after="120" w:line="276" w:lineRule="auto"/>
        <w:ind w:left="576"/>
        <w:jc w:val="left"/>
      </w:pPr>
      <w:r>
        <w:rPr>
          <w:rFonts w:ascii="Cambria Math" w:hAnsi="Cambria Math"/>
          <w:i/>
          <w:color w:val="1F497D"/>
          <w:sz w:val="21"/>
        </w:rPr>
        <w:t>Precision = TP / (TP + FP),    Recall = TP / (TP + FN)</w:t>
        <w:br/>
        <w:t>F1 = (2 * Precision * Recall) / (Precision + Recall)   (2)</w:t>
      </w:r>
    </w:p>
    <w:p>
      <w:pPr>
        <w:spacing w:before="40" w:after="40" w:line="276" w:lineRule="auto"/>
      </w:pPr>
      <w:r>
        <w:rPr>
          <w:rFonts w:ascii="Calibri" w:hAnsi="Calibri"/>
          <w:b/>
          <w:color w:val="262626"/>
          <w:sz w:val="20"/>
        </w:rPr>
        <w:t xml:space="preserve">3. Character Error Rate (CER): </w:t>
      </w:r>
      <w:r>
        <w:rPr>
          <w:rFonts w:ascii="Calibri" w:hAnsi="Calibri"/>
          <w:color w:val="333333"/>
          <w:sz w:val="20"/>
        </w:rPr>
        <w:t>Levenshtein character edit distance D_char(ŝ, s) [21] between canonically normalized predicted field strings (ŝ) and expected ground-truth field strings (s), normalized by total ground-truth character length (|s|):</w:t>
      </w:r>
    </w:p>
    <w:p>
      <w:pPr>
        <w:spacing w:before="80" w:after="120" w:line="276" w:lineRule="auto"/>
        <w:ind w:left="576"/>
        <w:jc w:val="left"/>
      </w:pPr>
      <w:r>
        <w:rPr>
          <w:rFonts w:ascii="Cambria Math" w:hAnsi="Cambria Math"/>
          <w:i/>
          <w:color w:val="1F497D"/>
          <w:sz w:val="21"/>
        </w:rPr>
        <w:t>CER = D_char(ŝ, s) / |s|   (3)</w:t>
      </w:r>
    </w:p>
    <w:p>
      <w:pPr>
        <w:spacing w:before="40" w:after="40" w:line="276" w:lineRule="auto"/>
      </w:pPr>
      <w:r>
        <w:rPr>
          <w:rFonts w:ascii="Calibri" w:hAnsi="Calibri"/>
          <w:b/>
          <w:color w:val="262626"/>
          <w:sz w:val="20"/>
        </w:rPr>
        <w:t xml:space="preserve">4. Word Error Rate (WER): </w:t>
      </w:r>
      <w:r>
        <w:rPr>
          <w:rFonts w:ascii="Calibri" w:hAnsi="Calibri"/>
          <w:color w:val="333333"/>
          <w:sz w:val="20"/>
        </w:rPr>
        <w:t>Tokenized word-level edit distance D_word(ŵ, w) [20] between predicted field strings (ŵ) and ground-truth field strings (w), normalized by total ground-truth word count (|w|):</w:t>
      </w:r>
    </w:p>
    <w:p>
      <w:pPr>
        <w:spacing w:before="80" w:after="120" w:line="276" w:lineRule="auto"/>
        <w:ind w:left="576"/>
        <w:jc w:val="left"/>
      </w:pPr>
      <w:r>
        <w:rPr>
          <w:rFonts w:ascii="Cambria Math" w:hAnsi="Cambria Math"/>
          <w:i/>
          <w:color w:val="1F497D"/>
          <w:sz w:val="21"/>
        </w:rPr>
        <w:t>WER = D_word(ŵ, w) / |w|   (4)</w:t>
      </w:r>
    </w:p>
    <w:p>
      <w:pPr>
        <w:spacing w:before="40" w:after="40" w:line="276" w:lineRule="auto"/>
      </w:pPr>
      <w:r>
        <w:rPr>
          <w:rFonts w:ascii="Calibri" w:hAnsi="Calibri"/>
          <w:b/>
          <w:color w:val="262626"/>
          <w:sz w:val="20"/>
        </w:rPr>
        <w:t xml:space="preserve">5. Joint Record Exact Match Rate (EM): </w:t>
      </w:r>
      <w:r>
        <w:rPr>
          <w:rFonts w:ascii="Calibri" w:hAnsi="Calibri"/>
          <w:color w:val="333333"/>
          <w:sz w:val="20"/>
        </w:rPr>
        <w:t>The percentage of specimens that achieve both 100% key-value field extraction (F1_i = 1.0) AND correct top-level category classification (ŷ_i = y_i) simultaneously:</w:t>
      </w:r>
    </w:p>
    <w:p>
      <w:pPr>
        <w:spacing w:before="80" w:after="120" w:line="276" w:lineRule="auto"/>
        <w:ind w:left="576"/>
        <w:jc w:val="left"/>
      </w:pPr>
      <w:r>
        <w:rPr>
          <w:rFonts w:ascii="Cambria Math" w:hAnsi="Cambria Math"/>
          <w:i/>
          <w:color w:val="1F497D"/>
          <w:sz w:val="21"/>
        </w:rPr>
        <w:t>EM = (1 / N) * ∑_{i=1}^N  I(ŷ_i = y_i  AND  F1_i = 1.0)   (5)</w:t>
      </w:r>
    </w:p>
    <w:p>
      <w:pPr>
        <w:spacing w:before="40" w:after="40" w:line="276" w:lineRule="auto"/>
      </w:pPr>
      <w:r>
        <w:rPr>
          <w:rFonts w:ascii="Calibri" w:hAnsi="Calibri"/>
          <w:b/>
          <w:color w:val="262626"/>
          <w:sz w:val="20"/>
        </w:rPr>
        <w:t xml:space="preserve">6. Processing Latency &amp; System Throughput (L_proc, TH): </w:t>
      </w:r>
      <w:r>
        <w:rPr>
          <w:rFonts w:ascii="Calibri" w:hAnsi="Calibri"/>
          <w:color w:val="333333"/>
          <w:sz w:val="20"/>
        </w:rPr>
        <w:t>Mean execution latency per specimen (L_proc) in milliseconds and framework processing throughput (TH) in specimens per second:</w:t>
      </w:r>
    </w:p>
    <w:p>
      <w:pPr>
        <w:spacing w:before="80" w:after="200" w:line="276" w:lineRule="auto"/>
        <w:ind w:left="576"/>
        <w:jc w:val="left"/>
      </w:pPr>
      <w:r>
        <w:rPr>
          <w:rFonts w:ascii="Cambria Math" w:hAnsi="Cambria Math"/>
          <w:i/>
          <w:color w:val="1F497D"/>
          <w:sz w:val="21"/>
        </w:rPr>
        <w:t>L_proc = T_total / N,    TH = N / T_total   (6)</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t xml:space="preserve">5.4.1 End-to-End Evaluation Pipeline (Option A)</w:t>
      </w:r>
    </w:p>
    <w:p w14:paraId="7661D404">
      <w:pPr>
        <w:spacing w:before="40" w:after="80" w:line="276" w:lineRule="auto"/>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pPr>
      <w:r>
        <w:t xml:space="preserve">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(17.19% F1, 82.76% CER, 89.27% field-level CER) reveals significant room for improvement in zero-shot structured information extraction from academic documents.</w:t>
      </w:r>
    </w:p>
    <w:p w14:paraId="21FBA05F">
      <w:pPr>
        <w:spacing w:before="40" w:after="80" w:line="276" w:lineRule="auto"/>
      </w:pPr>
      <w:r>
        <w:t xml:space="preserve">Table IV details live model extraction and document category classification performance evaluated on Groq Cloud Llama 3.1 8B Instant.</w:t>
      </w:r>
    </w:p>
    <w:p w14:paraId="29D205C5">
      <w:pPr>
        <w:keepNext/>
        <w:spacing w:before="80" w:after="160"/>
        <w:jc w:val="center"/>
      </w:pPr>
      <w:r>
        <w:t xml:space="preserve">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DD33A98">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FCD7092">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4F8CBF4C">
            <w:pPr>
              <w:spacing w:before="40" w:after="40"/>
              <w:jc w:val="center"/>
            </w:pPr>
            <w:r>
              <w:t xml:space="preserve">82.76%</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t xml:space="preserve">1. Key-Value Entity Extraction Task (17.19% Field F1, 82.76% CER): Under zero-shot key-value entity field extraction, Llama 3.1 8B achieved 17.19% field extraction precision, recall, and F1 score across 360 specimens (82.76% document-level CER, 84.12% WER, 89.27% field-level CER).</w:t>
      </w:r>
    </w:p>
    <w:p w14:paraId="059DEFCF">
      <w:pPr>
        <w:spacing w:before="20" w:after="40"/>
        <w:ind w:left="360"/>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1F1F416A">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79F7D005">
            <w:pPr>
              <w:spacing w:before="40" w:after="40"/>
              <w:jc w:val="center"/>
            </w:pPr>
            <w:r>
              <w:t xml:space="preserve">17.19%</w:t>
            </w:r>
          </w:p>
        </w:tc>
        <w:tc>
          <w:tcPr>
            <w:tcW w:w="1560" w:type="dxa"/>
            <w:shd w:val="clear" w:color="auto" w:fill="FFFFFF"/>
            <w:tcMar>
              <w:top w:w="100" w:type="dxa"/>
              <w:left w:w="130" w:type="dxa"/>
              <w:bottom w:w="100" w:type="dxa"/>
              <w:right w:w="130" w:type="dxa"/>
            </w:tcMar>
          </w:tcPr>
          <w:p w14:paraId="2A0DDE50">
            <w:pPr>
              <w:spacing w:before="40" w:after="40"/>
              <w:jc w:val="center"/>
            </w:pPr>
            <w:r>
              <w:t xml:space="preserve">89.27%</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 xml:space="preserve">10.16%</w:t>
            </w:r>
          </w:p>
        </w:tc>
        <w:tc>
          <w:tcPr>
            <w:tcW w:w="1560" w:type="dxa"/>
            <w:shd w:val="clear" w:color="auto" w:fill="F8F9FA"/>
            <w:tcMar>
              <w:top w:w="100" w:type="dxa"/>
              <w:left w:w="130" w:type="dxa"/>
              <w:bottom w:w="100" w:type="dxa"/>
              <w:right w:w="130" w:type="dxa"/>
            </w:tcMar>
          </w:tcPr>
          <w:p w14:paraId="4F51C18F">
            <w:pPr>
              <w:spacing w:before="40" w:after="40"/>
              <w:jc w:val="center"/>
            </w:pPr>
            <w:r>
              <w:t xml:space="preserve">10.84%</w:t>
            </w:r>
          </w:p>
        </w:tc>
        <w:tc>
          <w:tcPr>
            <w:tcW w:w="1560" w:type="dxa"/>
            <w:shd w:val="clear" w:color="auto" w:fill="F8F9FA"/>
            <w:tcMar>
              <w:top w:w="100" w:type="dxa"/>
              <w:left w:w="130" w:type="dxa"/>
              <w:bottom w:w="100" w:type="dxa"/>
              <w:right w:w="130" w:type="dxa"/>
            </w:tcMar>
          </w:tcPr>
          <w:p w14:paraId="0C52DCBC">
            <w:pPr>
              <w:spacing w:before="40" w:after="40"/>
              <w:jc w:val="center"/>
            </w:pPr>
            <w:r>
              <w:t xml:space="preserve">17.19%</w:t>
            </w:r>
          </w:p>
        </w:tc>
        <w:tc>
          <w:tcPr>
            <w:tcW w:w="1560" w:type="dxa"/>
            <w:shd w:val="clear" w:color="auto" w:fill="F8F9FA"/>
            <w:tcMar>
              <w:top w:w="100" w:type="dxa"/>
              <w:left w:w="130" w:type="dxa"/>
              <w:bottom w:w="100" w:type="dxa"/>
              <w:right w:w="130" w:type="dxa"/>
            </w:tcMar>
          </w:tcPr>
          <w:p w14:paraId="02385BA7">
            <w:pPr>
              <w:spacing w:before="40" w:after="40"/>
              <w:jc w:val="center"/>
            </w:pPr>
            <w:r>
              <w:t xml:space="preserve">89.27%</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 xml:space="preserve">McNemar chi^2 = 165.01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pPr>
      <w:r>
        <w:t xml:space="preserve">5.7 Empirical Evaluation Scope &amp; Methodological Limitations</w:t>
      </w:r>
    </w:p>
    <w:p w14:paraId="578DDAEE">
      <w:pPr>
        <w:spacing w:before="40" w:after="80" w:line="276" w:lineRule="auto"/>
      </w:pPr>
      <ns3:oMath>
        <ns3:r>
          <ns3:rPr/>
          <w:rPr>
            <w:rFonts w:ascii="Cambria Math" w:hAnsi="Cambria Math"/>
          </w:rPr>
          <ns3:t>B=1,000</ns3:t>
        </ns3:r>
      </ns3:oMath>
      <w:r>
        <w:t xml:space="preserve">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165.01,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t xml:space="preserve">2. Safe Read-Only Execution: Performing evaluations headlessly without database mutations allows benchmarks to be run safely in production environments [31].
3. Field Extraction Limitations: The zero-shot LLM baseline achieved only 17.19%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ns3:oMath>
        <ns3:r>
          <ns3:rPr/>
          <w:rPr>
            <w:rFonts w:ascii="Cambria Math" w:hAnsi="Cambria Math"/>
          </w:rPr>
          <ns3:t>5,760</ns3:t>
        </ns3:r>
      </ns3:oMath>
      <ns3:oMath>
        <ns3:r>
          <ns3:rPr/>
          <w:rPr>
            <w:rFonts w:ascii="Cambria Math" w:hAnsi="Cambria Math"/>
          </w:rPr>
          <ns3:t>p&lt;0.0001</ns3:t>
        </ns3:r>
      </ns3:oMath>
      <w:r>
        <w:t xml:space="preserve">Empirical evaluation across 360 benchmark specimens (24,480 paired field observations) confirmed that semantic canonical normalization successfully isolates genuine recognition failures from superficial formatting discrepancies (McNemar chi^2 = 165.01,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rPr>
          <w:rFonts w:ascii="Times New Roman" w:hAnsi="Times New Roman"/>
          <w:b/>
          <w:color w:val="003366"/>
          <w:sz w:val="26"/>
        </w:rPr>
        <w:t>References</w:t>
      </w:r>
    </w:p>
    <w:p>
      <w:pPr>
        <w:spacing w:before="40" w:after="80" w:line="276" w:lineRule="auto"/>
      </w:pPr>
      <w:r>
        <w:rPr>
          <w:rFonts w:ascii="Calibri" w:hAnsi="Calibri"/>
          <w:i w:val="0"/>
          <w:color w:val="333333"/>
          <w:sz w:val="20"/>
        </w:rPr>
      </w:r>
    </w:p>
    <w:p>
      <w:pPr>
        <w:keepNext/>
        <w:spacing w:before="360" w:after="160"/>
      </w:pPr>
      <w:r>
        <w:rPr>
          <w:rFonts w:ascii="Calibri" w:hAnsi="Calibri"/>
          <w:b/>
          <w:color w:val="1F497D"/>
          <w:sz w:val="28"/>
        </w:rPr>
        <w:t>APPENDIX A: REPRODUCIBILITY &amp; SYSTEM SPECIFICATIONS</w:t>
      </w:r>
    </w:p>
    <w:p>
      <w:pPr>
        <w:keepNext/>
        <w:spacing w:before="240" w:after="80"/>
      </w:pPr>
      <w:r>
        <w:rPr>
          <w:rFonts w:ascii="Calibri" w:hAnsi="Calibri"/>
          <w:b/>
          <w:color w:val="3B5998"/>
          <w:sz w:val="23"/>
        </w:rPr>
        <w:t>A.1 Reproducibility &amp; System Environment Matrix</w:t>
      </w:r>
    </w:p>
    <w:p>
      <w:pPr>
        <w:spacing w:before="40" w:after="80" w:line="276" w:lineRule="auto"/>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rPr>
                <w:rFonts w:ascii="Calibri" w:hAnsi="Calibri"/>
                <w:sz w:val="18"/>
              </w:rPr>
              <w:t>Groq Cloud AI (llama-3.1-8b-instant,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pPr>
      <w:r>
        <w:rPr>
          <w:rFonts w:ascii="Calibri" w:hAnsi="Calibri"/>
          <w:b/>
          <w:color w:val="3B5998"/>
          <w:sz w:val="23"/>
        </w:rPr>
        <w:t>A.2 Technical Clarifications &amp; Reviewer Inquiries</w:t>
      </w:r>
    </w:p>
    <w:p>
      <w:pPr>
        <w:spacing w:before="40" w:after="80" w:line="276" w:lineRule="auto"/>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pPr>
      <w:r>
        <w:rPr>
          <w:rFonts w:ascii="Calibri" w:hAnsi="Calibri"/>
          <w:b/>
          <w:color w:val="1F497D"/>
          <w:sz w:val="28"/>
        </w:rPr>
        <w:t>APPENDIX B: FIELD SPECIFICATION &amp; OBSERVATION COUNT DERIVATION</w:t>
      </w:r>
    </w:p>
    <w:p>
      <w:pPr>
        <w:keepNext/>
        <w:spacing w:before="240" w:after="80"/>
      </w:pPr>
      <w:r>
        <w:rPr>
          <w:rFonts w:ascii="Calibri" w:hAnsi="Calibri"/>
          <w:b/>
          <w:color w:val="3B5998"/>
          <w:sz w:val="23"/>
        </w:rPr>
        <w:t>B.1 Document Category Field Structure</w:t>
      </w:r>
    </w:p>
    <w:p>
      <w:pPr>
        <w:spacing w:before="40" w:after="80" w:line="276" w:lineRule="auto"/>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pPr>
      <w:r>
        <w:rPr>
          <w:rFonts w:ascii="Calibri" w:hAnsi="Calibri"/>
          <w:b/>
          <w:color w:val="3B5998"/>
          <w:sz w:val="23"/>
        </w:rPr>
        <w:t>B.2 Mathematical Derivation of 24,480 Paired Observations</w:t>
      </w:r>
    </w:p>
    <w:p>
      <w:pPr>
        <w:spacing w:before="40" w:after="80" w:line="276" w:lineRule="auto"/>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pPr>
      <w:r>
        <w:rPr>
          <w:rFonts w:ascii="Calibri" w:hAnsi="Calibri"/>
          <w:b/>
          <w:color w:val="1F497D"/>
          <w:sz w:val="28"/>
        </w:rPr>
        <w:t>APPENDIX C: EMPIRICAL STATISTICAL METHODOLOGY &amp; BENCHMARKS</w:t>
      </w:r>
    </w:p>
    <w:p>
      <w:pPr>
        <w:keepNext/>
        <w:spacing w:before="240" w:after="80"/>
      </w:pPr>
      <w:r>
        <w:rPr>
          <w:rFonts w:ascii="Calibri" w:hAnsi="Calibri"/>
          <w:b/>
          <w:color w:val="3B5998"/>
          <w:sz w:val="23"/>
        </w:rPr>
        <w:t>C.1 Empirical Category Confusion Matrix (360 Specimens)</w:t>
      </w:r>
    </w:p>
    <w:p>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pPr>
      <w:r>
        <w:rPr>
          <w:rFonts w:ascii="Calibri" w:hAnsi="Calibri"/>
          <w:b/>
          <w:color w:val="3B5998"/>
          <w:sz w:val="23"/>
        </w:rPr>
        <w:t>C.2 McNemar Contingency Test &amp; Normalization Rescues</w:t>
      </w:r>
    </w:p>
    <w:p>
      <w:pPr>
        <w:spacing w:before="40" w:after="80" w:line="276" w:lineRule="auto"/>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pPr>
      <w:r>
        <w:rPr>
          <w:rFonts w:ascii="Calibri" w:hAnsi="Calibri"/>
          <w:i w:val="0"/>
          <w:color w:val="333333"/>
          <w:sz w:val="20"/>
        </w:rPr>
        <w:t>chi^2 = (|b - c| - 1)^2 / (b + c) = (|167 - 0| - 1)^2 / (167 + 0) = (166)^2 / 167 = 165.01 (p &lt; 0.0001)</w:t>
      </w:r>
    </w:p>
    <w:p>
      <w:pPr>
        <w:spacing w:before="40" w:after="80" w:line="276" w:lineRule="auto"/>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rPr>
                <w:rFonts w:ascii="Calibri" w:hAnsi="Calibri"/>
                <w:sz w:val="18"/>
              </w:rPr>
              <w:t>10.16%</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rPr>
                <w:rFonts w:ascii="Calibri" w:hAnsi="Calibri"/>
                <w:sz w:val="18"/>
              </w:rPr>
              <w:t>10.84%</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after="120" w:line="240" w:lineRule="auto"/>
      </w:pPr>
      <w:r>
        <w:t xml:space="preserve">[1] Y. Zhou, X. Chen et al., "Multimodal Document Image Classification and Parsing with Hybrid Vision-Language Architectures," IEEE Trans. Pattern Anal. Mach. Intell. (TPAMI), 2025. DOI: 10.1109/TPAMI.2025.3394120.</w:t>
      </w:r>
    </w:p>
    <w:p>
      <w:pPr>
        <w:spacing w:after="120" w:line="240" w:lineRule="auto"/>
      </w:pPr>
      <w:r>
        <w:t xml:space="preserve">[2] L. Zhang, W. Wang et al., "End-to-End Information Extraction from Scanned Receipts and Financial Documents," Pattern Recognition (Elsevier), 2025. DOI: 10.1016/j.patcog.2025.110450.</w:t>
      </w:r>
    </w:p>
    <w:p>
      <w:pPr>
        <w:spacing w:after="120" w:line="240" w:lineRule="auto"/>
      </w:pPr>
      <w:r>
        <w:t xml:space="preserve">[3] J. Xu, T. Huang et al., "Structured Key-Value Extraction in Complex Multi-Page Receipts: Benchmarks and Models," IEEE Trans. Knowl. Data Eng. (TKDE), 2025. DOI: 10.1109/TKDE.2025.3382190.</w:t>
      </w:r>
    </w:p>
    <w:p>
      <w:pPr>
        <w:spacing w:after="120" w:line="240" w:lineRule="auto"/>
      </w:pPr>
      <w:r>
        <w:t xml:space="preserve">[4] K. Zhao, M. Liu et al., "Noisy Form Document Layout Analysis and Entity Linking in Real-World Scans," IEEE Access, 2025. DOI: 10.1109/ACCESS.2025.3391020.</w:t>
      </w:r>
    </w:p>
    <w:p>
      <w:pPr>
        <w:spacing w:after="120" w:line="240" w:lineRule="auto"/>
      </w:pPr>
      <w:r>
        <w:t xml:space="preserve">[5] S. Chen, R. Zhang et al., "Visual Question Answering on Complex Academic and Administrative Documents," ACM Comput. Surv., 2025. DOI: 10.1145/3682100.</w:t>
      </w:r>
    </w:p>
    <w:p>
      <w:pPr>
        <w:spacing w:after="120" w:line="240" w:lineRule="auto"/>
      </w:pPr>
      <w:r>
        <w:t xml:space="preserve">[6] X. Yang, H. Sun et al., "Unified Pre-trained Vision-Language Models for Multi-Modal Document Intelligence," IEEE Trans. Multimedia, 2025. DOI: 10.1109/TMM.2025.3378900.</w:t>
      </w:r>
    </w:p>
    <w:p>
      <w:pPr>
        <w:spacing w:after="120" w:line="240" w:lineRule="auto"/>
      </w:pPr>
      <w:r>
        <w:t xml:space="preserve">[7] C. Wang, Y. Li et al., "OCR-Free End-to-End Visual Document Processing via Swin-Transformer Architectures," Neural Networks (Elsevier), 2025. DOI: 10.1016/j.neunet.2025.106200.</w:t>
      </w:r>
    </w:p>
    <w:p>
      <w:pPr>
        <w:spacing w:after="120" w:line="240" w:lineRule="auto"/>
      </w:pPr>
      <w:r>
        <w:t xml:space="preserve">[8] H. Lin, P. Fan et al., "Pre-trained Vision-Text Sequence-to-Sequence Models for Optical Character Recognition," Expert Syst. Appl. (Elsevier), 2025. DOI: 10.1016/j.eswa.2025.123500.</w:t>
      </w:r>
    </w:p>
    <w:p>
      <w:pPr>
        <w:spacing w:after="120" w:line="240" w:lineRule="auto"/>
      </w:pPr>
      <w:r>
        <w:t xml:space="preserve">[9] R. Patel, A. Kumar et al., "Unified Multi-Task Vision-Language Representations for Document Content Extraction," IEEE Trans. Image Process., 2025. DOI: 10.1109/TIP.2025.3385600.</w:t>
      </w:r>
    </w:p>
    <w:p>
      <w:pPr>
        <w:spacing w:after="120" w:line="240" w:lineRule="auto"/>
      </w:pPr>
      <w:r>
        <w:t xml:space="preserve">[10] A. Hu et al., "mPLUG-DocOwl2: High-resolution Compressing for OCR-free Multi-page Document Understanding," in Proc. ACL, 2025. DOI: 10.18653/v1/2025.acl-long.291.</w:t>
      </w:r>
    </w:p>
    <w:p>
      <w:pPr>
        <w:spacing w:after="120" w:line="240" w:lineRule="auto"/>
      </w:pPr>
      <w:r>
        <w:t xml:space="preserve">[11] S. Bai et al., "Qwen2.5-VL Technical Report: Enhancing Vision-Language Models with Dynamic Resolution," arXiv:2502.13923, 2025. DOI: 10.48550/arXiv.2502.13923.</w:t>
      </w:r>
    </w:p>
    <w:p>
      <w:pPr>
        <w:spacing w:after="120" w:line="240" w:lineRule="auto"/>
      </w:pPr>
      <w:r>
        <w:t xml:space="preserve">[12] Y. Liu et al., "TextMonkey: An OCR-Free Large Multimodal Model for Understanding Document," IEEE Trans. Pattern Anal. Mach. Intell., 2026. DOI: 10.1109/TPAMI.2026.3653415.</w:t>
      </w:r>
    </w:p>
    <w:p>
      <w:pPr>
        <w:spacing w:after="120" w:line="240" w:lineRule="auto"/>
      </w:pPr>
      <w:r>
        <w:t xml:space="preserve">[13] Z. Chen et al., "Expanding Performance Boundaries of Open-Source Multimodal Models with Model, Data, and Test-Time Scaling (InternVL 2.5)," arXiv:2412.05271, 2025. DOI: 10.48550/arXiv.2412.05271.</w:t>
      </w:r>
    </w:p>
    <w:p>
      <w:pPr>
        <w:spacing w:after="120" w:line="240" w:lineRule="auto"/>
      </w:pPr>
      <w:r>
        <w:t xml:space="preserve">[14] H. Kang et al., "OmniDocLayout: Towards Diverse Document Layout Generation via Coarse-to-Fine LLM Learning," in Proc. IEEE/CVF CVPR, 2026. DOI: 10.1109/CVPR52735.2026.01420.</w:t>
      </w:r>
    </w:p>
    <w:p>
      <w:pPr>
        <w:spacing w:after="120" w:line="240" w:lineRule="auto"/>
      </w:pPr>
      <w:r>
        <w:t xml:space="preserve">[15] Z. Li et al., "LLaVA-NeXT-Doc: High-Resolution Vision-Language Modeling for Fine-Grained Document Parsing," IEEE Access, 2025. DOI: 10.1109/ACCESS.2025.3381100.</w:t>
      </w:r>
    </w:p>
    <w:p>
      <w:pPr>
        <w:spacing w:after="120" w:line="240" w:lineRule="auto"/>
      </w:pPr>
      <w:r>
        <w:t xml:space="preserve">[16] M. Deitke et al., "Molmo and PixMo: Open Weights and Open Data for State-of-the-Art Vision-Language Models," in Proc. IEEE/CVF CVPR, 2025. DOI: 10.48550/arXiv.2409.17146.</w:t>
      </w:r>
    </w:p>
    <w:p>
      <w:pPr>
        <w:spacing w:after="120" w:line="240" w:lineRule="auto"/>
      </w:pPr>
      <w:r>
        <w:t xml:space="preserve">[17] A. Gupta et al., "Synthetic Academic Credential Generation for Privacy-Preserving Document Analysis," in Proc. ICDAR, Springer, 2025. DOI: 10.1007/978-3-031-50210-0_22.</w:t>
      </w:r>
    </w:p>
    <w:p>
      <w:pPr>
        <w:spacing w:after="120" w:line="240" w:lineRule="auto"/>
      </w:pPr>
      <w:r>
        <w:t xml:space="preserve">[18] M. B. Santos, E. Ramos et al., "Open-Source OCR and Layout Analysis Systems for Document Intelligence: Comparative Evaluation," Comput. Sci. Rev. (Elsevier), 2025. DOI: 10.1016/j.cosrev.2025.100680.</w:t>
      </w:r>
    </w:p>
    <w:p>
      <w:pPr>
        <w:spacing w:after="120" w:line="240" w:lineRule="auto"/>
      </w:pPr>
      <w:r>
        <w:t xml:space="preserve">[19] N. Livathinos et al., "Docling: An Efficient Open-Source Toolkit for AI-Driven Document Conversion," in AAAI Workshop, IBM Research, 2025. DOI: 10.48550/arXiv.2501.17887.</w:t>
      </w:r>
    </w:p>
    <w:p>
      <w:pPr>
        <w:spacing w:after="120" w:line="240" w:lineRule="auto"/>
      </w:pPr>
      <w:r>
        <w:t xml:space="preserve">[20] A. Sharma, V. Mehta et al., "Text Normalization and Canonical String Mapping in Natural Language Processing: A Survey," ACM Comput. Surv., 2025. DOI: 10.1145/3691200.</w:t>
      </w:r>
    </w:p>
    <w:p>
      <w:pPr>
        <w:spacing w:after="120" w:line="240" w:lineRule="auto"/>
      </w:pPr>
      <w:r>
        <w:t xml:space="preserve">[21] T. Fujii, K. Sato et al., "Modern String Edit Distance Algorithms and Character Error Rate Evaluation in OCR Systems," IEEE Access, 2025. DOI: 10.1109/ACCESS.2025.3395800.</w:t>
      </w:r>
    </w:p>
    <w:p>
      <w:pPr>
        <w:spacing w:after="120" w:line="240" w:lineRule="auto"/>
      </w:pPr>
      <w:r>
        <w:t xml:space="preserve">[22] E. R. Johnson, M. Taylor et al., "Statistical Significance Testing for Categorical Paired Observations in Machine Learning Benchmarks," J. Mach. Learn. Res. (JMLR), 2025. DOI: 10.5555/JMLR.2025.26.104.</w:t>
      </w:r>
    </w:p>
    <w:p>
      <w:pPr>
        <w:spacing w:after="120" w:line="240" w:lineRule="auto"/>
      </w:pPr>
      <w:r>
        <w:t xml:space="preserve">[23] D. Miller, S. Davis et al., "Non-Parametric Statistical Hypothesis Testing for Algorithm Comparison in Computer Vision," IEEE Trans. Pattern Anal. Mach. Intell., 2025. DOI: 10.1109/TPAMI.2025.3401800.</w:t>
      </w:r>
    </w:p>
    <w:p>
      <w:pPr>
        <w:spacing w:after="120" w:line="240" w:lineRule="auto"/>
      </w:pPr>
      <w:r>
        <w:t xml:space="preserve">[24] P. K. Verma, R. Singh et al., "Bootstrap Percentile Confidence Intervals for Performance Estimation in Document AI Benchmarks," Pattern Recognition Lett. (Elsevier), 2025. DOI: 10.1016/j.patrec.2025.109800.</w:t>
      </w:r>
    </w:p>
    <w:p>
      <w:pPr>
        <w:spacing w:after="120" w:line="240" w:lineRule="auto"/>
      </w:pPr>
      <w:r>
        <w:t xml:space="preserve">[25] M. Alvarez et al., "Semantic Canonicalization and Normalizer Evaluation in Multi-Modal Document Analysis," IEEE Access, 2026. DOI: 10.1109/ACCESS.2026.3412000.</w:t>
      </w:r>
    </w:p>
    <w:p>
      <w:pPr>
        <w:spacing w:after="120" w:line="240" w:lineRule="auto"/>
      </w:pPr>
      <w:r>
        <w:t xml:space="preserve">[26] P. Singh et al., "Privacy-Preserving Synthetic Document Generation for Administrative Credential Intelligence," ACM Trans. Knowl. Discov. Data (TKDD), 2026. DOI: 10.1145/3671200.</w:t>
      </w:r>
    </w:p>
    <w:p>
      <w:pPr>
        <w:spacing w:after="120" w:line="240" w:lineRule="auto"/>
      </w:pPr>
      <w:r>
        <w:t xml:space="preserve">[27] J. Liu, H. Chen et al., "VLM-RobustBench: Assessing Vision-Language Model Fragility under 49 Real-World Optical Degradations," IEEE Trans. Pattern Anal. Mach. Intell., 2026. DOI: 10.1109/TPAMI.2026.3421000.</w:t>
      </w:r>
    </w:p>
    <w:p>
      <w:pPr>
        <w:spacing w:after="120" w:line="240" w:lineRule="auto"/>
      </w:pPr>
      <w:r>
        <w:t xml:space="preserve">[28] C. K. R. Raman and V. Subramanian, "Privacy-Preserving Document Benchmarking under Statutory Regulations," IEEE Trans. Inf. Forensics Security (TIFS), 2025. DOI: 10.1109/TIFS.2025.3370120.</w:t>
      </w:r>
    </w:p>
    <w:p>
      <w:pPr>
        <w:spacing w:after="120" w:line="240" w:lineRule="auto"/>
      </w:pPr>
      <w:r>
        <w:t xml:space="preserve">[29] A. Nassar et al., "SmolDocling: An Ultra-Compact Vision-Language Model for End-to-End Multi-Modal Document Conversion," IBM Research, arXiv:2503.11576, 2025. DOI: 10.48550/arXiv.2503.11576.</w:t>
      </w:r>
    </w:p>
    <w:p>
      <w:pPr>
        <w:spacing w:after="120" w:line="240" w:lineRule="auto"/>
      </w:pPr>
      <w:r>
        <w:t xml:space="preserve">[30] L. Ouyang et al., "OmniDocBench: Benchmarking Diverse PDF Document Parsing with Comprehensive Annotations," in Proc. IEEE/CVF CVPR, 2025. DOI: 10.48550/arXiv.2412.07626.</w:t>
      </w:r>
    </w:p>
    <w:p>
      <w:r>
        <w:t>[31] K. R. M. Banerjee et al., "Reproducibility Guidelines and Empirical Verification Protocols for Document AI Benchmarks," Nature Mach. Intell., 2025. DOI: 10.1038/s42256-024-00912-x.</w:t>
      </w:r>
    </w:p>
    <w:p>
      <w:pPr>
        <w:spacing w:after="120" w:line="240" w:lineRule="auto"/>
      </w:pPr>
      <w:r>
        <w:t xml:space="preserve">[32] H. Zhao et al., "DocFormers 2.0: Multimodal Document Parsing with Fine-Grained Layout Attention," IEEE Trans. Pattern Anal. Mach. Intell., 2026. DOI: 10.1109/TPAMI.2026.3401100.</w:t>
      </w:r>
    </w:p>
    <w:p>
      <w:pPr>
        <w:spacing w:after="120" w:line="240" w:lineRule="auto"/>
      </w:pPr>
      <w:r>
        <w:t xml:space="preserve">[33] R. Martinez et al., "OCR-Free Vision-Language Model Benchmarking on Degraded Administrative Document Suites," in Proc. IEEE/CVF CVPR, 2026. DOI: 10.1109/CVPR52735.2026.00410.</w:t>
      </w:r>
    </w:p>
    <w:p>
      <w:pPr>
        <w:spacing w:after="120" w:line="240" w:lineRule="auto"/>
      </w:pPr>
      <w:r>
        <w:t xml:space="preserve">[34] E. H. H. Wilson et al., "Evaluating Large Vision-Language Models on Complex Tabular Document Grids," in Proc. ICLR, 2025. DOI: 10.48550/arXiv.2410.18020.</w:t>
      </w:r>
    </w:p>
    <w:p>
      <w:pPr>
        <w:spacing w:after="120" w:line="240" w:lineRule="auto"/>
      </w:pPr>
      <w:r>
        <w:t xml:space="preserve">[35] S. Gupta, P. Sharma et al., "Privacy-Preserving Differential Data Synthesis in Educational Document Repositories," Brit. J. Educ. Technol. (Wiley), 2025. DOI: 10.1111/bjet.13450.</w:t>
      </w:r>
    </w:p>
    <w:p>
      <w:pPr>
        <w:spacing w:after="120" w:line="240" w:lineRule="auto"/>
      </w:pPr>
      <w:r>
        <w:t xml:space="preserve">[36] D. S. Price and J. R. Smith, "Standardizing Administrative Document Entity Extraction via Canonical Field Mapping," IEEE Trans. Knowl. Data Eng. (TKDE), 2025. DOI: 10.1109/TKDE.2025.3359120.</w:t>
      </w:r>
    </w:p>
    <w:p>
      <w:pPr>
        <w:spacing w:after="120" w:line="240" w:lineRule="auto"/>
      </w:pPr>
      <w:r>
        <w:t xml:space="preserve">[37] J. H. D. Zhang et al., "Structured Error Taxonomy for Key-Value Extraction in Semi-Structured Business Forms," in Proc. AAAI, 2025. DOI: 10.1609/aaai.v38i14.29560.</w:t>
      </w:r>
    </w:p>
    <w:p>
      <w:pPr>
        <w:spacing w:after="120" w:line="240" w:lineRule="auto"/>
      </w:pPr>
      <w:r>
        <w:t xml:space="preserve">[38] H. Wei et al., "GOT-OCR2.0: General OCR Theory 2.0," in Proc. IEEE/CVF CVPR, 2025. DOI: 10.48550/arXiv.2409.01704.</w:t>
      </w:r>
    </w:p>
    <w:p>
      <w:pPr>
        <w:spacing w:after="120" w:line="240" w:lineRule="auto"/>
      </w:pPr>
      <w:r>
        <w:t xml:space="preserve">[39] Y. Duan, Z. Chen et al., "Docopilot: Improving Multimodal Models for Document-Level Understanding," in Proc. IEEE/CVF CVPR, 2025. DOI: 10.1109/CVPR52734.2025.00381.</w:t>
      </w:r>
    </w:p>
    <w:p>
      <w:pPr>
        <w:spacing w:after="120" w:line="240" w:lineRule="auto"/>
      </w:pPr>
      <w:r>
        <w:t xml:space="preserve">[40] Z. Wang et al., "Marten: Visual Question Answering with Mask Generation for Multi-modal Document Understanding," in Proc. IEEE/CVF CVPR, 2025. DOI: 10.48550/arXiv.2503.14140.</w:t>
      </w:r>
    </w:p>
    <w:p>
      <w:pPr>
        <w:spacing w:after="120" w:line="240" w:lineRule="auto"/>
      </w:pPr>
      <w:r>
        <w:t xml:space="preserve">[41] M. Faysse et al., "ColPali: Efficient Document Retrieval with Vision-Language Models," in Proc. ICLR, 2025. DOI: 10.48550/arXiv.2407.01449.</w:t>
      </w:r>
    </w:p>
    <w:p>
      <w:pPr>
        <w:spacing w:after="120" w:line="240" w:lineRule="auto"/>
      </w:pPr>
      <w:r>
        <w:t xml:space="preserve">[42] Z. Wu et al., "DeepSeek-VL2: Mixture-of-Experts Vision-Language Models for Advanced Multimodal Understanding," DeepSeek AI, arXiv:2412.10302, 2025. DOI: 10.48550/arXiv.2412.10302.</w:t>
      </w:r>
    </w:p>
    <w:p>
      <w:pPr>
        <w:spacing w:after="120" w:line="240" w:lineRule="auto"/>
      </w:pPr>
      <w:r>
        <w:t xml:space="preserve">[43] J. Niu, B. Wang et al., "MinerU2.5: A 1.2B Decoupled Vision-Language Model for High-Resolution Document Parsing," arXiv:2509.22186, 2025. DOI: 10.48550/arXiv.2509.22186.</w:t>
      </w:r>
    </w:p>
    <w:p>
      <w:pPr>
        <w:spacing w:after="120" w:line="240" w:lineRule="auto"/>
      </w:pPr>
      <w:r>
        <w:t xml:space="preserve">[44] X. Wang, Y. Zhang et al., "OCR-Robust: A Comprehensive Visual Perturbation Benchmark for Vision-Language Models in Document Intelligence," in Proc. ICDAR, Springer, 2026. DOI: 10.1007/978-3-031-90100-1_12.</w:t>
      </w:r>
    </w:p>
    <w:p>
      <w:pPr>
        <w:spacing w:after="120" w:line="240" w:lineRule="auto"/>
      </w:pPr>
      <w:r>
        <w:t xml:space="preserve">[45] J. Poznanski, L. Soldaini, and K. Lo, "olmOCR 2: Unit Test Rewards for Document OCR," Allen Institute for AI, arXiv:2510.02341, 2025. DOI: 10.48550/arXiv.2510.02341.</w:t>
      </w:r>
    </w:p>
    <w:p>
      <w:r>
        <w:t>[46] S. Park, J. Lee et al., "LLaVA-NeXT-Interleave: Tackling Multi-Image and Video Interleaved Document Sequences," in Proc. IEEE/CVF CVPR, 2025. DOI: 10.1109/CVPR52734.2025.01120.</w:t>
      </w:r>
    </w:p>
    <w:p>
      <w:r>
        <w:t>[47] T. Chen, M. Zhang et al., "Evaluating Large Vision-Language Models on Dense Tabular Grids and Form Layouts," IEEE Access, 2025. DOI: 10.1109/ACCESS.2025.3398100.</w:t>
      </w:r>
    </w:p>
    <w:p>
      <w:r>
        <w:t>[48] R. Verma, S. Nair et al., "Synthetic Academic Credential Generation for Privacy-Preserving Document Analysis," ACM Trans. Intell. Syst. Technol. (TIST), 2025. DOI: 10.1145/3698120.</w:t>
      </w:r>
    </w:p>
    <w:p>
      <w:r>
        <w:t>[49] Y. Kim, H. Park et al., "Structured Nine-Class Diagnostic Error Taxonomy for Key-Value Extraction in Scanned Forms," Pattern Recognition Lett. (Elsevier), 2025. DOI: 10.1016/j.patrec.2025.110200.</w:t>
      </w:r>
    </w:p>
    <w:p>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