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3="http://schemas.openxmlformats.org/officeDocument/2006/math" xmlns:ns4="http://schemas.openxmlformats.org/drawingml/2006/wordprocessingDrawing" xmlns:ns5="http://schemas.openxmlformats.org/drawingml/2006/main" xmlns:ns6="http://schemas.openxmlformats.org/drawingml/2006/picture" xmlns:r="http://schemas.openxmlformats.org/officeDocument/2006/relationships" xmlns:w="http://schemas.openxmlformats.org/wordprocessingml/2006/main" xmlns:w14="http://schemas.microsoft.com/office/word/2010/wordml" ns1:Ignorable="w14 w15 wp14">
  <w:body>
    <w:p w14:paraId="78AF360B">
      <w:pPr>
        <w:spacing w:before="280" w:after="160"/>
        <w:jc w:val="center"/>
      </w:pPr>
      <w:r>
        <w:rPr>
          <w:rFonts w:ascii="Times New Roman" w:hAnsi="Times New Roman"/>
          <w:b/>
          <w:color w:val="003366"/>
          <w:sz w:val="40"/>
        </w:rPr>
        <w:t>ADBG v1.0 &amp; AU DIC Benchmark Evaluation Framework: A Reproducible Synthetic Benchmark Suite and Normalization Pipeline for Academic Document Intelligence</w:t>
      </w:r>
    </w:p>
    <w:p w14:paraId="547EAF43">
      <w:pPr>
        <w:spacing w:before="40" w:after="160" w:line="276" w:lineRule="auto"/>
        <w:jc w:val="center"/>
      </w:pPr>
      <w:r/>
      <w:r>
        <w:rPr>
          <w:rFonts w:ascii="Times New Roman" w:hAnsi="Times New Roman"/>
          <w:b/>
          <w:sz w:val="23"/>
        </w:rPr>
        <w:t>Kushagra Singh Bhadauria</w:t>
      </w:r>
      <w:r>
        <w:rPr>
          <w:rFonts w:ascii="Times New Roman" w:hAnsi="Times New Roman"/>
          <w:b/>
          <w:sz w:val="18"/>
          <w:vertAlign w:val="superscript"/>
        </w:rPr>
        <w:t>1</w:t>
      </w:r>
      <w:r>
        <w:rPr>
          <w:rFonts w:ascii="Times New Roman" w:hAnsi="Times New Roman"/>
          <w:b/>
          <w:sz w:val="23"/>
        </w:rPr>
        <w:t xml:space="preserve">, </w:t>
      </w:r>
      <w:r>
        <w:rPr>
          <w:rFonts w:ascii="Times New Roman" w:hAnsi="Times New Roman"/>
          <w:b/>
          <w:sz w:val="23"/>
        </w:rPr>
        <w:t>Aashish Rajput</w:t>
      </w:r>
      <w:r>
        <w:rPr>
          <w:rFonts w:ascii="Times New Roman" w:hAnsi="Times New Roman"/>
          <w:b/>
          <w:sz w:val="18"/>
          <w:vertAlign w:val="superscript"/>
        </w:rPr>
        <w:t>2</w:t>
      </w:r>
      <w:r>
        <w:rPr>
          <w:rFonts w:ascii="Times New Roman" w:hAnsi="Times New Roman"/>
          <w:b/>
          <w:sz w:val="23"/>
        </w:rPr>
        <w:t xml:space="preserve">, and </w:t>
      </w:r>
      <w:r>
        <w:rPr>
          <w:rFonts w:ascii="Times New Roman" w:hAnsi="Times New Roman"/>
          <w:b/>
          <w:sz w:val="23"/>
        </w:rPr>
        <w:t>Avdesh Kumar Sah</w:t>
      </w:r>
      <w:r>
        <w:rPr>
          <w:rFonts w:ascii="Times New Roman" w:hAnsi="Times New Roman"/>
          <w:b/>
          <w:sz w:val="18"/>
          <w:vertAlign w:val="superscript"/>
        </w:rPr>
        <w:t>3</w:t>
      </w:r>
      <w:r>
        <w:br/>
      </w:r>
      <w:r>
        <w:rPr>
          <w:rFonts w:ascii="Times New Roman" w:hAnsi="Times New Roman"/>
          <w:sz w:val="17"/>
          <w:vertAlign w:val="superscript"/>
        </w:rPr>
        <w:t>123</w:t>
      </w:r>
      <w:r>
        <w:rPr>
          <w:rFonts w:ascii="Times New Roman" w:hAnsi="Times New Roman"/>
          <w:sz w:val="19"/>
        </w:rPr>
        <w:t xml:space="preserve"> Department of Computer Science and Engineering, Sharda University, Greater Noida, Uttar Pradesh, India</w:t>
      </w:r>
      <w:r>
        <w:br/>
      </w:r>
      <w:r>
        <w:rPr>
          <w:rFonts w:ascii="Times New Roman" w:hAnsi="Times New Roman"/>
          <w:sz w:val="17"/>
          <w:vertAlign w:val="superscript"/>
        </w:rPr>
        <w:t>1</w:t>
      </w:r>
      <w:r>
        <w:rPr>
          <w:rFonts w:ascii="Times New Roman" w:hAnsi="Times New Roman"/>
          <w:sz w:val="19"/>
        </w:rPr>
        <w:t xml:space="preserve"> 2023361009.kushagra@ug.sharda.ac.in, </w:t>
      </w:r>
      <w:r>
        <w:rPr>
          <w:rFonts w:ascii="Times New Roman" w:hAnsi="Times New Roman"/>
          <w:sz w:val="17"/>
          <w:vertAlign w:val="superscript"/>
        </w:rPr>
        <w:t>2</w:t>
      </w:r>
      <w:r>
        <w:rPr>
          <w:rFonts w:ascii="Times New Roman" w:hAnsi="Times New Roman"/>
          <w:sz w:val="19"/>
        </w:rPr>
        <w:t xml:space="preserve"> 2023329421.aashish@ug.sharda.ac.in, </w:t>
      </w:r>
      <w:r>
        <w:rPr>
          <w:rFonts w:ascii="Times New Roman" w:hAnsi="Times New Roman"/>
          <w:sz w:val="17"/>
          <w:vertAlign w:val="superscript"/>
        </w:rPr>
        <w:t>3</w:t>
      </w:r>
      <w:r>
        <w:rPr>
          <w:rFonts w:ascii="Times New Roman" w:hAnsi="Times New Roman"/>
          <w:sz w:val="19"/>
        </w:rPr>
        <w:t xml:space="preserve"> 2023265132.avdesh@ug.sharda.ac.in</w:t>
      </w:r>
    </w:p>
    <w:p w14:paraId="15AA14C8">
      <w:pPr>
        <w:keepNext/>
        <w:spacing w:before="280" w:after="120"/>
        <w:jc w:val="both"/>
      </w:pPr>
      <w:r>
        <w:rPr>
          <w:rFonts w:ascii="Times New Roman" w:hAnsi="Times New Roman"/>
          <w:b/>
          <w:color w:val="003366"/>
          <w:sz w:val="26"/>
        </w:rPr>
        <w:t>Abstract</w:t>
      </w:r>
    </w:p>
    <w:p w14:paraId="60F0607A">
      <w:pPr>
        <w:spacing w:before="40" w:after="80" w:line="276" w:lineRule="auto"/>
        <w:jc w:val="both"/>
      </w:pPr>
      <w:r>
        <w:rPr>
          <w:rFonts w:ascii="Times New Roman" w:hAnsi="Times New Roman"/>
          <w:sz w:val="20"/>
        </w:rPr>
        <w:t xml:space="preserve">Evaluating neural document intelligence engines on academic credentials (degree certificates, marksheets, transcripts, student identification cards) is severely bottlenecked by strict privacy regulations—such as the Family Educational Rights and Privacy Act (FERPA) and the General Data Protection Regulation (GDPR)—that prohibit public dissemination of real student records. To resolve this challenge, we introduce </w:t>
      </w:r>
      <w:r>
        <w:rPr>
          <w:rFonts w:ascii="Times New Roman" w:hAnsi="Times New Roman"/>
          <w:b/>
          <w:sz w:val="20"/>
        </w:rPr>
        <w:t>ADBG v1.0</w:t>
      </w:r>
      <w:r>
        <w:rPr>
          <w:rFonts w:ascii="Times New Roman" w:hAnsi="Times New Roman"/>
          <w:sz w:val="20"/>
        </w:rPr>
        <w:t xml:space="preserve"> (Academic Document Benchmark Generator), a seed-deterministic synthetic credential rendering engine, alongside the </w:t>
      </w:r>
      <w:r>
        <w:rPr>
          <w:rFonts w:ascii="Times New Roman" w:hAnsi="Times New Roman"/>
          <w:b/>
          <w:sz w:val="20"/>
        </w:rPr>
        <w:t>AU DIC Benchmark Evaluation Framework v1.0</w:t>
      </w:r>
      <w:r>
        <w:rPr>
          <w:rFonts w:ascii="Times New Roman" w:hAnsi="Times New Roman"/>
          <w:sz w:val="20"/>
        </w:rPr>
        <w:t>, a decoupled, read-only evaluation pipeline. ADBG v1.0 generates synthetic document specimens paired with ground-truth JSON annotations across four standardized optical quality profiles (</w:t>
      </w:r>
      <w:r>
        <w:rPr>
          <w:rFonts w:ascii="Times New Roman" w:hAnsi="Times New Roman"/>
          <w:i/>
          <w:sz w:val="20"/>
        </w:rPr>
        <w:t>clean</w:t>
      </w:r>
      <w:r>
        <w:rPr>
          <w:rFonts w:ascii="Times New Roman" w:hAnsi="Times New Roman"/>
          <w:sz w:val="20"/>
        </w:rPr>
        <w:t xml:space="preserve">, </w:t>
      </w:r>
      <w:r>
        <w:rPr>
          <w:rFonts w:ascii="Times New Roman" w:hAnsi="Times New Roman"/>
          <w:i/>
          <w:sz w:val="20"/>
        </w:rPr>
        <w:t>scanner_copy</w:t>
      </w:r>
      <w:r>
        <w:rPr>
          <w:rFonts w:ascii="Times New Roman" w:hAnsi="Times New Roman"/>
          <w:sz w:val="20"/>
        </w:rPr>
        <w:t xml:space="preserve">, </w:t>
      </w:r>
      <w:r>
        <w:rPr>
          <w:rFonts w:ascii="Times New Roman" w:hAnsi="Times New Roman"/>
          <w:i/>
          <w:sz w:val="20"/>
        </w:rPr>
        <w:t>mobile_camera</w:t>
      </w:r>
      <w:r>
        <w:rPr>
          <w:rFonts w:ascii="Times New Roman" w:hAnsi="Times New Roman"/>
          <w:sz w:val="20"/>
        </w:rPr>
        <w:t xml:space="preserve">, </w:t>
      </w:r>
      <w:r>
        <w:rPr>
          <w:rFonts w:ascii="Times New Roman" w:hAnsi="Times New Roman"/>
          <w:i/>
          <w:sz w:val="20"/>
        </w:rPr>
        <w:t>rotated_90</w:t>
      </w:r>
      <w:r>
        <w:rPr>
          <w:rFonts w:ascii="Times New Roman" w:hAnsi="Times New Roman"/>
          <w:sz w:val="20"/>
        </w:rPr>
        <w:t>). To isolate genuine recognition failures from superficial string variations, the evaluation subsystem incorporates a six-stage semantic canonical normalizer (CanonicalNormalizer) and an automated nine-class structured OCR error taxonomy.</w:t>
      </w:r>
    </w:p>
    <w:p w14:paraId="01FA128A">
      <w:pPr>
        <w:spacing w:before="40" w:after="80" w:line="276" w:lineRule="auto"/>
        <w:jc w:val="both"/>
      </w:pPr>
      <ns3:oMath>
        <ns3:r>
          <ns3:rPr/>
          <w:rPr>
            <w:rFonts w:ascii="Cambria Math" w:hAnsi="Cambria Math"/>
          </w:rPr>
          <ns3:t>3</ns3:t>
        </ns3:r>
        <ns3:r>
          <ns3:rPr/>
          <w:rPr>
            <w:rFonts w:ascii="Times New Roman" w:hAnsi="Times New Roman"/>
          </w:rPr>
          <ns3:t>categories</ns3:t>
        </ns3:r>
        <ns3:r>
          <ns3:rPr/>
          <w:rPr>
            <w:rFonts w:ascii="Cambria Math" w:hAnsi="Cambria Math"/>
          </w:rPr>
          <ns3:t>×30</ns3:t>
        </ns3:r>
        <ns3:r>
          <ns3:rPr/>
          <w:rPr>
            <w:rFonts w:ascii="Times New Roman" w:hAnsi="Times New Roman"/>
          </w:rPr>
          <ns3:t>instances</ns3:t>
        </ns3:r>
        <ns3:r>
          <ns3:rPr/>
          <w:rPr>
            <w:rFonts w:ascii="Cambria Math" w:hAnsi="Cambria Math"/>
          </w:rPr>
          <ns3:t>×4</ns3:t>
        </ns3:r>
        <ns3:r>
          <ns3:rPr/>
          <w:rPr>
            <w:rFonts w:ascii="Times New Roman" w:hAnsi="Times New Roman"/>
          </w:rPr>
          <ns3:t>degradation profiles</ns3:t>
        </ns3:r>
      </ns3:oMath>
      <w:r/>
      <w:r>
        <w:rPr/>
      </w:r>
      <w:r>
        <w:rPr/>
      </w:r>
      <w:r>
        <w:rPr/>
        <w:t>We evaluate the benchmark suite across 360 specimens (24,480 paired field observations (360 specimens x variable field evaluation attributes (33 for certificates and student IDs; 138 for marksheets))). In headless framework validation dry-runs, the evaluation subsystem achieved a processing throughput of 242.59 samples/sec with zero database state mutations. In live neural model inference testing using Groq Cloud's Llama 3.1 8B Instant engine with strict real-inference enforcement (allowMockFallback: false), the system achieved a 75.23% Field Extraction F1 score and 8.21% Character Error Rate (CER) (11.35% field-level CER) under zero-shot prompting across all degradation profiles. Furthermore, category classification achieved 100.00% accuracy across all document types, while fine-grained entity extraction achieved 75.23% F1 score due to missing fields and OCR errors. The benchmark eliminates the need for real student records by using deterministic synthetic academic credential generation with complete ground-truth annotations. The evaluation baseline executes end-to-end neural document intelligence inference (Option A) across 360 document specimens under strict real-inference enforcement without mock fallback. This work provides a reproducible, synthetic-data-based foundation for benchmarking academic document analysis systems.</w:t>
      </w:r>
    </w:p>
    <w:p w14:paraId="2A2B8802">
      <w:pPr>
        <w:spacing w:before="40" w:after="80" w:line="276" w:lineRule="auto"/>
        <w:jc w:val="both"/>
      </w:pPr>
      <w:r>
        <w:rPr>
          <w:rFonts w:ascii="Times New Roman" w:hAnsi="Times New Roman"/>
          <w:b/>
          <w:sz w:val="20"/>
        </w:rPr>
        <w:t>Index Terms</w:t>
      </w:r>
      <w:r>
        <w:rPr>
          <w:rFonts w:ascii="Times New Roman" w:hAnsi="Times New Roman"/>
          <w:sz w:val="20"/>
        </w:rPr>
        <w:t>—Document Intelligence, Synthetic Benchmark Generation, Information Extraction, Canonical Normalization, Error Taxonomy, Optical Degradation, Benchmark Evaluation.</w:t>
      </w:r>
    </w:p>
    <w:p w14:paraId="3F76657E">
      <w:pPr>
        <w:keepNext/>
        <w:spacing w:before="280" w:after="120"/>
        <w:jc w:val="both"/>
      </w:pPr>
      <w:r>
        <w:rPr>
          <w:rFonts w:ascii="Times New Roman" w:hAnsi="Times New Roman"/>
          <w:b/>
          <w:color w:val="003366"/>
          <w:sz w:val="26"/>
        </w:rPr>
        <w:t>1. Introduction</w:t>
      </w:r>
    </w:p>
    <w:p w14:paraId="1472CF58">
      <w:pPr>
        <w:keepNext/>
        <w:spacing w:before="200" w:after="80"/>
        <w:jc w:val="both"/>
      </w:pPr>
      <w:r>
        <w:rPr>
          <w:rFonts w:ascii="Times New Roman" w:hAnsi="Times New Roman"/>
          <w:b/>
          <w:color w:val="333333"/>
          <w:sz w:val="23"/>
        </w:rPr>
        <w:t>1.1 Background &amp; Motivation</w:t>
      </w:r>
    </w:p>
    <w:p w14:paraId="68481526">
      <w:pPr>
        <w:spacing w:before="40" w:after="80" w:line="276" w:lineRule="auto"/>
        <w:jc w:val="both"/>
      </w:pPr>
      <w:r>
        <w:rPr>
          <w:rFonts w:ascii="Times New Roman" w:hAnsi="Times New Roman"/>
          <w:sz w:val="20"/>
        </w:rPr>
        <w:t>Document Intelligence Systems (DIS) process semi-structured administrative documents across financial, legal, and educational domains [1]–[5]. In higher education administration, verifying academic degree certificates, semester marksheets, official transcripts, and student identity cards is essential for automated admissions processing, credit transfers, and credential authentication [26], [28], [35].</w:t>
      </w:r>
    </w:p>
    <w:p w14:paraId="54545C66">
      <w:pPr>
        <w:spacing w:before="40" w:after="80" w:line="276" w:lineRule="auto"/>
        <w:jc w:val="both"/>
      </w:pPr>
      <w:r>
        <w:rPr>
          <w:rFonts w:ascii="Times New Roman" w:hAnsi="Times New Roman"/>
          <w:sz w:val="20"/>
        </w:rPr>
        <w:t>Despite recent advances in Large Language Models (LLMs) and Vision-Language Models (VLMs) [9]–[15], [32]–[34], benchmarking document extraction algorithms on academic records presents three fundamental methodological obstacles:</w:t>
      </w:r>
    </w:p>
    <w:p w14:paraId="1556BEBE">
      <w:pPr>
        <w:spacing w:before="20" w:after="40"/>
        <w:ind w:left="360"/>
        <w:jc w:val="both"/>
      </w:pPr>
      <w:r>
        <w:rPr>
          <w:rFonts w:ascii="Times New Roman" w:hAnsi="Times New Roman"/>
          <w:b/>
          <w:sz w:val="20"/>
        </w:rPr>
        <w:t>1. Privacy &amp; Statutory Regulatory Barriers</w:t>
      </w:r>
      <w:r>
        <w:rPr>
          <w:rFonts w:ascii="Times New Roman" w:hAnsi="Times New Roman"/>
          <w:sz w:val="20"/>
        </w:rPr>
        <w:t>: Statutory regulations—such as FERPA in the United States and GDPR in the European Union—prohibit the public distribution of authentic student academic records containing personally identifiable information (PII) [17], [28], [35].</w:t>
      </w:r>
    </w:p>
    <w:p w14:paraId="622959E9">
      <w:pPr>
        <w:spacing w:before="20" w:after="40"/>
        <w:ind w:left="360"/>
        <w:jc w:val="both"/>
      </w:pPr>
      <w:r>
        <w:rPr>
          <w:rFonts w:ascii="Times New Roman" w:hAnsi="Times New Roman"/>
          <w:b/>
          <w:sz w:val="20"/>
        </w:rPr>
        <w:t>2. Structural &amp; Tabular Complexity</w:t>
      </w:r>
      <w:r>
        <w:rPr>
          <w:rFonts w:ascii="Times New Roman" w:hAnsi="Times New Roman"/>
          <w:sz w:val="20"/>
        </w:rPr>
        <w:t>: Academic marksheets feature multi-column course grids with subject codes, credit hours, numerical marks, and letter grades, requiring precise spatial and tabular array alignment [29].</w:t>
      </w:r>
    </w:p>
    <w:p w14:paraId="020FA763">
      <w:pPr>
        <w:spacing w:before="20" w:after="40"/>
        <w:ind w:left="360"/>
        <w:jc w:val="both"/>
      </w:pPr>
      <w:r>
        <w:rPr>
          <w:rFonts w:ascii="Times New Roman" w:hAnsi="Times New Roman"/>
          <w:b/>
          <w:sz w:val="20"/>
        </w:rPr>
        <w:t>3. Superficial Formatting Discrepancies</w:t>
      </w:r>
      <w:r>
        <w:rPr>
          <w:rFonts w:ascii="Times New Roman" w:hAnsi="Times New Roman"/>
          <w:sz w:val="20"/>
        </w:rPr>
        <w:t>: Standard string comparison metrics (e.g., raw string matching) incorrectly penalize minor representation variations (e.g., 2026-08-04 vs August 4, 2026), distorting extraction accuracy evaluations [25], [36].</w:t>
      </w:r>
    </w:p>
    <w:p w14:paraId="31E6DB94">
      <w:pPr>
        <w:spacing w:before="40" w:after="80" w:line="276" w:lineRule="auto"/>
        <w:jc w:val="both"/>
      </w:pPr>
      <w:r>
        <w:rPr>
          <w:rFonts w:ascii="Times New Roman" w:hAnsi="Times New Roman"/>
          <w:sz w:val="20"/>
        </w:rPr>
        <w:t>These legal and ethical constraints make it difficult to construct publicly available benchmark datasets using authentic student records. To address this data availability challenge, this work adopts a fully synthetic benchmark generation strategy that produces realistic academic credentials together with complete ground-truth annotations while eliminating the need for real student records [26], [35].</w:t>
      </w:r>
    </w:p>
    <w:p w14:paraId="5B470FB9">
      <w:pPr>
        <w:keepNext/>
        <w:spacing w:before="200" w:after="80"/>
        <w:jc w:val="both"/>
      </w:pPr>
      <w:r>
        <w:rPr>
          <w:rFonts w:ascii="Times New Roman" w:hAnsi="Times New Roman"/>
          <w:b/>
          <w:color w:val="333333"/>
          <w:sz w:val="23"/>
        </w:rPr>
        <w:t>1.2 Research Objectives</w:t>
      </w:r>
    </w:p>
    <w:p w14:paraId="613B7587">
      <w:pPr>
        <w:spacing w:before="40" w:after="80" w:line="276" w:lineRule="auto"/>
        <w:jc w:val="both"/>
      </w:pPr>
      <w:r>
        <w:rPr>
          <w:rFonts w:ascii="Times New Roman" w:hAnsi="Times New Roman"/>
          <w:sz w:val="20"/>
        </w:rPr>
        <w:t>To address these challenges, this study establishes a reproducible methodology for synthetic dataset generation and semantic performance evaluation [31]. Specifically, we focus on:</w:t>
      </w:r>
    </w:p>
    <w:p w14:paraId="05DC4B18">
      <w:pPr>
        <w:pStyle w:val="23"/>
        <w:spacing w:before="20" w:after="40"/>
        <w:jc w:val="both"/>
      </w:pPr>
      <w:r>
        <w:rPr>
          <w:rFonts w:ascii="Times New Roman" w:hAnsi="Times New Roman"/>
          <w:b/>
          <w:sz w:val="20"/>
        </w:rPr>
        <w:t>O1</w:t>
      </w:r>
      <w:r>
        <w:rPr>
          <w:rFonts w:ascii="Times New Roman" w:hAnsi="Times New Roman"/>
          <w:sz w:val="20"/>
        </w:rPr>
        <w:t>: Developing a deterministic synthetic data generator capable of rendering diverse academic credentials with pixel-exact ground truth annotations without relying on real student records.</w:t>
      </w:r>
    </w:p>
    <w:p w14:paraId="766C9EEA">
      <w:pPr>
        <w:pStyle w:val="23"/>
        <w:spacing w:before="20" w:after="40"/>
        <w:jc w:val="both"/>
      </w:pPr>
      <w:r>
        <w:rPr>
          <w:rFonts w:ascii="Times New Roman" w:hAnsi="Times New Roman"/>
          <w:b/>
          <w:sz w:val="20"/>
        </w:rPr>
        <w:t>O2</w:t>
      </w:r>
      <w:r>
        <w:rPr>
          <w:rFonts w:ascii="Times New Roman" w:hAnsi="Times New Roman"/>
          <w:sz w:val="20"/>
        </w:rPr>
        <w:t>: Designing a semantic canonical normalization pipeline that isolates genuine character recognition failures from benign formatting discrepancies.</w:t>
      </w:r>
    </w:p>
    <w:p w14:paraId="37D3ED50">
      <w:pPr>
        <w:pStyle w:val="23"/>
        <w:spacing w:before="20" w:after="40"/>
        <w:jc w:val="both"/>
      </w:pPr>
      <w:r>
        <w:rPr>
          <w:rFonts w:ascii="Times New Roman" w:hAnsi="Times New Roman"/>
          <w:b/>
          <w:sz w:val="20"/>
        </w:rPr>
        <w:t>O3</w:t>
      </w:r>
      <w:r>
        <w:rPr>
          <w:rFonts w:ascii="Times New Roman" w:hAnsi="Times New Roman"/>
          <w:sz w:val="20"/>
        </w:rPr>
        <w:t>: Defining a structured OCR error taxonomy and quality profile degradation framework to quantify performance decay across physical optical distortions.</w:t>
      </w:r>
    </w:p>
    <w:p w14:paraId="783A5158">
      <w:pPr>
        <w:keepNext/>
        <w:spacing w:before="200" w:after="80"/>
        <w:jc w:val="both"/>
      </w:pPr>
      <w:r>
        <w:rPr>
          <w:rFonts w:ascii="Times New Roman" w:hAnsi="Times New Roman"/>
          <w:b/>
          <w:color w:val="333333"/>
          <w:sz w:val="23"/>
        </w:rPr>
        <w:t>1.3 Main Research Contributions</w:t>
      </w:r>
    </w:p>
    <w:p w14:paraId="015EEB7A">
      <w:pPr>
        <w:spacing w:before="40" w:after="80" w:line="276" w:lineRule="auto"/>
        <w:jc w:val="both"/>
      </w:pPr>
      <w:r>
        <w:rPr>
          <w:rFonts w:ascii="Times New Roman" w:hAnsi="Times New Roman"/>
          <w:sz w:val="20"/>
        </w:rPr>
        <w:t>The primary contributions of this work are summarized as follows:</w:t>
      </w:r>
    </w:p>
    <w:p w14:paraId="1C461AB5">
      <w:pPr>
        <w:spacing w:before="20" w:after="40"/>
        <w:ind w:left="360"/>
        <w:jc w:val="both"/>
      </w:pPr>
      <w:r>
        <w:rPr>
          <w:rFonts w:ascii="Times New Roman" w:hAnsi="Times New Roman"/>
          <w:b/>
          <w:sz w:val="20"/>
        </w:rPr>
        <w:t>1. Synthetic Academic Credential Benchmark Generator</w:t>
      </w:r>
      <w:r>
        <w:rPr>
          <w:rFonts w:ascii="Times New Roman" w:hAnsi="Times New Roman"/>
          <w:sz w:val="20"/>
        </w:rPr>
        <w:t>: A seed-deterministic synthetic benchmark generation methodology for academic document intelligence that enables reproducible evaluation while eliminating the need for real student records (ADBG v1.0) [26], [35].</w:t>
      </w:r>
    </w:p>
    <w:p w14:paraId="4500592A">
      <w:pPr>
        <w:spacing w:before="20" w:after="40"/>
        <w:ind w:left="360"/>
        <w:jc w:val="both"/>
      </w:pPr>
      <w:r>
        <w:rPr>
          <w:rFonts w:ascii="Times New Roman" w:hAnsi="Times New Roman"/>
          <w:b/>
          <w:sz w:val="20"/>
        </w:rPr>
        <w:t>2. AU DIC Evaluation Subsystem</w:t>
      </w:r>
      <w:r>
        <w:rPr>
          <w:rFonts w:ascii="Times New Roman" w:hAnsi="Times New Roman"/>
          <w:sz w:val="20"/>
        </w:rPr>
        <w:t>: A decoupled, strictly read-only benchmark execution engine that evaluates document processing pipelines without modifying production data stores [31].</w:t>
      </w:r>
    </w:p>
    <w:p w14:paraId="5DDDB933">
      <w:pPr>
        <w:spacing w:before="20" w:after="40"/>
        <w:ind w:left="360"/>
        <w:jc w:val="both"/>
      </w:pPr>
      <w:r>
        <w:rPr>
          <w:rFonts w:ascii="Times New Roman" w:hAnsi="Times New Roman"/>
          <w:b/>
          <w:sz w:val="20"/>
        </w:rPr>
        <w:t>3. Six-Stage Semantic Normalization Layer</w:t>
      </w:r>
      <w:r>
        <w:rPr>
          <w:rFonts w:ascii="Times New Roman" w:hAnsi="Times New Roman"/>
          <w:sz w:val="20"/>
        </w:rPr>
        <w:t>: A canonical field normalizer (CanonicalNormalizer) that standardizes dates, roll numbers, numerical grades, degree titles, and institution aliases prior to metric calculation [25], [36].</w:t>
      </w:r>
    </w:p>
    <w:p w14:paraId="71AC79BD">
      <w:pPr>
        <w:spacing w:before="20" w:after="40"/>
        <w:ind w:left="360"/>
        <w:jc w:val="both"/>
      </w:pPr>
      <w:r>
        <w:rPr>
          <w:rFonts w:ascii="Times New Roman" w:hAnsi="Times New Roman"/>
          <w:b/>
          <w:sz w:val="20"/>
        </w:rPr>
        <w:t>4. Nine-Class Structured OCR Error Taxonomy</w:t>
      </w:r>
      <w:r>
        <w:rPr>
          <w:rFonts w:ascii="Times New Roman" w:hAnsi="Times New Roman"/>
          <w:sz w:val="20"/>
        </w:rPr>
        <w:t>: An automated error categorization module that classifies field extraction failures into distinct diagnostic categories (OCR_ERROR, FIELD_MISSING, HALLUCINATION, FORMAT_ERROR, etc.) [28], [37].</w:t>
      </w:r>
    </w:p>
    <w:p w14:paraId="5015A743">
      <w:pPr>
        <w:spacing w:before="20" w:after="40"/>
        <w:ind w:left="360"/>
        <w:jc w:val="both"/>
      </w:pPr>
      <w:r>
        <w:t xml:space="preserve">5. Quality Profile Robustness Framework: A controlled optical quality-profile degradation matrix across four standardized profiles (clean, scanner_copy, mobile_camera, rotated_90) [27], [30], [33], designed to quantify extraction decay in image-based evaluations. The Option A evaluation baseline executes end-to-end neural document intelligence inference across all optical degradation profiles.</w:t>
      </w:r>
    </w:p>
    <w:p w14:paraId="3197BF30">
      <w:pPr>
        <w:keepNext/>
        <w:spacing w:before="200" w:after="80"/>
        <w:jc w:val="both"/>
      </w:pPr>
      <w:r>
        <w:rPr>
          <w:rFonts w:ascii="Times New Roman" w:hAnsi="Times New Roman"/>
          <w:b/>
          <w:color w:val="333333"/>
          <w:sz w:val="23"/>
        </w:rPr>
        <w:t>1.4 Scientific Novelty Statement</w:t>
      </w:r>
    </w:p>
    <w:p w14:paraId="3E9A9469">
      <w:pPr>
        <w:spacing w:before="40" w:after="80" w:line="276" w:lineRule="auto"/>
        <w:jc w:val="both"/>
      </w:pPr>
      <w:r>
        <w:rPr>
          <w:rFonts w:ascii="Times New Roman" w:hAnsi="Times New Roman"/>
          <w:sz w:val="20"/>
        </w:rPr>
        <w:t>To the best of our knowledge, this work presents an integrated benchmarking methodology specifically designed for academic credential document intelligence. The proposed methodology combines deterministic synthetic document generation, semantic canonical normalization, a structured OCR error taxonomy, and controlled quality-profile evaluation into a unified experimental benchmark while eliminating the need for real student records.</w:t>
      </w:r>
    </w:p>
    <w:p w14:paraId="26048763">
      <w:pPr>
        <w:spacing w:before="40" w:after="80" w:line="276" w:lineRule="auto"/>
        <w:jc w:val="both"/>
      </w:pPr>
      <w:r>
        <w:rPr>
          <w:rFonts w:ascii="Times New Roman" w:hAnsi="Times New Roman"/>
          <w:sz w:val="20"/>
        </w:rPr>
        <w:t>The primary scientific contribution of this work lies in establishing a standardized evaluation methodology for Document Intelligence Systems (DIS) operating in administrative credential domains where authentic student records are statutorily restricted [28]. Previous benchmark contributions in document analysis (e.g., SROIE [2], CORD [3], FUNSD [4], DocVQA [5]) evaluate models on static document collections. In contrast, academic credential evaluation requires resolving statutory privacy constraints while insulating performance metrics from superficial representation variations [25], [36].</w:t>
      </w:r>
    </w:p>
    <w:p w14:paraId="63521041">
      <w:pPr>
        <w:spacing w:before="40" w:after="80" w:line="276" w:lineRule="auto"/>
        <w:jc w:val="both"/>
      </w:pPr>
      <w:r>
        <w:t xml:space="preserve">By integrating five interdependent methodological components-seed-deterministic synthetic rendering, multi-profile optical degradation, decoupled read-only execution, multi-stage semantic canonicalization, and a structured diagnostic error taxonomy-into a single protocol [31], this work establishes a reproducible foundation to evaluate document analysis pipelines under controlled experimental conditions. The evaluation protocol executes end-to-end neural document intelligence inference under Option A across 360 specimens and 24,480 paired field observations.</w:t>
      </w:r>
    </w:p>
    <w:p w14:paraId="0087EA3C">
      <w:pPr>
        <w:keepNext/>
        <w:spacing w:before="200" w:after="80"/>
        <w:jc w:val="both"/>
      </w:pPr>
      <w:r>
        <w:rPr>
          <w:rFonts w:ascii="Times New Roman" w:hAnsi="Times New Roman"/>
          <w:b/>
          <w:color w:val="333333"/>
          <w:sz w:val="23"/>
        </w:rPr>
        <w:t>1.5 Paper Organization</w:t>
      </w:r>
    </w:p>
    <w:p w14:paraId="08A2492D">
      <w:pPr>
        <w:spacing w:before="40" w:after="80" w:line="276" w:lineRule="auto"/>
        <w:jc w:val="both"/>
      </w:pPr>
      <w:r>
        <w:rPr>
          <w:rFonts w:ascii="Times New Roman" w:hAnsi="Times New Roman"/>
          <w:sz w:val="20"/>
        </w:rPr>
        <w:t>The remainder of this paper is organized as follows. Section 2 surveys related work and outlines the research gap. Section 3 details the proposed methodology, including overall framework architecture, ADBG synthetic benchmark generation, the AU DIC evaluation framework, the semantic canonical normalization layer, and the nine-class structured OCR error taxonomy. Section 4 specifies the experimental setup, dataset composition, evaluation protocol, and metrics. Section 5 presents empirical validation results, statistical hypothesis testing, and ablation studies. Section 6 discusses scientific contributions, empirical findings, and threats to validity. Section 7 provides a detailed limitations analysis. Section 8 outlines future research directions, Section 9 concludes the paper, and the Ethics &amp; Privacy Statement details regulatory compliance. Finally, Appendices A and B provide reproducibility specifications and technical answers to reviewer inquiries.</w:t>
      </w:r>
    </w:p>
    <w:p w14:paraId="292043FF">
      <w:pPr>
        <w:keepNext/>
        <w:spacing w:before="280" w:after="120"/>
        <w:jc w:val="both"/>
      </w:pPr>
      <w:r>
        <w:rPr>
          <w:rFonts w:ascii="Times New Roman" w:hAnsi="Times New Roman"/>
          <w:b/>
          <w:color w:val="003366"/>
          <w:sz w:val="26"/>
        </w:rPr>
        <w:t>2. Related Work</w:t>
      </w:r>
    </w:p>
    <w:p w14:paraId="65EAE46E">
      <w:pPr>
        <w:keepNext/>
        <w:spacing w:before="200" w:after="80"/>
        <w:jc w:val="both"/>
      </w:pPr>
      <w:r>
        <w:rPr>
          <w:rFonts w:ascii="Times New Roman" w:hAnsi="Times New Roman"/>
          <w:b/>
          <w:color w:val="333333"/>
          <w:sz w:val="23"/>
        </w:rPr>
        <w:t>2.1 Foundational Document AI &amp; Classical Benchmarks (Historical Context)</w:t>
      </w:r>
    </w:p>
    <w:p w14:paraId="189F7A1A">
      <w:pPr>
        <w:spacing w:before="40" w:after="80" w:line="276" w:lineRule="auto"/>
        <w:jc w:val="both"/>
      </w:pPr>
      <w:r>
        <w:rPr>
          <w:rFonts w:ascii="Times New Roman" w:hAnsi="Times New Roman"/>
          <w:sz w:val="20"/>
        </w:rPr>
        <w:t>Early research in Document Artificial Intelligence (Document AI) focused on classical optical character recognition engines (e.g., Tesseract [18], line-finding LSTM RNNs), historical document binarization ensembles [16], and rule-based key-value parsing across static receipt and administrative form datasets:</w:t>
      </w:r>
    </w:p>
    <w:p w14:paraId="5B2DA315">
      <w:pPr>
        <w:pStyle w:val="23"/>
        <w:spacing w:before="20" w:after="40"/>
        <w:jc w:val="both"/>
      </w:pPr>
      <w:r>
        <w:rPr>
          <w:rFonts w:ascii="Times New Roman" w:hAnsi="Times New Roman"/>
          <w:b/>
          <w:sz w:val="20"/>
        </w:rPr>
        <w:t>Receipt &amp; Invoice Parsing</w:t>
      </w:r>
      <w:r>
        <w:rPr>
          <w:rFonts w:ascii="Times New Roman" w:hAnsi="Times New Roman"/>
          <w:sz w:val="20"/>
        </w:rPr>
        <w:t xml:space="preserve">: </w:t>
      </w:r>
      <w:r>
        <w:rPr>
          <w:rFonts w:ascii="Times New Roman" w:hAnsi="Times New Roman"/>
          <w:b/>
          <w:sz w:val="20"/>
        </w:rPr>
        <w:t>SROIE</w:t>
      </w:r>
      <w:r>
        <w:rPr>
          <w:rFonts w:ascii="Times New Roman" w:hAnsi="Times New Roman"/>
          <w:sz w:val="20"/>
        </w:rPr>
        <w:t xml:space="preserve"> [2] and </w:t>
      </w:r>
      <w:r>
        <w:rPr>
          <w:rFonts w:ascii="Times New Roman" w:hAnsi="Times New Roman"/>
          <w:b/>
          <w:sz w:val="20"/>
        </w:rPr>
        <w:t>CORD</w:t>
      </w:r>
      <w:r>
        <w:rPr>
          <w:rFonts w:ascii="Times New Roman" w:hAnsi="Times New Roman"/>
          <w:sz w:val="20"/>
        </w:rPr>
        <w:t xml:space="preserve"> [3] established standard benchmark datasets for point-of-sale receipt entity extraction.</w:t>
      </w:r>
    </w:p>
    <w:p w14:paraId="0B5175A7">
      <w:pPr>
        <w:pStyle w:val="23"/>
        <w:spacing w:before="20" w:after="40"/>
        <w:jc w:val="both"/>
      </w:pPr>
      <w:r>
        <w:rPr>
          <w:rFonts w:ascii="Times New Roman" w:hAnsi="Times New Roman"/>
          <w:b/>
          <w:sz w:val="20"/>
        </w:rPr>
        <w:t>Form Understanding</w:t>
      </w:r>
      <w:r>
        <w:rPr>
          <w:rFonts w:ascii="Times New Roman" w:hAnsi="Times New Roman"/>
          <w:sz w:val="20"/>
        </w:rPr>
        <w:t xml:space="preserve">: </w:t>
      </w:r>
      <w:r>
        <w:rPr>
          <w:rFonts w:ascii="Times New Roman" w:hAnsi="Times New Roman"/>
          <w:b/>
          <w:sz w:val="20"/>
        </w:rPr>
        <w:t>FUNSD</w:t>
      </w:r>
      <w:r>
        <w:rPr>
          <w:rFonts w:ascii="Times New Roman" w:hAnsi="Times New Roman"/>
          <w:sz w:val="20"/>
        </w:rPr>
        <w:t xml:space="preserve"> [4] introduced key-value pair and spatial entity link annotations for noisy scanned forms.</w:t>
      </w:r>
    </w:p>
    <w:p w14:paraId="1C1B2E13">
      <w:pPr>
        <w:pStyle w:val="23"/>
        <w:spacing w:before="20" w:after="40"/>
        <w:jc w:val="both"/>
      </w:pPr>
      <w:r>
        <w:rPr>
          <w:rFonts w:ascii="Times New Roman" w:hAnsi="Times New Roman"/>
          <w:b/>
          <w:sz w:val="20"/>
        </w:rPr>
        <w:t>Document Image Classification</w:t>
      </w:r>
      <w:r>
        <w:rPr>
          <w:rFonts w:ascii="Times New Roman" w:hAnsi="Times New Roman"/>
          <w:sz w:val="20"/>
        </w:rPr>
        <w:t xml:space="preserve">: </w:t>
      </w:r>
      <w:r>
        <w:rPr>
          <w:rFonts w:ascii="Times New Roman" w:hAnsi="Times New Roman"/>
          <w:b/>
          <w:sz w:val="20"/>
        </w:rPr>
        <w:t>RVL-CDIP</w:t>
      </w:r>
      <w:r>
        <w:rPr>
          <w:rFonts w:ascii="Times New Roman" w:hAnsi="Times New Roman"/>
          <w:sz w:val="20"/>
        </w:rPr>
        <w:t xml:space="preserve"> [1] benchmarked multi-class document page classification across 16 commercial form categories.</w:t>
      </w:r>
    </w:p>
    <w:p w14:paraId="22EABA03">
      <w:pPr>
        <w:pStyle w:val="23"/>
        <w:spacing w:before="20" w:after="40"/>
        <w:jc w:val="both"/>
      </w:pPr>
      <w:r>
        <w:rPr>
          <w:rFonts w:ascii="Times New Roman" w:hAnsi="Times New Roman"/>
          <w:b/>
          <w:sz w:val="20"/>
        </w:rPr>
        <w:t>Visual Question Answering</w:t>
      </w:r>
      <w:r>
        <w:rPr>
          <w:rFonts w:ascii="Times New Roman" w:hAnsi="Times New Roman"/>
          <w:sz w:val="20"/>
        </w:rPr>
        <w:t xml:space="preserve">: </w:t>
      </w:r>
      <w:r>
        <w:rPr>
          <w:rFonts w:ascii="Times New Roman" w:hAnsi="Times New Roman"/>
          <w:b/>
          <w:sz w:val="20"/>
        </w:rPr>
        <w:t>DocVQA</w:t>
      </w:r>
      <w:r>
        <w:rPr>
          <w:rFonts w:ascii="Times New Roman" w:hAnsi="Times New Roman"/>
          <w:sz w:val="20"/>
        </w:rPr>
        <w:t xml:space="preserve"> [5] introduced visual question answering over complex mixed document pages.</w:t>
      </w:r>
    </w:p>
    <w:p w14:paraId="09808609">
      <w:pPr>
        <w:spacing w:before="40" w:after="80" w:line="276" w:lineRule="auto"/>
        <w:jc w:val="both"/>
      </w:pPr>
      <w:r>
        <w:rPr>
          <w:rFonts w:ascii="Times New Roman" w:hAnsi="Times New Roman"/>
          <w:sz w:val="20"/>
        </w:rPr>
        <w:t xml:space="preserve">To process these document datasets, early multi-modal architectures combined visual features, OCR text, and 2D spatial bounding box coordinates. </w:t>
      </w:r>
      <w:r>
        <w:rPr>
          <w:rFonts w:ascii="Times New Roman" w:hAnsi="Times New Roman"/>
          <w:b/>
          <w:sz w:val="20"/>
        </w:rPr>
        <w:t>LayoutLMv3</w:t>
      </w:r>
      <w:r>
        <w:rPr>
          <w:rFonts w:ascii="Times New Roman" w:hAnsi="Times New Roman"/>
          <w:sz w:val="20"/>
        </w:rPr>
        <w:t xml:space="preserve"> [6] integrated text and image token masking for multimodal alignment, while sequence-to-sequence architectures such as </w:t>
      </w:r>
      <w:r>
        <w:rPr>
          <w:rFonts w:ascii="Times New Roman" w:hAnsi="Times New Roman"/>
          <w:b/>
          <w:sz w:val="20"/>
        </w:rPr>
        <w:t>TrOCR</w:t>
      </w:r>
      <w:r>
        <w:rPr>
          <w:rFonts w:ascii="Times New Roman" w:hAnsi="Times New Roman"/>
          <w:sz w:val="20"/>
        </w:rPr>
        <w:t xml:space="preserve"> [8] and OCR-free transformers like </w:t>
      </w:r>
      <w:r>
        <w:rPr>
          <w:rFonts w:ascii="Times New Roman" w:hAnsi="Times New Roman"/>
          <w:b/>
          <w:sz w:val="20"/>
        </w:rPr>
        <w:t>Donut</w:t>
      </w:r>
      <w:r>
        <w:rPr>
          <w:rFonts w:ascii="Times New Roman" w:hAnsi="Times New Roman"/>
          <w:sz w:val="20"/>
        </w:rPr>
        <w:t xml:space="preserve"> [7] mapped page images directly to text sequences. However, these foundational benchmarks evaluated models primarily using raw string equality or unnormalized edit distances, failing to isolate genuine character recognition errors from superficial formatting discrepancies [25], [36].</w:t>
      </w:r>
    </w:p>
    <w:p w14:paraId="59C328F3">
      <w:pPr>
        <w:keepNext/>
        <w:spacing w:before="200" w:after="80"/>
        <w:jc w:val="both"/>
      </w:pPr>
      <w:r>
        <w:rPr>
          <w:rFonts w:ascii="Times New Roman" w:hAnsi="Times New Roman"/>
          <w:b/>
          <w:color w:val="333333"/>
          <w:sz w:val="23"/>
        </w:rPr>
        <w:t>2.2 2025–2026 Vision-Language Models &amp; Multimodal Document Understanding</w:t>
      </w:r>
    </w:p>
    <w:p w14:paraId="3F983351">
      <w:pPr>
        <w:spacing w:before="40" w:after="80" w:line="276" w:lineRule="auto"/>
        <w:jc w:val="both"/>
      </w:pPr>
      <w:r>
        <w:rPr>
          <w:rFonts w:ascii="Times New Roman" w:hAnsi="Times New Roman"/>
          <w:sz w:val="20"/>
        </w:rPr>
        <w:t>Recent 2025–2026 advancements in Large Multimodal Models (LMMs) and Vision-Language Models (VLMs) have significantly expanded document understanding capabilities:</w:t>
      </w:r>
    </w:p>
    <w:p w14:paraId="4607C032">
      <w:pPr>
        <w:pStyle w:val="23"/>
        <w:spacing w:before="20" w:after="40"/>
        <w:jc w:val="both"/>
      </w:pPr>
      <w:r>
        <w:rPr>
          <w:rFonts w:ascii="Times New Roman" w:hAnsi="Times New Roman"/>
          <w:b/>
          <w:sz w:val="20"/>
        </w:rPr>
        <w:t>Unified Task Representations</w:t>
      </w:r>
      <w:r>
        <w:rPr>
          <w:rFonts w:ascii="Times New Roman" w:hAnsi="Times New Roman"/>
          <w:sz w:val="20"/>
        </w:rPr>
        <w:t xml:space="preserve">: </w:t>
      </w:r>
      <w:r>
        <w:rPr>
          <w:rFonts w:ascii="Times New Roman" w:hAnsi="Times New Roman"/>
          <w:b/>
          <w:sz w:val="20"/>
        </w:rPr>
        <w:t>Florence-2</w:t>
      </w:r>
      <w:r>
        <w:rPr>
          <w:rFonts w:ascii="Times New Roman" w:hAnsi="Times New Roman"/>
          <w:sz w:val="20"/>
        </w:rPr>
        <w:t xml:space="preserve"> [9] unified visual tasks into a sequence-to-sequence framework mapping spatial bounding boxes to text tokens.</w:t>
      </w:r>
    </w:p>
    <w:p w14:paraId="280CA75A">
      <w:pPr>
        <w:pStyle w:val="23"/>
        <w:spacing w:before="20" w:after="40"/>
        <w:jc w:val="both"/>
      </w:pPr>
      <w:r>
        <w:rPr>
          <w:rFonts w:ascii="Times New Roman" w:hAnsi="Times New Roman"/>
          <w:b/>
          <w:sz w:val="20"/>
        </w:rPr>
        <w:t>High-Resolution Structural Embedding</w:t>
      </w:r>
      <w:r>
        <w:rPr>
          <w:rFonts w:ascii="Times New Roman" w:hAnsi="Times New Roman"/>
          <w:sz w:val="20"/>
        </w:rPr>
        <w:t xml:space="preserve">: </w:t>
      </w:r>
      <w:r>
        <w:rPr>
          <w:rFonts w:ascii="Times New Roman" w:hAnsi="Times New Roman"/>
          <w:b/>
          <w:sz w:val="20"/>
        </w:rPr>
        <w:t>mPLUG-DocOwl 2.0</w:t>
      </w:r>
      <w:r>
        <w:rPr>
          <w:rFonts w:ascii="Times New Roman" w:hAnsi="Times New Roman"/>
          <w:sz w:val="20"/>
        </w:rPr>
        <w:t xml:space="preserve"> [10] introduced crop-based visual embeddings and token compression for high-resolution document pages.</w:t>
      </w:r>
    </w:p>
    <w:p w14:paraId="0E4ED913">
      <w:pPr>
        <w:pStyle w:val="23"/>
        <w:spacing w:before="20" w:after="40"/>
        <w:jc w:val="both"/>
      </w:pPr>
      <w:r>
        <w:rPr>
          <w:rFonts w:ascii="Times New Roman" w:hAnsi="Times New Roman"/>
          <w:b/>
          <w:sz w:val="20"/>
        </w:rPr>
        <w:t>Dynamic Resolution Encoders</w:t>
      </w:r>
      <w:r>
        <w:rPr>
          <w:rFonts w:ascii="Times New Roman" w:hAnsi="Times New Roman"/>
          <w:sz w:val="20"/>
        </w:rPr>
        <w:t xml:space="preserve">: </w:t>
      </w:r>
      <w:r>
        <w:rPr>
          <w:rFonts w:ascii="Times New Roman" w:hAnsi="Times New Roman"/>
          <w:b/>
          <w:sz w:val="20"/>
        </w:rPr>
        <w:t>Qwen2-VL</w:t>
      </w:r>
      <w:r>
        <w:rPr>
          <w:rFonts w:ascii="Times New Roman" w:hAnsi="Times New Roman"/>
          <w:sz w:val="20"/>
        </w:rPr>
        <w:t xml:space="preserve"> [11] implemented dynamic resolution NaViT encoders to process document images at native aspect ratios.</w:t>
      </w:r>
    </w:p>
    <w:p w14:paraId="36436E37">
      <w:pPr>
        <w:pStyle w:val="23"/>
        <w:spacing w:before="20" w:after="40"/>
        <w:jc w:val="both"/>
      </w:pPr>
      <w:r>
        <w:rPr>
          <w:rFonts w:ascii="Times New Roman" w:hAnsi="Times New Roman"/>
          <w:b/>
          <w:sz w:val="20"/>
        </w:rPr>
        <w:t>Shifted Window Attention</w:t>
      </w:r>
      <w:r>
        <w:rPr>
          <w:rFonts w:ascii="Times New Roman" w:hAnsi="Times New Roman"/>
          <w:sz w:val="20"/>
        </w:rPr>
        <w:t xml:space="preserve">: </w:t>
      </w:r>
      <w:r>
        <w:rPr>
          <w:rFonts w:ascii="Times New Roman" w:hAnsi="Times New Roman"/>
          <w:b/>
          <w:sz w:val="20"/>
        </w:rPr>
        <w:t>TextMonkey</w:t>
      </w:r>
      <w:r>
        <w:rPr>
          <w:rFonts w:ascii="Times New Roman" w:hAnsi="Times New Roman"/>
          <w:sz w:val="20"/>
        </w:rPr>
        <w:t xml:space="preserve"> [12] introduced cross-window attention to alleviate tokenization bottlenecks in large document images.</w:t>
      </w:r>
    </w:p>
    <w:p w14:paraId="2A24C907">
      <w:pPr>
        <w:pStyle w:val="23"/>
        <w:spacing w:before="20" w:after="40"/>
        <w:jc w:val="both"/>
      </w:pPr>
      <w:r>
        <w:rPr>
          <w:rFonts w:ascii="Times New Roman" w:hAnsi="Times New Roman"/>
          <w:b/>
          <w:sz w:val="20"/>
        </w:rPr>
        <w:t>Visual Vocabulary Enlargement</w:t>
      </w:r>
      <w:r>
        <w:rPr>
          <w:rFonts w:ascii="Times New Roman" w:hAnsi="Times New Roman"/>
          <w:sz w:val="20"/>
        </w:rPr>
        <w:t xml:space="preserve">: </w:t>
      </w:r>
      <w:r>
        <w:rPr>
          <w:rFonts w:ascii="Times New Roman" w:hAnsi="Times New Roman"/>
          <w:b/>
          <w:sz w:val="20"/>
        </w:rPr>
        <w:t>Vary</w:t>
      </w:r>
      <w:r>
        <w:rPr>
          <w:rFonts w:ascii="Times New Roman" w:hAnsi="Times New Roman"/>
          <w:sz w:val="20"/>
        </w:rPr>
        <w:t xml:space="preserve"> [19] expanded visual vocabulary tokens specifically for document text and chart parsing.</w:t>
      </w:r>
    </w:p>
    <w:p w14:paraId="5EAB8A02">
      <w:pPr>
        <w:pStyle w:val="23"/>
        <w:spacing w:before="20" w:after="40"/>
        <w:jc w:val="both"/>
      </w:pPr>
      <w:r>
        <w:rPr>
          <w:rFonts w:ascii="Times New Roman" w:hAnsi="Times New Roman"/>
          <w:b/>
          <w:sz w:val="20"/>
        </w:rPr>
        <w:t>Layout-Aware Architectures</w:t>
      </w:r>
      <w:r>
        <w:rPr>
          <w:rFonts w:ascii="Times New Roman" w:hAnsi="Times New Roman"/>
          <w:sz w:val="20"/>
        </w:rPr>
        <w:t xml:space="preserve">: </w:t>
      </w:r>
      <w:r>
        <w:rPr>
          <w:rFonts w:ascii="Times New Roman" w:hAnsi="Times New Roman"/>
          <w:b/>
          <w:sz w:val="20"/>
        </w:rPr>
        <w:t>LayoutLLM</w:t>
      </w:r>
      <w:r>
        <w:rPr>
          <w:rFonts w:ascii="Times New Roman" w:hAnsi="Times New Roman"/>
          <w:sz w:val="20"/>
        </w:rPr>
        <w:t xml:space="preserve"> [13] integrated explicit spatial layout instruction tuning into open-weight LLMs, </w:t>
      </w:r>
      <w:r>
        <w:rPr>
          <w:rFonts w:ascii="Times New Roman" w:hAnsi="Times New Roman"/>
          <w:b/>
          <w:sz w:val="20"/>
        </w:rPr>
        <w:t>UDOP-v2</w:t>
      </w:r>
      <w:r>
        <w:rPr>
          <w:rFonts w:ascii="Times New Roman" w:hAnsi="Times New Roman"/>
          <w:sz w:val="20"/>
        </w:rPr>
        <w:t xml:space="preserve"> [14] unified text, vision, and layout pretraining, and </w:t>
      </w:r>
      <w:r>
        <w:rPr>
          <w:rFonts w:ascii="Times New Roman" w:hAnsi="Times New Roman"/>
          <w:b/>
          <w:sz w:val="20"/>
        </w:rPr>
        <w:t>LLaVA-NeXT-Doc</w:t>
      </w:r>
      <w:r>
        <w:rPr>
          <w:rFonts w:ascii="Times New Roman" w:hAnsi="Times New Roman"/>
          <w:sz w:val="20"/>
        </w:rPr>
        <w:t xml:space="preserve"> [15] established fine-grained document parsing.</w:t>
      </w:r>
    </w:p>
    <w:p w14:paraId="2429E4D2">
      <w:pPr>
        <w:pStyle w:val="23"/>
        <w:spacing w:before="20" w:after="40"/>
        <w:jc w:val="both"/>
      </w:pPr>
      <w:r>
        <w:t xml:space="preserve">Fine-Grained Layout Attention &amp; Unified Tokenization: DocFormers 2.0 [32] introduced fine-grained multimodal layout attention, Wilson et al. [34] established evaluation benchmarks for vision-language models on complex tabular document grids, and Martinez et al. [33] benchmarked OCR-free vision-language architectures under physical image distortions.
End-to-End Document Parsing &amp; Open-Weight Advances: GOT-OCR2.0 [38] proposed a general OCR theory unifying scene text, document text, and formula recognition. Docopilot [39] and Marten [40] (both CVPR 2025) advanced multimodal models for document-level understanding and visual mask-based question answering. MinerU2.5 [43] introduced a 1.2B decoupled vision-language model for high-resolution document parsing, while olmOCR 2 [45] formulated unit-test-based reward signals for improving document OCR accuracy. For multimodal document retrieval, ColPali [41] proposed visually-grounded page-level retrieval using vision-language embeddings. DeepSeek-VL2 [42] proposed mixture-of-experts VLM architectures that substantially improve computational efficiency under multimodal document workloads. OCR-Robust [44] benchmarked VLM fragility specifically under 49 classes of real-world optical perturbations, directly informing the robustness profiling methodology adopted in AU DIC.</w:t>
      </w:r>
    </w:p>
    <w:p w14:paraId="57C1E4DA">
      <w:pPr>
        <w:spacing w:before="40" w:after="80" w:line="276" w:lineRule="auto"/>
        <w:jc w:val="both"/>
      </w:pPr>
      <w:r>
        <w:rPr>
          <w:rFonts w:ascii="Times New Roman" w:hAnsi="Times New Roman"/>
          <w:b/>
          <w:sz w:val="20"/>
        </w:rPr>
        <w:t>Critical Comparative Synthesis</w:t>
      </w:r>
      <w:r>
        <w:rPr>
          <w:rFonts w:ascii="Times New Roman" w:hAnsi="Times New Roman"/>
          <w:sz w:val="20"/>
        </w:rPr>
        <w:t>: While 2025–2026 VLMs achieve high extraction accuracy on generic single-page documents, current evaluation benchmarks exhibit three key limitations when applied to academic credentials: (1) metrics rely on unnormalized string matching that penalizes benign representation differences (e.g., date syntax 2026-08-04 vs August 4, 2026); (2) benchmarks lack dedicated protocols for multi-column tabular grade arrays [29]; and (3) robustness is rarely evaluated across systematic physical optical degradation matrices [27], [30], [33].</w:t>
      </w:r>
    </w:p>
    <w:p w14:paraId="17A394DD">
      <w:pPr>
        <w:keepNext/>
        <w:spacing w:before="200" w:after="80"/>
        <w:jc w:val="both"/>
      </w:pPr>
      <w:r>
        <w:rPr>
          <w:rFonts w:ascii="Times New Roman" w:hAnsi="Times New Roman"/>
          <w:b/>
          <w:color w:val="333333"/>
          <w:sz w:val="23"/>
        </w:rPr>
        <w:t>2.3 Synthetic Document Generation Paradigms (2024–2026)</w:t>
      </w:r>
    </w:p>
    <w:p w14:paraId="6C515E3E">
      <w:pPr>
        <w:spacing w:before="40" w:after="80" w:line="276" w:lineRule="auto"/>
        <w:jc w:val="both"/>
      </w:pPr>
      <w:r>
        <w:rPr>
          <w:rFonts w:ascii="Times New Roman" w:hAnsi="Times New Roman"/>
          <w:sz w:val="20"/>
        </w:rPr>
        <w:t xml:space="preserve">To resolve privacy barriers enforced by educational data regulations (such as FERPA and GDPR [28], [35]), synthetic document generation has emerged as an essential data availability solution [17]. Fictional text rendering eliminates privacy risks while producing exact ground-truth annotations. Recent framework compilers like </w:t>
      </w:r>
      <w:r>
        <w:rPr>
          <w:rFonts w:ascii="Times New Roman" w:hAnsi="Times New Roman"/>
          <w:b/>
          <w:sz w:val="20"/>
        </w:rPr>
        <w:t>Typst</w:t>
      </w:r>
      <w:r>
        <w:rPr>
          <w:rFonts w:ascii="Times New Roman" w:hAnsi="Times New Roman"/>
          <w:sz w:val="20"/>
        </w:rPr>
        <w:t xml:space="preserve"> [29] enable vector PDF rendering with millimetre-exact layout control. ADBG v1.0 builds upon these paradigms by combining Typst template compilation with 14 physical optical degradation operators, producing synthetic credentials across four controlled quality profiles (</w:t>
      </w:r>
      <w:r>
        <w:rPr>
          <w:rFonts w:ascii="Times New Roman" w:hAnsi="Times New Roman"/>
          <w:i/>
          <w:sz w:val="20"/>
        </w:rPr>
        <w:t>clean</w:t>
      </w:r>
      <w:r>
        <w:rPr>
          <w:rFonts w:ascii="Times New Roman" w:hAnsi="Times New Roman"/>
          <w:sz w:val="20"/>
        </w:rPr>
        <w:t xml:space="preserve">, </w:t>
      </w:r>
      <w:r>
        <w:rPr>
          <w:rFonts w:ascii="Times New Roman" w:hAnsi="Times New Roman"/>
          <w:i/>
          <w:sz w:val="20"/>
        </w:rPr>
        <w:t>scanner_copy</w:t>
      </w:r>
      <w:r>
        <w:rPr>
          <w:rFonts w:ascii="Times New Roman" w:hAnsi="Times New Roman"/>
          <w:sz w:val="20"/>
        </w:rPr>
        <w:t xml:space="preserve">, </w:t>
      </w:r>
      <w:r>
        <w:rPr>
          <w:rFonts w:ascii="Times New Roman" w:hAnsi="Times New Roman"/>
          <w:i/>
          <w:sz w:val="20"/>
        </w:rPr>
        <w:t>mobile_camera</w:t>
      </w:r>
      <w:r>
        <w:rPr>
          <w:rFonts w:ascii="Times New Roman" w:hAnsi="Times New Roman"/>
          <w:sz w:val="20"/>
        </w:rPr>
        <w:t xml:space="preserve">, </w:t>
      </w:r>
      <w:r>
        <w:rPr>
          <w:rFonts w:ascii="Times New Roman" w:hAnsi="Times New Roman"/>
          <w:i/>
          <w:sz w:val="20"/>
        </w:rPr>
        <w:t>rotated_90</w:t>
      </w:r>
      <w:r>
        <w:rPr>
          <w:rFonts w:ascii="Times New Roman" w:hAnsi="Times New Roman"/>
          <w:sz w:val="20"/>
        </w:rPr>
        <w:t>) [26], [35].</w:t>
      </w:r>
    </w:p>
    <w:p w14:paraId="56A570CA">
      <w:pPr>
        <w:keepNext/>
        <w:spacing w:before="200" w:after="80"/>
        <w:jc w:val="both"/>
      </w:pPr>
      <w:r>
        <w:rPr>
          <w:rFonts w:ascii="Times New Roman" w:hAnsi="Times New Roman"/>
          <w:b/>
          <w:color w:val="333333"/>
          <w:sz w:val="23"/>
        </w:rPr>
        <w:t>2.4 Benchmark Design Methodologies &amp; Optical Degradation Matrix</w:t>
      </w:r>
    </w:p>
    <w:p w14:paraId="16C8BB60">
      <w:pPr>
        <w:spacing w:before="40" w:after="80" w:line="276" w:lineRule="auto"/>
        <w:jc w:val="both"/>
      </w:pPr>
      <w:r>
        <w:rPr>
          <w:rFonts w:ascii="Times New Roman" w:hAnsi="Times New Roman"/>
          <w:sz w:val="20"/>
        </w:rPr>
        <w:t>Standardized benchmark construction relies on strict reproducibility protocols, verified execution pipelines, and controlled degradation evaluation [30], [31]. Physical document capture introduces optical artifacts (e.g., scanner noise, camera skew, resolution loss [27]). Furthermore, isolating extraction failures requires domain-specific semantic canonical normalization [25], [36] and automated structured error categorization [28], [37]. The AU DIC framework integrates these principles into a read-only evaluation pipeline with ground-truth pairing.</w:t>
      </w:r>
    </w:p>
    <w:p w14:paraId="16F2ADF2">
      <w:pPr>
        <w:keepNext/>
        <w:spacing w:before="200" w:after="80"/>
        <w:jc w:val="both"/>
      </w:pPr>
      <w:r>
        <w:rPr>
          <w:rFonts w:ascii="Times New Roman" w:hAnsi="Times New Roman"/>
          <w:b/>
          <w:color w:val="333333"/>
          <w:sz w:val="23"/>
        </w:rPr>
        <w:t>2.5 Academic Credential &amp; Sensitive Administrative Document Analysis</w:t>
      </w:r>
    </w:p>
    <w:p w14:paraId="2CC2A5D4">
      <w:pPr>
        <w:spacing w:before="40" w:after="80" w:line="276" w:lineRule="auto"/>
        <w:jc w:val="both"/>
      </w:pPr>
      <w:r>
        <w:rPr>
          <w:rFonts w:ascii="Times New Roman" w:hAnsi="Times New Roman"/>
          <w:sz w:val="20"/>
        </w:rPr>
        <w:t>Academic administrative documents (degree certificates, marksheets, student ID cards) present distinct challenges compared to retail receipts or commercial invoices: (1) strict statutory privacy prohibitions on public dissemination [28], [35]; (2) dense tabular subject arrays containing course codes, credit hours, and numerical grades [29]; and (3) institutional alias variations requiring domain-specific canonical normalization [25], [26], [36].</w:t>
      </w:r>
    </w:p>
    <w:p w14:paraId="2EC13B83">
      <w:pPr>
        <w:spacing w:before="40" w:after="80" w:line="276" w:lineRule="auto"/>
      </w:pPr>
      <w:r>
        <w:t xml:space="preserve">Table I provides a comprehensive comparative analysis contrasting ADBG v1.0 and the AU DIC framework against foundational benchmarks and modern 2025–2026 Document AI paradigms.</w:t>
      </w:r>
    </w:p>
    <w:p w14:paraId="50009E26">
      <w:pPr>
        <w:keepNext/>
        <w:spacing w:before="80" w:after="160"/>
        <w:jc w:val="center"/>
      </w:pPr>
      <w:r>
        <w:t xml:space="preserve">Table I: Comprehensive Comparative Matrix of Document Intelligence Benchmarks &amp; Evaluation Paradigms</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218"/>
        <w:gridCol w:w="637"/>
        <w:gridCol w:w="1096"/>
        <w:gridCol w:w="1453"/>
        <w:gridCol w:w="974"/>
        <w:gridCol w:w="1212"/>
        <w:gridCol w:w="1361"/>
        <w:gridCol w:w="1669"/>
      </w:tblGrid>
      <w:tr w14:paraId="390BA0C3">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003366"/>
            <w:tcMar>
              <w:top w:w="100" w:type="dxa"/>
              <w:left w:w="130" w:type="dxa"/>
              <w:bottom w:w="100" w:type="dxa"/>
              <w:right w:w="130" w:type="dxa"/>
            </w:tcMar>
          </w:tcPr>
          <w:p w14:paraId="6F06B291">
            <w:pPr>
              <w:spacing w:before="40" w:after="40"/>
              <w:jc w:val="center"/>
            </w:pPr>
            <w:r>
              <w:rPr>
                <w:rFonts w:ascii="Times New Roman" w:hAnsi="Times New Roman"/>
                <w:b/>
                <w:color w:val="FFFFFF"/>
                <w:sz w:val="19"/>
              </w:rPr>
              <w:t>Benchmark / Model Paradigm</w:t>
            </w:r>
          </w:p>
        </w:tc>
        <w:tc>
          <w:tcPr>
            <w:tcW w:w="1170" w:type="dxa"/>
            <w:shd w:val="clear" w:color="auto" w:fill="003366"/>
            <w:tcMar>
              <w:top w:w="100" w:type="dxa"/>
              <w:left w:w="130" w:type="dxa"/>
              <w:bottom w:w="100" w:type="dxa"/>
              <w:right w:w="130" w:type="dxa"/>
            </w:tcMar>
          </w:tcPr>
          <w:p w14:paraId="22D2E873">
            <w:pPr>
              <w:spacing w:before="40" w:after="40"/>
              <w:jc w:val="center"/>
            </w:pPr>
            <w:r>
              <w:rPr>
                <w:rFonts w:ascii="Times New Roman" w:hAnsi="Times New Roman"/>
                <w:b/>
                <w:color w:val="FFFFFF"/>
                <w:sz w:val="19"/>
              </w:rPr>
              <w:t>Year</w:t>
            </w:r>
          </w:p>
        </w:tc>
        <w:tc>
          <w:tcPr>
            <w:tcW w:w="1170" w:type="dxa"/>
            <w:shd w:val="clear" w:color="auto" w:fill="003366"/>
            <w:tcMar>
              <w:top w:w="100" w:type="dxa"/>
              <w:left w:w="130" w:type="dxa"/>
              <w:bottom w:w="100" w:type="dxa"/>
              <w:right w:w="130" w:type="dxa"/>
            </w:tcMar>
          </w:tcPr>
          <w:p w14:paraId="2D5DD546">
            <w:pPr>
              <w:spacing w:before="40" w:after="40"/>
              <w:jc w:val="center"/>
            </w:pPr>
            <w:r>
              <w:rPr>
                <w:rFonts w:ascii="Times New Roman" w:hAnsi="Times New Roman"/>
                <w:b/>
                <w:color w:val="FFFFFF"/>
                <w:sz w:val="19"/>
              </w:rPr>
              <w:t>Document Domain</w:t>
            </w:r>
          </w:p>
        </w:tc>
        <w:tc>
          <w:tcPr>
            <w:tcW w:w="1170" w:type="dxa"/>
            <w:shd w:val="clear" w:color="auto" w:fill="003366"/>
            <w:tcMar>
              <w:top w:w="100" w:type="dxa"/>
              <w:left w:w="130" w:type="dxa"/>
              <w:bottom w:w="100" w:type="dxa"/>
              <w:right w:w="130" w:type="dxa"/>
            </w:tcMar>
          </w:tcPr>
          <w:p w14:paraId="0F933C27">
            <w:pPr>
              <w:spacing w:before="40" w:after="40"/>
              <w:jc w:val="center"/>
            </w:pPr>
            <w:r>
              <w:rPr>
                <w:rFonts w:ascii="Times New Roman" w:hAnsi="Times New Roman"/>
                <w:b/>
                <w:color w:val="FFFFFF"/>
                <w:sz w:val="19"/>
              </w:rPr>
              <w:t>Fully Synthetic Data</w:t>
            </w:r>
          </w:p>
        </w:tc>
        <w:tc>
          <w:tcPr>
            <w:tcW w:w="1170" w:type="dxa"/>
            <w:shd w:val="clear" w:color="auto" w:fill="003366"/>
            <w:tcMar>
              <w:top w:w="100" w:type="dxa"/>
              <w:left w:w="130" w:type="dxa"/>
              <w:bottom w:w="100" w:type="dxa"/>
              <w:right w:w="130" w:type="dxa"/>
            </w:tcMar>
          </w:tcPr>
          <w:p w14:paraId="70FC4D72">
            <w:pPr>
              <w:spacing w:before="40" w:after="40"/>
              <w:jc w:val="center"/>
            </w:pPr>
            <w:r>
              <w:rPr>
                <w:rFonts w:ascii="Times New Roman" w:hAnsi="Times New Roman"/>
                <w:b/>
                <w:color w:val="FFFFFF"/>
                <w:sz w:val="19"/>
              </w:rPr>
              <w:t>Tabular Grade Array Support</w:t>
            </w:r>
          </w:p>
        </w:tc>
        <w:tc>
          <w:tcPr>
            <w:tcW w:w="1170" w:type="dxa"/>
            <w:shd w:val="clear" w:color="auto" w:fill="003366"/>
            <w:tcMar>
              <w:top w:w="100" w:type="dxa"/>
              <w:left w:w="130" w:type="dxa"/>
              <w:bottom w:w="100" w:type="dxa"/>
              <w:right w:w="130" w:type="dxa"/>
            </w:tcMar>
          </w:tcPr>
          <w:p w14:paraId="67428837">
            <w:pPr>
              <w:spacing w:before="40" w:after="40"/>
              <w:jc w:val="center"/>
            </w:pPr>
            <w:r>
              <w:rPr>
                <w:rFonts w:ascii="Times New Roman" w:hAnsi="Times New Roman"/>
                <w:b/>
                <w:color w:val="FFFFFF"/>
                <w:sz w:val="19"/>
              </w:rPr>
              <w:t>Controlled Quality Degradation Matrix</w:t>
            </w:r>
          </w:p>
        </w:tc>
        <w:tc>
          <w:tcPr>
            <w:tcW w:w="1170" w:type="dxa"/>
            <w:shd w:val="clear" w:color="auto" w:fill="003366"/>
            <w:tcMar>
              <w:top w:w="100" w:type="dxa"/>
              <w:left w:w="130" w:type="dxa"/>
              <w:bottom w:w="100" w:type="dxa"/>
              <w:right w:w="130" w:type="dxa"/>
            </w:tcMar>
          </w:tcPr>
          <w:p w14:paraId="281BF2B0">
            <w:pPr>
              <w:spacing w:before="40" w:after="40"/>
              <w:jc w:val="center"/>
            </w:pPr>
            <w:r>
              <w:rPr>
                <w:rFonts w:ascii="Times New Roman" w:hAnsi="Times New Roman"/>
                <w:b/>
                <w:color w:val="FFFFFF"/>
                <w:sz w:val="19"/>
              </w:rPr>
              <w:t>Semantic Canonical Normalization</w:t>
            </w:r>
          </w:p>
        </w:tc>
        <w:tc>
          <w:tcPr>
            <w:tcW w:w="1170" w:type="dxa"/>
            <w:shd w:val="clear" w:color="auto" w:fill="003366"/>
            <w:tcMar>
              <w:top w:w="100" w:type="dxa"/>
              <w:left w:w="130" w:type="dxa"/>
              <w:bottom w:w="100" w:type="dxa"/>
              <w:right w:w="130" w:type="dxa"/>
            </w:tcMar>
          </w:tcPr>
          <w:p w14:paraId="18B36868">
            <w:pPr>
              <w:spacing w:before="40" w:after="40"/>
              <w:jc w:val="center"/>
            </w:pPr>
            <w:r>
              <w:rPr>
                <w:rFonts w:ascii="Times New Roman" w:hAnsi="Times New Roman"/>
                <w:b/>
                <w:color w:val="FFFFFF"/>
                <w:sz w:val="19"/>
              </w:rPr>
              <w:t>Academic Credentials Domain</w:t>
            </w:r>
          </w:p>
        </w:tc>
      </w:tr>
      <w:tr w14:paraId="3281E39C">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2580796C">
            <w:pPr>
              <w:spacing w:before="40" w:after="40"/>
              <w:jc w:val="left"/>
            </w:pPr>
            <w:r>
              <w:rPr>
                <w:rFonts w:ascii="Times New Roman" w:hAnsi="Times New Roman"/>
                <w:b/>
                <w:sz w:val="18"/>
              </w:rPr>
              <w:t>RVL-CDIP</w:t>
            </w:r>
            <w:r>
              <w:rPr>
                <w:rFonts w:ascii="Times New Roman" w:hAnsi="Times New Roman"/>
                <w:sz w:val="18"/>
              </w:rPr>
              <w:t xml:space="preserve"> (Harley et al. [1])</w:t>
            </w:r>
          </w:p>
        </w:tc>
        <w:tc>
          <w:tcPr>
            <w:tcW w:w="1170" w:type="dxa"/>
            <w:shd w:val="clear" w:color="auto" w:fill="FFFFFF"/>
            <w:tcMar>
              <w:top w:w="100" w:type="dxa"/>
              <w:left w:w="130" w:type="dxa"/>
              <w:bottom w:w="100" w:type="dxa"/>
              <w:right w:w="130" w:type="dxa"/>
            </w:tcMar>
          </w:tcPr>
          <w:p w14:paraId="30CA6361">
            <w:pPr>
              <w:spacing w:before="40" w:after="40"/>
              <w:jc w:val="center"/>
            </w:pPr>
            <w:r>
              <w:rPr>
                <w:rFonts w:ascii="Times New Roman" w:hAnsi="Times New Roman"/>
                <w:sz w:val="18"/>
              </w:rPr>
              <w:t>2015</w:t>
            </w:r>
          </w:p>
        </w:tc>
        <w:tc>
          <w:tcPr>
            <w:tcW w:w="1170" w:type="dxa"/>
            <w:shd w:val="clear" w:color="auto" w:fill="FFFFFF"/>
            <w:tcMar>
              <w:top w:w="100" w:type="dxa"/>
              <w:left w:w="130" w:type="dxa"/>
              <w:bottom w:w="100" w:type="dxa"/>
              <w:right w:w="130" w:type="dxa"/>
            </w:tcMar>
          </w:tcPr>
          <w:p w14:paraId="12F367B5">
            <w:pPr>
              <w:spacing w:before="40" w:after="40"/>
              <w:jc w:val="center"/>
            </w:pPr>
            <w:r>
              <w:rPr>
                <w:rFonts w:ascii="Times New Roman" w:hAnsi="Times New Roman"/>
                <w:sz w:val="18"/>
              </w:rPr>
              <w:t>Business Forms</w:t>
            </w:r>
          </w:p>
        </w:tc>
        <w:tc>
          <w:tcPr>
            <w:tcW w:w="1170" w:type="dxa"/>
            <w:shd w:val="clear" w:color="auto" w:fill="FFFFFF"/>
            <w:tcMar>
              <w:top w:w="100" w:type="dxa"/>
              <w:left w:w="130" w:type="dxa"/>
              <w:bottom w:w="100" w:type="dxa"/>
              <w:right w:w="130" w:type="dxa"/>
            </w:tcMar>
          </w:tcPr>
          <w:p w14:paraId="17D6B3F5">
            <w:pPr>
              <w:spacing w:before="40" w:after="40"/>
              <w:jc w:val="center"/>
            </w:pPr>
            <w:r>
              <w:rPr>
                <w:rFonts w:ascii="Times New Roman" w:hAnsi="Times New Roman"/>
                <w:sz w:val="18"/>
              </w:rPr>
              <w:t>No (Scanned)</w:t>
            </w:r>
          </w:p>
        </w:tc>
        <w:tc>
          <w:tcPr>
            <w:tcW w:w="1170" w:type="dxa"/>
            <w:shd w:val="clear" w:color="auto" w:fill="FFFFFF"/>
            <w:tcMar>
              <w:top w:w="100" w:type="dxa"/>
              <w:left w:w="130" w:type="dxa"/>
              <w:bottom w:w="100" w:type="dxa"/>
              <w:right w:w="130" w:type="dxa"/>
            </w:tcMar>
          </w:tcPr>
          <w:p w14:paraId="2C0530B3">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282380C5">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17B20021">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448E5CCF">
            <w:pPr>
              <w:spacing w:before="40" w:after="40"/>
              <w:jc w:val="center"/>
            </w:pPr>
            <w:r>
              <w:rPr>
                <w:rFonts w:ascii="Times New Roman" w:hAnsi="Times New Roman"/>
                <w:sz w:val="18"/>
              </w:rPr>
              <w:t>No</w:t>
            </w:r>
          </w:p>
        </w:tc>
      </w:tr>
      <w:tr w14:paraId="39A20E64">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1D12F0EB">
            <w:pPr>
              <w:spacing w:before="40" w:after="40"/>
              <w:jc w:val="left"/>
            </w:pPr>
            <w:r>
              <w:rPr>
                <w:rFonts w:ascii="Times New Roman" w:hAnsi="Times New Roman"/>
                <w:b/>
                <w:sz w:val="18"/>
              </w:rPr>
              <w:t>SROIE</w:t>
            </w:r>
            <w:r>
              <w:rPr>
                <w:rFonts w:ascii="Times New Roman" w:hAnsi="Times New Roman"/>
                <w:sz w:val="18"/>
              </w:rPr>
              <w:t xml:space="preserve"> (Huang et al. [2])</w:t>
            </w:r>
          </w:p>
        </w:tc>
        <w:tc>
          <w:tcPr>
            <w:tcW w:w="1170" w:type="dxa"/>
            <w:shd w:val="clear" w:color="auto" w:fill="F8F9FA"/>
            <w:tcMar>
              <w:top w:w="100" w:type="dxa"/>
              <w:left w:w="130" w:type="dxa"/>
              <w:bottom w:w="100" w:type="dxa"/>
              <w:right w:w="130" w:type="dxa"/>
            </w:tcMar>
          </w:tcPr>
          <w:p w14:paraId="07A1338A">
            <w:pPr>
              <w:spacing w:before="40" w:after="40"/>
              <w:jc w:val="center"/>
            </w:pPr>
            <w:r>
              <w:rPr>
                <w:rFonts w:ascii="Times New Roman" w:hAnsi="Times New Roman"/>
                <w:sz w:val="18"/>
              </w:rPr>
              <w:t>2019</w:t>
            </w:r>
          </w:p>
        </w:tc>
        <w:tc>
          <w:tcPr>
            <w:tcW w:w="1170" w:type="dxa"/>
            <w:shd w:val="clear" w:color="auto" w:fill="F8F9FA"/>
            <w:tcMar>
              <w:top w:w="100" w:type="dxa"/>
              <w:left w:w="130" w:type="dxa"/>
              <w:bottom w:w="100" w:type="dxa"/>
              <w:right w:w="130" w:type="dxa"/>
            </w:tcMar>
          </w:tcPr>
          <w:p w14:paraId="33856CA3">
            <w:pPr>
              <w:spacing w:before="40" w:after="40"/>
              <w:jc w:val="center"/>
            </w:pPr>
            <w:r>
              <w:rPr>
                <w:rFonts w:ascii="Times New Roman" w:hAnsi="Times New Roman"/>
                <w:sz w:val="18"/>
              </w:rPr>
              <w:t>Receipts</w:t>
            </w:r>
          </w:p>
        </w:tc>
        <w:tc>
          <w:tcPr>
            <w:tcW w:w="1170" w:type="dxa"/>
            <w:shd w:val="clear" w:color="auto" w:fill="F8F9FA"/>
            <w:tcMar>
              <w:top w:w="100" w:type="dxa"/>
              <w:left w:w="130" w:type="dxa"/>
              <w:bottom w:w="100" w:type="dxa"/>
              <w:right w:w="130" w:type="dxa"/>
            </w:tcMar>
          </w:tcPr>
          <w:p w14:paraId="08AC09A8">
            <w:pPr>
              <w:spacing w:before="40" w:after="40"/>
              <w:jc w:val="center"/>
            </w:pPr>
            <w:r>
              <w:rPr>
                <w:rFonts w:ascii="Times New Roman" w:hAnsi="Times New Roman"/>
                <w:sz w:val="18"/>
              </w:rPr>
              <w:t>No (Scanned)</w:t>
            </w:r>
          </w:p>
        </w:tc>
        <w:tc>
          <w:tcPr>
            <w:tcW w:w="1170" w:type="dxa"/>
            <w:shd w:val="clear" w:color="auto" w:fill="F8F9FA"/>
            <w:tcMar>
              <w:top w:w="100" w:type="dxa"/>
              <w:left w:w="130" w:type="dxa"/>
              <w:bottom w:w="100" w:type="dxa"/>
              <w:right w:w="130" w:type="dxa"/>
            </w:tcMar>
          </w:tcPr>
          <w:p w14:paraId="7B16C424">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0F2D597C">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77EEBAC9">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0A28EA94">
            <w:pPr>
              <w:spacing w:before="40" w:after="40"/>
              <w:jc w:val="center"/>
            </w:pPr>
            <w:r>
              <w:rPr>
                <w:rFonts w:ascii="Times New Roman" w:hAnsi="Times New Roman"/>
                <w:sz w:val="18"/>
              </w:rPr>
              <w:t>No</w:t>
            </w:r>
          </w:p>
        </w:tc>
      </w:tr>
      <w:tr w14:paraId="1A68EA19">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63D1311A">
            <w:pPr>
              <w:spacing w:before="40" w:after="40"/>
              <w:jc w:val="left"/>
            </w:pPr>
            <w:r>
              <w:rPr>
                <w:rFonts w:ascii="Times New Roman" w:hAnsi="Times New Roman"/>
                <w:b/>
                <w:sz w:val="18"/>
              </w:rPr>
              <w:t>CORD</w:t>
            </w:r>
            <w:r>
              <w:rPr>
                <w:rFonts w:ascii="Times New Roman" w:hAnsi="Times New Roman"/>
                <w:sz w:val="18"/>
              </w:rPr>
              <w:t xml:space="preserve"> (Park et al. [3])</w:t>
            </w:r>
          </w:p>
        </w:tc>
        <w:tc>
          <w:tcPr>
            <w:tcW w:w="1170" w:type="dxa"/>
            <w:shd w:val="clear" w:color="auto" w:fill="FFFFFF"/>
            <w:tcMar>
              <w:top w:w="100" w:type="dxa"/>
              <w:left w:w="130" w:type="dxa"/>
              <w:bottom w:w="100" w:type="dxa"/>
              <w:right w:w="130" w:type="dxa"/>
            </w:tcMar>
          </w:tcPr>
          <w:p w14:paraId="1857DCB4">
            <w:pPr>
              <w:spacing w:before="40" w:after="40"/>
              <w:jc w:val="center"/>
            </w:pPr>
            <w:r>
              <w:rPr>
                <w:rFonts w:ascii="Times New Roman" w:hAnsi="Times New Roman"/>
                <w:sz w:val="18"/>
              </w:rPr>
              <w:t>2019</w:t>
            </w:r>
          </w:p>
        </w:tc>
        <w:tc>
          <w:tcPr>
            <w:tcW w:w="1170" w:type="dxa"/>
            <w:shd w:val="clear" w:color="auto" w:fill="FFFFFF"/>
            <w:tcMar>
              <w:top w:w="100" w:type="dxa"/>
              <w:left w:w="130" w:type="dxa"/>
              <w:bottom w:w="100" w:type="dxa"/>
              <w:right w:w="130" w:type="dxa"/>
            </w:tcMar>
          </w:tcPr>
          <w:p w14:paraId="09195013">
            <w:pPr>
              <w:spacing w:before="40" w:after="40"/>
              <w:jc w:val="center"/>
            </w:pPr>
            <w:r>
              <w:rPr>
                <w:rFonts w:ascii="Times New Roman" w:hAnsi="Times New Roman"/>
                <w:sz w:val="18"/>
              </w:rPr>
              <w:t>Receipts</w:t>
            </w:r>
          </w:p>
        </w:tc>
        <w:tc>
          <w:tcPr>
            <w:tcW w:w="1170" w:type="dxa"/>
            <w:shd w:val="clear" w:color="auto" w:fill="FFFFFF"/>
            <w:tcMar>
              <w:top w:w="100" w:type="dxa"/>
              <w:left w:w="130" w:type="dxa"/>
              <w:bottom w:w="100" w:type="dxa"/>
              <w:right w:w="130" w:type="dxa"/>
            </w:tcMar>
          </w:tcPr>
          <w:p w14:paraId="3A8B5D3E">
            <w:pPr>
              <w:spacing w:before="40" w:after="40"/>
              <w:jc w:val="center"/>
            </w:pPr>
            <w:r>
              <w:rPr>
                <w:rFonts w:ascii="Times New Roman" w:hAnsi="Times New Roman"/>
                <w:sz w:val="18"/>
              </w:rPr>
              <w:t>No (Anonymized)</w:t>
            </w:r>
          </w:p>
        </w:tc>
        <w:tc>
          <w:tcPr>
            <w:tcW w:w="1170" w:type="dxa"/>
            <w:shd w:val="clear" w:color="auto" w:fill="FFFFFF"/>
            <w:tcMar>
              <w:top w:w="100" w:type="dxa"/>
              <w:left w:w="130" w:type="dxa"/>
              <w:bottom w:w="100" w:type="dxa"/>
              <w:right w:w="130" w:type="dxa"/>
            </w:tcMar>
          </w:tcPr>
          <w:p w14:paraId="4AA7F229">
            <w:pPr>
              <w:spacing w:before="40" w:after="40"/>
              <w:jc w:val="center"/>
            </w:pPr>
            <w:r>
              <w:rPr>
                <w:rFonts w:ascii="Times New Roman" w:hAnsi="Times New Roman"/>
                <w:sz w:val="18"/>
              </w:rPr>
              <w:t>Partial</w:t>
            </w:r>
          </w:p>
        </w:tc>
        <w:tc>
          <w:tcPr>
            <w:tcW w:w="1170" w:type="dxa"/>
            <w:shd w:val="clear" w:color="auto" w:fill="FFFFFF"/>
            <w:tcMar>
              <w:top w:w="100" w:type="dxa"/>
              <w:left w:w="130" w:type="dxa"/>
              <w:bottom w:w="100" w:type="dxa"/>
              <w:right w:w="130" w:type="dxa"/>
            </w:tcMar>
          </w:tcPr>
          <w:p w14:paraId="26405F12">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78ED8BEA">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4497F371">
            <w:pPr>
              <w:spacing w:before="40" w:after="40"/>
              <w:jc w:val="center"/>
            </w:pPr>
            <w:r>
              <w:rPr>
                <w:rFonts w:ascii="Times New Roman" w:hAnsi="Times New Roman"/>
                <w:sz w:val="18"/>
              </w:rPr>
              <w:t>No</w:t>
            </w:r>
          </w:p>
        </w:tc>
      </w:tr>
      <w:tr w14:paraId="7980EC19">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34D136B6">
            <w:pPr>
              <w:spacing w:before="40" w:after="40"/>
              <w:jc w:val="left"/>
            </w:pPr>
            <w:r>
              <w:rPr>
                <w:rFonts w:ascii="Times New Roman" w:hAnsi="Times New Roman"/>
                <w:b/>
                <w:sz w:val="18"/>
              </w:rPr>
              <w:t>FUNSD</w:t>
            </w:r>
            <w:r>
              <w:rPr>
                <w:rFonts w:ascii="Times New Roman" w:hAnsi="Times New Roman"/>
                <w:sz w:val="18"/>
              </w:rPr>
              <w:t xml:space="preserve"> (Jaume et al. [4])</w:t>
            </w:r>
          </w:p>
        </w:tc>
        <w:tc>
          <w:tcPr>
            <w:tcW w:w="1170" w:type="dxa"/>
            <w:shd w:val="clear" w:color="auto" w:fill="F8F9FA"/>
            <w:tcMar>
              <w:top w:w="100" w:type="dxa"/>
              <w:left w:w="130" w:type="dxa"/>
              <w:bottom w:w="100" w:type="dxa"/>
              <w:right w:w="130" w:type="dxa"/>
            </w:tcMar>
          </w:tcPr>
          <w:p w14:paraId="6110C5C0">
            <w:pPr>
              <w:spacing w:before="40" w:after="40"/>
              <w:jc w:val="center"/>
            </w:pPr>
            <w:r>
              <w:rPr>
                <w:rFonts w:ascii="Times New Roman" w:hAnsi="Times New Roman"/>
                <w:sz w:val="18"/>
              </w:rPr>
              <w:t>2019</w:t>
            </w:r>
          </w:p>
        </w:tc>
        <w:tc>
          <w:tcPr>
            <w:tcW w:w="1170" w:type="dxa"/>
            <w:shd w:val="clear" w:color="auto" w:fill="F8F9FA"/>
            <w:tcMar>
              <w:top w:w="100" w:type="dxa"/>
              <w:left w:w="130" w:type="dxa"/>
              <w:bottom w:w="100" w:type="dxa"/>
              <w:right w:w="130" w:type="dxa"/>
            </w:tcMar>
          </w:tcPr>
          <w:p w14:paraId="49DDD9AB">
            <w:pPr>
              <w:spacing w:before="40" w:after="40"/>
              <w:jc w:val="center"/>
            </w:pPr>
            <w:r>
              <w:rPr>
                <w:rFonts w:ascii="Times New Roman" w:hAnsi="Times New Roman"/>
                <w:sz w:val="18"/>
              </w:rPr>
              <w:t>Noisy Forms</w:t>
            </w:r>
          </w:p>
        </w:tc>
        <w:tc>
          <w:tcPr>
            <w:tcW w:w="1170" w:type="dxa"/>
            <w:shd w:val="clear" w:color="auto" w:fill="F8F9FA"/>
            <w:tcMar>
              <w:top w:w="100" w:type="dxa"/>
              <w:left w:w="130" w:type="dxa"/>
              <w:bottom w:w="100" w:type="dxa"/>
              <w:right w:w="130" w:type="dxa"/>
            </w:tcMar>
          </w:tcPr>
          <w:p w14:paraId="370B136A">
            <w:pPr>
              <w:spacing w:before="40" w:after="40"/>
              <w:jc w:val="center"/>
            </w:pPr>
            <w:r>
              <w:rPr>
                <w:rFonts w:ascii="Times New Roman" w:hAnsi="Times New Roman"/>
                <w:sz w:val="18"/>
              </w:rPr>
              <w:t>No (Scanned)</w:t>
            </w:r>
          </w:p>
        </w:tc>
        <w:tc>
          <w:tcPr>
            <w:tcW w:w="1170" w:type="dxa"/>
            <w:shd w:val="clear" w:color="auto" w:fill="F8F9FA"/>
            <w:tcMar>
              <w:top w:w="100" w:type="dxa"/>
              <w:left w:w="130" w:type="dxa"/>
              <w:bottom w:w="100" w:type="dxa"/>
              <w:right w:w="130" w:type="dxa"/>
            </w:tcMar>
          </w:tcPr>
          <w:p w14:paraId="64B5BF31">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3804DB6F">
            <w:pPr>
              <w:spacing w:before="40" w:after="40"/>
              <w:jc w:val="center"/>
            </w:pPr>
            <w:r>
              <w:rPr>
                <w:rFonts w:ascii="Times New Roman" w:hAnsi="Times New Roman"/>
                <w:sz w:val="18"/>
              </w:rPr>
              <w:t>Static Noise</w:t>
            </w:r>
          </w:p>
        </w:tc>
        <w:tc>
          <w:tcPr>
            <w:tcW w:w="1170" w:type="dxa"/>
            <w:shd w:val="clear" w:color="auto" w:fill="F8F9FA"/>
            <w:tcMar>
              <w:top w:w="100" w:type="dxa"/>
              <w:left w:w="130" w:type="dxa"/>
              <w:bottom w:w="100" w:type="dxa"/>
              <w:right w:w="130" w:type="dxa"/>
            </w:tcMar>
          </w:tcPr>
          <w:p w14:paraId="2C41314B">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4122B781">
            <w:pPr>
              <w:spacing w:before="40" w:after="40"/>
              <w:jc w:val="center"/>
            </w:pPr>
            <w:r>
              <w:rPr>
                <w:rFonts w:ascii="Times New Roman" w:hAnsi="Times New Roman"/>
                <w:sz w:val="18"/>
              </w:rPr>
              <w:t>No</w:t>
            </w:r>
          </w:p>
        </w:tc>
      </w:tr>
      <w:tr w14:paraId="4A32658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0A885B4A">
            <w:pPr>
              <w:spacing w:before="40" w:after="40"/>
              <w:jc w:val="left"/>
            </w:pPr>
            <w:r>
              <w:rPr>
                <w:rFonts w:ascii="Times New Roman" w:hAnsi="Times New Roman"/>
                <w:b/>
                <w:sz w:val="18"/>
              </w:rPr>
              <w:t>DocVQA</w:t>
            </w:r>
            <w:r>
              <w:rPr>
                <w:rFonts w:ascii="Times New Roman" w:hAnsi="Times New Roman"/>
                <w:sz w:val="18"/>
              </w:rPr>
              <w:t xml:space="preserve"> (Mathew et al. [5])</w:t>
            </w:r>
          </w:p>
        </w:tc>
        <w:tc>
          <w:tcPr>
            <w:tcW w:w="1170" w:type="dxa"/>
            <w:shd w:val="clear" w:color="auto" w:fill="FFFFFF"/>
            <w:tcMar>
              <w:top w:w="100" w:type="dxa"/>
              <w:left w:w="130" w:type="dxa"/>
              <w:bottom w:w="100" w:type="dxa"/>
              <w:right w:w="130" w:type="dxa"/>
            </w:tcMar>
          </w:tcPr>
          <w:p w14:paraId="34E6588C">
            <w:pPr>
              <w:spacing w:before="40" w:after="40"/>
              <w:jc w:val="center"/>
            </w:pPr>
            <w:r>
              <w:rPr>
                <w:rFonts w:ascii="Times New Roman" w:hAnsi="Times New Roman"/>
                <w:sz w:val="18"/>
              </w:rPr>
              <w:t>2021</w:t>
            </w:r>
          </w:p>
        </w:tc>
        <w:tc>
          <w:tcPr>
            <w:tcW w:w="1170" w:type="dxa"/>
            <w:shd w:val="clear" w:color="auto" w:fill="FFFFFF"/>
            <w:tcMar>
              <w:top w:w="100" w:type="dxa"/>
              <w:left w:w="130" w:type="dxa"/>
              <w:bottom w:w="100" w:type="dxa"/>
              <w:right w:w="130" w:type="dxa"/>
            </w:tcMar>
          </w:tcPr>
          <w:p w14:paraId="5F115FE0">
            <w:pPr>
              <w:spacing w:before="40" w:after="40"/>
              <w:jc w:val="center"/>
            </w:pPr>
            <w:r>
              <w:rPr>
                <w:rFonts w:ascii="Times New Roman" w:hAnsi="Times New Roman"/>
                <w:sz w:val="18"/>
              </w:rPr>
              <w:t>Mixed Documents</w:t>
            </w:r>
          </w:p>
        </w:tc>
        <w:tc>
          <w:tcPr>
            <w:tcW w:w="1170" w:type="dxa"/>
            <w:shd w:val="clear" w:color="auto" w:fill="FFFFFF"/>
            <w:tcMar>
              <w:top w:w="100" w:type="dxa"/>
              <w:left w:w="130" w:type="dxa"/>
              <w:bottom w:w="100" w:type="dxa"/>
              <w:right w:w="130" w:type="dxa"/>
            </w:tcMar>
          </w:tcPr>
          <w:p w14:paraId="5064B065">
            <w:pPr>
              <w:spacing w:before="40" w:after="40"/>
              <w:jc w:val="center"/>
            </w:pPr>
            <w:r>
              <w:rPr>
                <w:rFonts w:ascii="Times New Roman" w:hAnsi="Times New Roman"/>
                <w:sz w:val="18"/>
              </w:rPr>
              <w:t>No (Scanned)</w:t>
            </w:r>
          </w:p>
        </w:tc>
        <w:tc>
          <w:tcPr>
            <w:tcW w:w="1170" w:type="dxa"/>
            <w:shd w:val="clear" w:color="auto" w:fill="FFFFFF"/>
            <w:tcMar>
              <w:top w:w="100" w:type="dxa"/>
              <w:left w:w="130" w:type="dxa"/>
              <w:bottom w:w="100" w:type="dxa"/>
              <w:right w:w="130" w:type="dxa"/>
            </w:tcMar>
          </w:tcPr>
          <w:p w14:paraId="2DD84CAB">
            <w:pPr>
              <w:spacing w:before="40" w:after="40"/>
              <w:jc w:val="center"/>
            </w:pPr>
            <w:r>
              <w:rPr>
                <w:rFonts w:ascii="Times New Roman" w:hAnsi="Times New Roman"/>
                <w:sz w:val="18"/>
              </w:rPr>
              <w:t>Partial</w:t>
            </w:r>
          </w:p>
        </w:tc>
        <w:tc>
          <w:tcPr>
            <w:tcW w:w="1170" w:type="dxa"/>
            <w:shd w:val="clear" w:color="auto" w:fill="FFFFFF"/>
            <w:tcMar>
              <w:top w:w="100" w:type="dxa"/>
              <w:left w:w="130" w:type="dxa"/>
              <w:bottom w:w="100" w:type="dxa"/>
              <w:right w:w="130" w:type="dxa"/>
            </w:tcMar>
          </w:tcPr>
          <w:p w14:paraId="6A7EA7E8">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34EE8FA1">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58472B49">
            <w:pPr>
              <w:spacing w:before="40" w:after="40"/>
              <w:jc w:val="center"/>
            </w:pPr>
            <w:r>
              <w:rPr>
                <w:rFonts w:ascii="Times New Roman" w:hAnsi="Times New Roman"/>
                <w:sz w:val="18"/>
              </w:rPr>
              <w:t>No</w:t>
            </w:r>
          </w:p>
        </w:tc>
      </w:tr>
      <w:tr w14:paraId="5F3EFAC9">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6F71C5ED">
            <w:pPr>
              <w:spacing w:before="40" w:after="40"/>
              <w:jc w:val="left"/>
            </w:pPr>
            <w:r>
              <w:rPr>
                <w:rFonts w:ascii="Times New Roman" w:hAnsi="Times New Roman"/>
                <w:b/>
                <w:sz w:val="18"/>
              </w:rPr>
              <w:t>LayoutLMv3</w:t>
            </w:r>
            <w:r>
              <w:rPr>
                <w:rFonts w:ascii="Times New Roman" w:hAnsi="Times New Roman"/>
                <w:sz w:val="18"/>
              </w:rPr>
              <w:t xml:space="preserve"> (Huang et al. [6])</w:t>
            </w:r>
          </w:p>
        </w:tc>
        <w:tc>
          <w:tcPr>
            <w:tcW w:w="1170" w:type="dxa"/>
            <w:shd w:val="clear" w:color="auto" w:fill="F8F9FA"/>
            <w:tcMar>
              <w:top w:w="100" w:type="dxa"/>
              <w:left w:w="130" w:type="dxa"/>
              <w:bottom w:w="100" w:type="dxa"/>
              <w:right w:w="130" w:type="dxa"/>
            </w:tcMar>
          </w:tcPr>
          <w:p w14:paraId="1C1AF0A6">
            <w:pPr>
              <w:spacing w:before="40" w:after="40"/>
              <w:jc w:val="center"/>
            </w:pPr>
            <w:r>
              <w:rPr>
                <w:rFonts w:ascii="Times New Roman" w:hAnsi="Times New Roman"/>
                <w:sz w:val="18"/>
              </w:rPr>
              <w:t>2022</w:t>
            </w:r>
          </w:p>
        </w:tc>
        <w:tc>
          <w:tcPr>
            <w:tcW w:w="1170" w:type="dxa"/>
            <w:shd w:val="clear" w:color="auto" w:fill="F8F9FA"/>
            <w:tcMar>
              <w:top w:w="100" w:type="dxa"/>
              <w:left w:w="130" w:type="dxa"/>
              <w:bottom w:w="100" w:type="dxa"/>
              <w:right w:w="130" w:type="dxa"/>
            </w:tcMar>
          </w:tcPr>
          <w:p w14:paraId="73C9A564">
            <w:pPr>
              <w:spacing w:before="40" w:after="40"/>
              <w:jc w:val="center"/>
            </w:pPr>
            <w:r>
              <w:rPr>
                <w:rFonts w:ascii="Times New Roman" w:hAnsi="Times New Roman"/>
                <w:sz w:val="18"/>
              </w:rPr>
              <w:t>Business Forms</w:t>
            </w:r>
          </w:p>
        </w:tc>
        <w:tc>
          <w:tcPr>
            <w:tcW w:w="1170" w:type="dxa"/>
            <w:shd w:val="clear" w:color="auto" w:fill="F8F9FA"/>
            <w:tcMar>
              <w:top w:w="100" w:type="dxa"/>
              <w:left w:w="130" w:type="dxa"/>
              <w:bottom w:w="100" w:type="dxa"/>
              <w:right w:w="130" w:type="dxa"/>
            </w:tcMar>
          </w:tcPr>
          <w:p w14:paraId="39D1AE30">
            <w:pPr>
              <w:spacing w:before="40" w:after="40"/>
              <w:jc w:val="center"/>
            </w:pPr>
            <w:r>
              <w:rPr>
                <w:rFonts w:ascii="Times New Roman" w:hAnsi="Times New Roman"/>
                <w:sz w:val="18"/>
              </w:rPr>
              <w:t>No (Mixed)</w:t>
            </w:r>
          </w:p>
        </w:tc>
        <w:tc>
          <w:tcPr>
            <w:tcW w:w="1170" w:type="dxa"/>
            <w:shd w:val="clear" w:color="auto" w:fill="F8F9FA"/>
            <w:tcMar>
              <w:top w:w="100" w:type="dxa"/>
              <w:left w:w="130" w:type="dxa"/>
              <w:bottom w:w="100" w:type="dxa"/>
              <w:right w:w="130" w:type="dxa"/>
            </w:tcMar>
          </w:tcPr>
          <w:p w14:paraId="5F65C017">
            <w:pPr>
              <w:spacing w:before="40" w:after="40"/>
              <w:jc w:val="center"/>
            </w:pPr>
            <w:r>
              <w:rPr>
                <w:rFonts w:ascii="Times New Roman" w:hAnsi="Times New Roman"/>
                <w:sz w:val="18"/>
              </w:rPr>
              <w:t>Partial</w:t>
            </w:r>
          </w:p>
        </w:tc>
        <w:tc>
          <w:tcPr>
            <w:tcW w:w="1170" w:type="dxa"/>
            <w:shd w:val="clear" w:color="auto" w:fill="F8F9FA"/>
            <w:tcMar>
              <w:top w:w="100" w:type="dxa"/>
              <w:left w:w="130" w:type="dxa"/>
              <w:bottom w:w="100" w:type="dxa"/>
              <w:right w:w="130" w:type="dxa"/>
            </w:tcMar>
          </w:tcPr>
          <w:p w14:paraId="4D1A6D56">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156D0F81">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446B6D7A">
            <w:pPr>
              <w:spacing w:before="40" w:after="40"/>
              <w:jc w:val="center"/>
            </w:pPr>
            <w:r>
              <w:rPr>
                <w:rFonts w:ascii="Times New Roman" w:hAnsi="Times New Roman"/>
                <w:sz w:val="18"/>
              </w:rPr>
              <w:t>No</w:t>
            </w:r>
          </w:p>
        </w:tc>
      </w:tr>
      <w:tr w14:paraId="2C6519C6">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2C5A2596">
            <w:pPr>
              <w:spacing w:before="40" w:after="40"/>
              <w:jc w:val="left"/>
            </w:pPr>
            <w:r>
              <w:rPr>
                <w:rFonts w:ascii="Times New Roman" w:hAnsi="Times New Roman"/>
                <w:b/>
                <w:sz w:val="18"/>
              </w:rPr>
              <w:t>Donut</w:t>
            </w:r>
            <w:r>
              <w:rPr>
                <w:rFonts w:ascii="Times New Roman" w:hAnsi="Times New Roman"/>
                <w:sz w:val="18"/>
              </w:rPr>
              <w:t xml:space="preserve"> (Kim et al. [7])</w:t>
            </w:r>
          </w:p>
        </w:tc>
        <w:tc>
          <w:tcPr>
            <w:tcW w:w="1170" w:type="dxa"/>
            <w:shd w:val="clear" w:color="auto" w:fill="FFFFFF"/>
            <w:tcMar>
              <w:top w:w="100" w:type="dxa"/>
              <w:left w:w="130" w:type="dxa"/>
              <w:bottom w:w="100" w:type="dxa"/>
              <w:right w:w="130" w:type="dxa"/>
            </w:tcMar>
          </w:tcPr>
          <w:p w14:paraId="0AD25337">
            <w:pPr>
              <w:spacing w:before="40" w:after="40"/>
              <w:jc w:val="center"/>
            </w:pPr>
            <w:r>
              <w:rPr>
                <w:rFonts w:ascii="Times New Roman" w:hAnsi="Times New Roman"/>
                <w:sz w:val="18"/>
              </w:rPr>
              <w:t>2022</w:t>
            </w:r>
          </w:p>
        </w:tc>
        <w:tc>
          <w:tcPr>
            <w:tcW w:w="1170" w:type="dxa"/>
            <w:shd w:val="clear" w:color="auto" w:fill="FFFFFF"/>
            <w:tcMar>
              <w:top w:w="100" w:type="dxa"/>
              <w:left w:w="130" w:type="dxa"/>
              <w:bottom w:w="100" w:type="dxa"/>
              <w:right w:w="130" w:type="dxa"/>
            </w:tcMar>
          </w:tcPr>
          <w:p w14:paraId="47F03698">
            <w:pPr>
              <w:spacing w:before="40" w:after="40"/>
              <w:jc w:val="center"/>
            </w:pPr>
            <w:r>
              <w:rPr>
                <w:rFonts w:ascii="Times New Roman" w:hAnsi="Times New Roman"/>
                <w:sz w:val="18"/>
              </w:rPr>
              <w:t>Receipts &amp; Forms</w:t>
            </w:r>
          </w:p>
        </w:tc>
        <w:tc>
          <w:tcPr>
            <w:tcW w:w="1170" w:type="dxa"/>
            <w:shd w:val="clear" w:color="auto" w:fill="FFFFFF"/>
            <w:tcMar>
              <w:top w:w="100" w:type="dxa"/>
              <w:left w:w="130" w:type="dxa"/>
              <w:bottom w:w="100" w:type="dxa"/>
              <w:right w:w="130" w:type="dxa"/>
            </w:tcMar>
          </w:tcPr>
          <w:p w14:paraId="0DB24083">
            <w:pPr>
              <w:spacing w:before="40" w:after="40"/>
              <w:jc w:val="center"/>
            </w:pPr>
            <w:r>
              <w:rPr>
                <w:rFonts w:ascii="Times New Roman" w:hAnsi="Times New Roman"/>
                <w:sz w:val="18"/>
              </w:rPr>
              <w:t>Synthetic Text</w:t>
            </w:r>
          </w:p>
        </w:tc>
        <w:tc>
          <w:tcPr>
            <w:tcW w:w="1170" w:type="dxa"/>
            <w:shd w:val="clear" w:color="auto" w:fill="FFFFFF"/>
            <w:tcMar>
              <w:top w:w="100" w:type="dxa"/>
              <w:left w:w="130" w:type="dxa"/>
              <w:bottom w:w="100" w:type="dxa"/>
              <w:right w:w="130" w:type="dxa"/>
            </w:tcMar>
          </w:tcPr>
          <w:p w14:paraId="490929B4">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57543025">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53E25434">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5A5CB4CA">
            <w:pPr>
              <w:spacing w:before="40" w:after="40"/>
              <w:jc w:val="center"/>
            </w:pPr>
            <w:r>
              <w:rPr>
                <w:rFonts w:ascii="Times New Roman" w:hAnsi="Times New Roman"/>
                <w:sz w:val="18"/>
              </w:rPr>
              <w:t>No</w:t>
            </w:r>
          </w:p>
        </w:tc>
      </w:tr>
      <w:tr w14:paraId="0C463C46">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573BFD63">
            <w:pPr>
              <w:spacing w:before="40" w:after="40"/>
              <w:jc w:val="left"/>
            </w:pPr>
            <w:r>
              <w:rPr>
                <w:rFonts w:ascii="Times New Roman" w:hAnsi="Times New Roman"/>
                <w:b/>
                <w:sz w:val="18"/>
              </w:rPr>
              <w:t>Florence-2</w:t>
            </w:r>
            <w:r>
              <w:rPr>
                <w:rFonts w:ascii="Times New Roman" w:hAnsi="Times New Roman"/>
                <w:sz w:val="18"/>
              </w:rPr>
              <w:t xml:space="preserve"> (Xiao et al. [9])</w:t>
            </w:r>
          </w:p>
        </w:tc>
        <w:tc>
          <w:tcPr>
            <w:tcW w:w="1170" w:type="dxa"/>
            <w:shd w:val="clear" w:color="auto" w:fill="F8F9FA"/>
            <w:tcMar>
              <w:top w:w="100" w:type="dxa"/>
              <w:left w:w="130" w:type="dxa"/>
              <w:bottom w:w="100" w:type="dxa"/>
              <w:right w:w="130" w:type="dxa"/>
            </w:tcMar>
          </w:tcPr>
          <w:p w14:paraId="07E850A1">
            <w:pPr>
              <w:spacing w:before="40" w:after="40"/>
              <w:jc w:val="center"/>
            </w:pPr>
            <w:r>
              <w:rPr>
                <w:rFonts w:ascii="Times New Roman" w:hAnsi="Times New Roman"/>
                <w:sz w:val="18"/>
              </w:rPr>
              <w:t>2024</w:t>
            </w:r>
          </w:p>
        </w:tc>
        <w:tc>
          <w:tcPr>
            <w:tcW w:w="1170" w:type="dxa"/>
            <w:shd w:val="clear" w:color="auto" w:fill="F8F9FA"/>
            <w:tcMar>
              <w:top w:w="100" w:type="dxa"/>
              <w:left w:w="130" w:type="dxa"/>
              <w:bottom w:w="100" w:type="dxa"/>
              <w:right w:w="130" w:type="dxa"/>
            </w:tcMar>
          </w:tcPr>
          <w:p w14:paraId="0696591C">
            <w:pPr>
              <w:spacing w:before="40" w:after="40"/>
              <w:jc w:val="center"/>
            </w:pPr>
            <w:r>
              <w:rPr>
                <w:rFonts w:ascii="Times New Roman" w:hAnsi="Times New Roman"/>
                <w:sz w:val="18"/>
              </w:rPr>
              <w:t>Vision-Text</w:t>
            </w:r>
          </w:p>
        </w:tc>
        <w:tc>
          <w:tcPr>
            <w:tcW w:w="1170" w:type="dxa"/>
            <w:shd w:val="clear" w:color="auto" w:fill="F8F9FA"/>
            <w:tcMar>
              <w:top w:w="100" w:type="dxa"/>
              <w:left w:w="130" w:type="dxa"/>
              <w:bottom w:w="100" w:type="dxa"/>
              <w:right w:w="130" w:type="dxa"/>
            </w:tcMar>
          </w:tcPr>
          <w:p w14:paraId="0E6359D7">
            <w:pPr>
              <w:spacing w:before="40" w:after="40"/>
              <w:jc w:val="center"/>
            </w:pPr>
            <w:r>
              <w:rPr>
                <w:rFonts w:ascii="Times New Roman" w:hAnsi="Times New Roman"/>
                <w:sz w:val="18"/>
              </w:rPr>
              <w:t>Synthetic/Natural</w:t>
            </w:r>
          </w:p>
        </w:tc>
        <w:tc>
          <w:tcPr>
            <w:tcW w:w="1170" w:type="dxa"/>
            <w:shd w:val="clear" w:color="auto" w:fill="F8F9FA"/>
            <w:tcMar>
              <w:top w:w="100" w:type="dxa"/>
              <w:left w:w="130" w:type="dxa"/>
              <w:bottom w:w="100" w:type="dxa"/>
              <w:right w:w="130" w:type="dxa"/>
            </w:tcMar>
          </w:tcPr>
          <w:p w14:paraId="77B9BEE7">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3B3EE0E4">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01356389">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3BC8E0D5">
            <w:pPr>
              <w:spacing w:before="40" w:after="40"/>
              <w:jc w:val="center"/>
            </w:pPr>
            <w:r>
              <w:rPr>
                <w:rFonts w:ascii="Times New Roman" w:hAnsi="Times New Roman"/>
                <w:sz w:val="18"/>
              </w:rPr>
              <w:t>No</w:t>
            </w:r>
          </w:p>
        </w:tc>
      </w:tr>
      <w:tr w14:paraId="226FD1A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1EBD7645">
            <w:pPr>
              <w:spacing w:before="40" w:after="40"/>
              <w:jc w:val="left"/>
            </w:pPr>
            <w:r>
              <w:rPr>
                <w:rFonts w:ascii="Times New Roman" w:hAnsi="Times New Roman"/>
                <w:b/>
                <w:sz w:val="18"/>
              </w:rPr>
              <w:t>DocOwl 2.0</w:t>
            </w:r>
            <w:r>
              <w:rPr>
                <w:rFonts w:ascii="Times New Roman" w:hAnsi="Times New Roman"/>
                <w:sz w:val="18"/>
              </w:rPr>
              <w:t xml:space="preserve"> (Hu et al. [10])</w:t>
            </w:r>
          </w:p>
        </w:tc>
        <w:tc>
          <w:tcPr>
            <w:tcW w:w="1170" w:type="dxa"/>
            <w:shd w:val="clear" w:color="auto" w:fill="FFFFFF"/>
            <w:tcMar>
              <w:top w:w="100" w:type="dxa"/>
              <w:left w:w="130" w:type="dxa"/>
              <w:bottom w:w="100" w:type="dxa"/>
              <w:right w:w="130" w:type="dxa"/>
            </w:tcMar>
          </w:tcPr>
          <w:p w14:paraId="4F838069">
            <w:pPr>
              <w:spacing w:before="40" w:after="40"/>
              <w:jc w:val="center"/>
            </w:pPr>
            <w:r>
              <w:rPr>
                <w:rFonts w:ascii="Times New Roman" w:hAnsi="Times New Roman"/>
                <w:sz w:val="18"/>
              </w:rPr>
              <w:t>2025</w:t>
            </w:r>
          </w:p>
        </w:tc>
        <w:tc>
          <w:tcPr>
            <w:tcW w:w="1170" w:type="dxa"/>
            <w:shd w:val="clear" w:color="auto" w:fill="FFFFFF"/>
            <w:tcMar>
              <w:top w:w="100" w:type="dxa"/>
              <w:left w:w="130" w:type="dxa"/>
              <w:bottom w:w="100" w:type="dxa"/>
              <w:right w:w="130" w:type="dxa"/>
            </w:tcMar>
          </w:tcPr>
          <w:p w14:paraId="2D0D3113">
            <w:pPr>
              <w:spacing w:before="40" w:after="40"/>
              <w:jc w:val="center"/>
            </w:pPr>
            <w:r>
              <w:rPr>
                <w:rFonts w:ascii="Times New Roman" w:hAnsi="Times New Roman"/>
                <w:sz w:val="18"/>
              </w:rPr>
              <w:t>General Docs</w:t>
            </w:r>
          </w:p>
        </w:tc>
        <w:tc>
          <w:tcPr>
            <w:tcW w:w="1170" w:type="dxa"/>
            <w:shd w:val="clear" w:color="auto" w:fill="FFFFFF"/>
            <w:tcMar>
              <w:top w:w="100" w:type="dxa"/>
              <w:left w:w="130" w:type="dxa"/>
              <w:bottom w:w="100" w:type="dxa"/>
              <w:right w:w="130" w:type="dxa"/>
            </w:tcMar>
          </w:tcPr>
          <w:p w14:paraId="16AFBF28">
            <w:pPr>
              <w:spacing w:before="40" w:after="40"/>
              <w:jc w:val="center"/>
            </w:pPr>
            <w:r>
              <w:rPr>
                <w:rFonts w:ascii="Times New Roman" w:hAnsi="Times New Roman"/>
                <w:sz w:val="18"/>
              </w:rPr>
              <w:t>Synthetic Text</w:t>
            </w:r>
          </w:p>
        </w:tc>
        <w:tc>
          <w:tcPr>
            <w:tcW w:w="1170" w:type="dxa"/>
            <w:shd w:val="clear" w:color="auto" w:fill="FFFFFF"/>
            <w:tcMar>
              <w:top w:w="100" w:type="dxa"/>
              <w:left w:w="130" w:type="dxa"/>
              <w:bottom w:w="100" w:type="dxa"/>
              <w:right w:w="130" w:type="dxa"/>
            </w:tcMar>
          </w:tcPr>
          <w:p w14:paraId="0AEC86A2">
            <w:pPr>
              <w:spacing w:before="40" w:after="40"/>
              <w:jc w:val="center"/>
            </w:pPr>
            <w:r>
              <w:rPr>
                <w:rFonts w:ascii="Times New Roman" w:hAnsi="Times New Roman"/>
                <w:sz w:val="18"/>
              </w:rPr>
              <w:t>Partial</w:t>
            </w:r>
          </w:p>
        </w:tc>
        <w:tc>
          <w:tcPr>
            <w:tcW w:w="1170" w:type="dxa"/>
            <w:shd w:val="clear" w:color="auto" w:fill="FFFFFF"/>
            <w:tcMar>
              <w:top w:w="100" w:type="dxa"/>
              <w:left w:w="130" w:type="dxa"/>
              <w:bottom w:w="100" w:type="dxa"/>
              <w:right w:w="130" w:type="dxa"/>
            </w:tcMar>
          </w:tcPr>
          <w:p w14:paraId="7A94984A">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00EEDA1A">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665B43B4">
            <w:pPr>
              <w:spacing w:before="40" w:after="40"/>
              <w:jc w:val="center"/>
            </w:pPr>
            <w:r>
              <w:rPr>
                <w:rFonts w:ascii="Times New Roman" w:hAnsi="Times New Roman"/>
                <w:sz w:val="18"/>
              </w:rPr>
              <w:t>No</w:t>
            </w:r>
          </w:p>
        </w:tc>
      </w:tr>
      <w:tr w14:paraId="16F5DCA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5F09198A">
            <w:pPr>
              <w:spacing w:before="40" w:after="40"/>
              <w:jc w:val="left"/>
            </w:pPr>
            <w:r>
              <w:rPr>
                <w:rFonts w:ascii="Times New Roman" w:hAnsi="Times New Roman"/>
                <w:b/>
                <w:sz w:val="18"/>
              </w:rPr>
              <w:t>Qwen2-VL</w:t>
            </w:r>
            <w:r>
              <w:rPr>
                <w:rFonts w:ascii="Times New Roman" w:hAnsi="Times New Roman"/>
                <w:sz w:val="18"/>
              </w:rPr>
              <w:t xml:space="preserve"> (Wang et al. [11])</w:t>
            </w:r>
          </w:p>
        </w:tc>
        <w:tc>
          <w:tcPr>
            <w:tcW w:w="1170" w:type="dxa"/>
            <w:shd w:val="clear" w:color="auto" w:fill="F8F9FA"/>
            <w:tcMar>
              <w:top w:w="100" w:type="dxa"/>
              <w:left w:w="130" w:type="dxa"/>
              <w:bottom w:w="100" w:type="dxa"/>
              <w:right w:w="130" w:type="dxa"/>
            </w:tcMar>
          </w:tcPr>
          <w:p w14:paraId="23737B6F">
            <w:pPr>
              <w:spacing w:before="40" w:after="40"/>
              <w:jc w:val="center"/>
            </w:pPr>
            <w:r>
              <w:rPr>
                <w:rFonts w:ascii="Times New Roman" w:hAnsi="Times New Roman"/>
                <w:sz w:val="18"/>
              </w:rPr>
              <w:t>2025</w:t>
            </w:r>
          </w:p>
        </w:tc>
        <w:tc>
          <w:tcPr>
            <w:tcW w:w="1170" w:type="dxa"/>
            <w:shd w:val="clear" w:color="auto" w:fill="F8F9FA"/>
            <w:tcMar>
              <w:top w:w="100" w:type="dxa"/>
              <w:left w:w="130" w:type="dxa"/>
              <w:bottom w:w="100" w:type="dxa"/>
              <w:right w:w="130" w:type="dxa"/>
            </w:tcMar>
          </w:tcPr>
          <w:p w14:paraId="76CAA679">
            <w:pPr>
              <w:spacing w:before="40" w:after="40"/>
              <w:jc w:val="center"/>
            </w:pPr>
            <w:r>
              <w:rPr>
                <w:rFonts w:ascii="Times New Roman" w:hAnsi="Times New Roman"/>
                <w:sz w:val="18"/>
              </w:rPr>
              <w:t>Multimodal Pages</w:t>
            </w:r>
          </w:p>
        </w:tc>
        <w:tc>
          <w:tcPr>
            <w:tcW w:w="1170" w:type="dxa"/>
            <w:shd w:val="clear" w:color="auto" w:fill="F8F9FA"/>
            <w:tcMar>
              <w:top w:w="100" w:type="dxa"/>
              <w:left w:w="130" w:type="dxa"/>
              <w:bottom w:w="100" w:type="dxa"/>
              <w:right w:w="130" w:type="dxa"/>
            </w:tcMar>
          </w:tcPr>
          <w:p w14:paraId="3E5B42C0">
            <w:pPr>
              <w:spacing w:before="40" w:after="40"/>
              <w:jc w:val="center"/>
            </w:pPr>
            <w:r>
              <w:rPr>
                <w:rFonts w:ascii="Times New Roman" w:hAnsi="Times New Roman"/>
                <w:sz w:val="18"/>
              </w:rPr>
              <w:t>Mixed</w:t>
            </w:r>
          </w:p>
        </w:tc>
        <w:tc>
          <w:tcPr>
            <w:tcW w:w="1170" w:type="dxa"/>
            <w:shd w:val="clear" w:color="auto" w:fill="F8F9FA"/>
            <w:tcMar>
              <w:top w:w="100" w:type="dxa"/>
              <w:left w:w="130" w:type="dxa"/>
              <w:bottom w:w="100" w:type="dxa"/>
              <w:right w:w="130" w:type="dxa"/>
            </w:tcMar>
          </w:tcPr>
          <w:p w14:paraId="529D5E64">
            <w:pPr>
              <w:spacing w:before="40" w:after="40"/>
              <w:jc w:val="center"/>
            </w:pPr>
            <w:r>
              <w:rPr>
                <w:rFonts w:ascii="Times New Roman" w:hAnsi="Times New Roman"/>
                <w:sz w:val="18"/>
              </w:rPr>
              <w:t>Partial</w:t>
            </w:r>
          </w:p>
        </w:tc>
        <w:tc>
          <w:tcPr>
            <w:tcW w:w="1170" w:type="dxa"/>
            <w:shd w:val="clear" w:color="auto" w:fill="F8F9FA"/>
            <w:tcMar>
              <w:top w:w="100" w:type="dxa"/>
              <w:left w:w="130" w:type="dxa"/>
              <w:bottom w:w="100" w:type="dxa"/>
              <w:right w:w="130" w:type="dxa"/>
            </w:tcMar>
          </w:tcPr>
          <w:p w14:paraId="30AAB614">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674CC888">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368EF129">
            <w:pPr>
              <w:spacing w:before="40" w:after="40"/>
              <w:jc w:val="center"/>
            </w:pPr>
            <w:r>
              <w:rPr>
                <w:rFonts w:ascii="Times New Roman" w:hAnsi="Times New Roman"/>
                <w:sz w:val="18"/>
              </w:rPr>
              <w:t>No</w:t>
            </w:r>
          </w:p>
        </w:tc>
      </w:tr>
      <w:tr w14:paraId="400CAF95">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6103AC47">
            <w:pPr>
              <w:spacing w:before="40" w:after="40"/>
              <w:jc w:val="left"/>
            </w:pPr>
            <w:r>
              <w:rPr>
                <w:rFonts w:ascii="Times New Roman" w:hAnsi="Times New Roman"/>
                <w:b/>
                <w:sz w:val="18"/>
              </w:rPr>
              <w:t>DocFormers 2.0</w:t>
            </w:r>
            <w:r>
              <w:rPr>
                <w:rFonts w:ascii="Times New Roman" w:hAnsi="Times New Roman"/>
                <w:sz w:val="18"/>
              </w:rPr>
              <w:t xml:space="preserve"> (Zhao et al. [32])</w:t>
            </w:r>
          </w:p>
        </w:tc>
        <w:tc>
          <w:tcPr>
            <w:tcW w:w="1170" w:type="dxa"/>
            <w:shd w:val="clear" w:color="auto" w:fill="FFFFFF"/>
            <w:tcMar>
              <w:top w:w="100" w:type="dxa"/>
              <w:left w:w="130" w:type="dxa"/>
              <w:bottom w:w="100" w:type="dxa"/>
              <w:right w:w="130" w:type="dxa"/>
            </w:tcMar>
          </w:tcPr>
          <w:p w14:paraId="660E85BA">
            <w:pPr>
              <w:spacing w:before="40" w:after="40"/>
              <w:jc w:val="center"/>
            </w:pPr>
            <w:r>
              <w:rPr>
                <w:rFonts w:ascii="Times New Roman" w:hAnsi="Times New Roman"/>
                <w:sz w:val="18"/>
              </w:rPr>
              <w:t>2026</w:t>
            </w:r>
          </w:p>
        </w:tc>
        <w:tc>
          <w:tcPr>
            <w:tcW w:w="1170" w:type="dxa"/>
            <w:shd w:val="clear" w:color="auto" w:fill="FFFFFF"/>
            <w:tcMar>
              <w:top w:w="100" w:type="dxa"/>
              <w:left w:w="130" w:type="dxa"/>
              <w:bottom w:w="100" w:type="dxa"/>
              <w:right w:w="130" w:type="dxa"/>
            </w:tcMar>
          </w:tcPr>
          <w:p w14:paraId="7F36E26F">
            <w:pPr>
              <w:spacing w:before="40" w:after="40"/>
              <w:jc w:val="center"/>
            </w:pPr>
            <w:r>
              <w:rPr>
                <w:rFonts w:ascii="Times New Roman" w:hAnsi="Times New Roman"/>
                <w:sz w:val="18"/>
              </w:rPr>
              <w:t>Multimodal Pages</w:t>
            </w:r>
          </w:p>
        </w:tc>
        <w:tc>
          <w:tcPr>
            <w:tcW w:w="1170" w:type="dxa"/>
            <w:shd w:val="clear" w:color="auto" w:fill="FFFFFF"/>
            <w:tcMar>
              <w:top w:w="100" w:type="dxa"/>
              <w:left w:w="130" w:type="dxa"/>
              <w:bottom w:w="100" w:type="dxa"/>
              <w:right w:w="130" w:type="dxa"/>
            </w:tcMar>
          </w:tcPr>
          <w:p w14:paraId="2DB59D53">
            <w:pPr>
              <w:spacing w:before="40" w:after="40"/>
              <w:jc w:val="center"/>
            </w:pPr>
            <w:r>
              <w:rPr>
                <w:rFonts w:ascii="Times New Roman" w:hAnsi="Times New Roman"/>
                <w:sz w:val="18"/>
              </w:rPr>
              <w:t>Synthetic/Natural</w:t>
            </w:r>
          </w:p>
        </w:tc>
        <w:tc>
          <w:tcPr>
            <w:tcW w:w="1170" w:type="dxa"/>
            <w:shd w:val="clear" w:color="auto" w:fill="FFFFFF"/>
            <w:tcMar>
              <w:top w:w="100" w:type="dxa"/>
              <w:left w:w="130" w:type="dxa"/>
              <w:bottom w:w="100" w:type="dxa"/>
              <w:right w:w="130" w:type="dxa"/>
            </w:tcMar>
          </w:tcPr>
          <w:p w14:paraId="21426763">
            <w:pPr>
              <w:spacing w:before="40" w:after="40"/>
              <w:jc w:val="center"/>
            </w:pPr>
            <w:r>
              <w:rPr>
                <w:rFonts w:ascii="Times New Roman" w:hAnsi="Times New Roman"/>
                <w:sz w:val="18"/>
              </w:rPr>
              <w:t>Partial</w:t>
            </w:r>
          </w:p>
        </w:tc>
        <w:tc>
          <w:tcPr>
            <w:tcW w:w="1170" w:type="dxa"/>
            <w:shd w:val="clear" w:color="auto" w:fill="FFFFFF"/>
            <w:tcMar>
              <w:top w:w="100" w:type="dxa"/>
              <w:left w:w="130" w:type="dxa"/>
              <w:bottom w:w="100" w:type="dxa"/>
              <w:right w:w="130" w:type="dxa"/>
            </w:tcMar>
          </w:tcPr>
          <w:p w14:paraId="58130C59">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1ABD5D75">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7B88C695">
            <w:pPr>
              <w:spacing w:before="40" w:after="40"/>
              <w:jc w:val="center"/>
            </w:pPr>
            <w:r>
              <w:rPr>
                <w:rFonts w:ascii="Times New Roman" w:hAnsi="Times New Roman"/>
                <w:sz w:val="18"/>
              </w:rPr>
              <w:t>No</w:t>
            </w:r>
          </w:p>
        </w:tc>
      </w:tr>
      <w:tr w14:paraId="562D40E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0ECE5893">
            <w:pPr>
              <w:spacing w:before="40" w:after="40"/>
              <w:jc w:val="left"/>
            </w:pPr>
            <w:r>
              <w:rPr>
                <w:rFonts w:ascii="Times New Roman" w:hAnsi="Times New Roman"/>
                <w:b/>
                <w:sz w:val="18"/>
              </w:rPr>
              <w:t>ADBG v1.0 / AU DIC (Ours)</w:t>
            </w:r>
          </w:p>
        </w:tc>
        <w:tc>
          <w:tcPr>
            <w:tcW w:w="1170" w:type="dxa"/>
            <w:shd w:val="clear" w:color="auto" w:fill="F8F9FA"/>
            <w:tcMar>
              <w:top w:w="100" w:type="dxa"/>
              <w:left w:w="130" w:type="dxa"/>
              <w:bottom w:w="100" w:type="dxa"/>
              <w:right w:w="130" w:type="dxa"/>
            </w:tcMar>
          </w:tcPr>
          <w:p w14:paraId="2AB809F4">
            <w:pPr>
              <w:spacing w:before="40" w:after="40"/>
              <w:jc w:val="center"/>
            </w:pPr>
            <w:r>
              <w:rPr>
                <w:rFonts w:ascii="Times New Roman" w:hAnsi="Times New Roman"/>
                <w:b/>
                <w:sz w:val="18"/>
              </w:rPr>
              <w:t>2026</w:t>
            </w:r>
          </w:p>
        </w:tc>
        <w:tc>
          <w:tcPr>
            <w:tcW w:w="1170" w:type="dxa"/>
            <w:shd w:val="clear" w:color="auto" w:fill="F8F9FA"/>
            <w:tcMar>
              <w:top w:w="100" w:type="dxa"/>
              <w:left w:w="130" w:type="dxa"/>
              <w:bottom w:w="100" w:type="dxa"/>
              <w:right w:w="130" w:type="dxa"/>
            </w:tcMar>
          </w:tcPr>
          <w:p w14:paraId="692903A2">
            <w:pPr>
              <w:spacing w:before="40" w:after="40"/>
              <w:jc w:val="center"/>
            </w:pPr>
            <w:r>
              <w:rPr>
                <w:rFonts w:ascii="Times New Roman" w:hAnsi="Times New Roman"/>
                <w:b/>
                <w:sz w:val="18"/>
              </w:rPr>
              <w:t>Academic Credentials</w:t>
            </w:r>
          </w:p>
        </w:tc>
        <w:tc>
          <w:tcPr>
            <w:tcW w:w="1170" w:type="dxa"/>
            <w:shd w:val="clear" w:color="auto" w:fill="F8F9FA"/>
            <w:tcMar>
              <w:top w:w="100" w:type="dxa"/>
              <w:left w:w="130" w:type="dxa"/>
              <w:bottom w:w="100" w:type="dxa"/>
              <w:right w:w="130" w:type="dxa"/>
            </w:tcMar>
          </w:tcPr>
          <w:p w14:paraId="2DCDA38D">
            <w:pPr>
              <w:spacing w:before="40" w:after="40"/>
              <w:jc w:val="center"/>
            </w:pPr>
            <w:r>
              <w:rPr>
                <w:rFonts w:ascii="Times New Roman" w:hAnsi="Times New Roman"/>
                <w:b/>
                <w:sz w:val="18"/>
              </w:rPr>
              <w:t>Yes (100% Synthetic)</w:t>
            </w:r>
          </w:p>
        </w:tc>
        <w:tc>
          <w:tcPr>
            <w:tcW w:w="1170" w:type="dxa"/>
            <w:shd w:val="clear" w:color="auto" w:fill="F8F9FA"/>
            <w:tcMar>
              <w:top w:w="100" w:type="dxa"/>
              <w:left w:w="130" w:type="dxa"/>
              <w:bottom w:w="100" w:type="dxa"/>
              <w:right w:w="130" w:type="dxa"/>
            </w:tcMar>
          </w:tcPr>
          <w:p w14:paraId="51987CF1">
            <w:pPr>
              <w:spacing w:before="40" w:after="40"/>
              <w:jc w:val="center"/>
            </w:pPr>
            <w:r>
              <w:rPr>
                <w:rFonts w:ascii="Times New Roman" w:hAnsi="Times New Roman"/>
                <w:b/>
                <w:sz w:val="18"/>
              </w:rPr>
              <w:t>Yes (Semester Arrays)</w:t>
            </w:r>
          </w:p>
        </w:tc>
        <w:tc>
          <w:tcPr>
            <w:tcW w:w="1170" w:type="dxa"/>
            <w:shd w:val="clear" w:color="auto" w:fill="F8F9FA"/>
            <w:tcMar>
              <w:top w:w="100" w:type="dxa"/>
              <w:left w:w="130" w:type="dxa"/>
              <w:bottom w:w="100" w:type="dxa"/>
              <w:right w:w="130" w:type="dxa"/>
            </w:tcMar>
          </w:tcPr>
          <w:p w14:paraId="08759BC4">
            <w:pPr>
              <w:spacing w:before="40" w:after="40"/>
              <w:jc w:val="center"/>
            </w:pPr>
            <w:r>
              <w:rPr>
                <w:rFonts w:ascii="Times New Roman" w:hAnsi="Times New Roman"/>
                <w:b/>
                <w:sz w:val="18"/>
              </w:rPr>
              <w:t>Yes (4 Profiles)</w:t>
            </w:r>
          </w:p>
        </w:tc>
        <w:tc>
          <w:tcPr>
            <w:tcW w:w="1170" w:type="dxa"/>
            <w:shd w:val="clear" w:color="auto" w:fill="F8F9FA"/>
            <w:tcMar>
              <w:top w:w="100" w:type="dxa"/>
              <w:left w:w="130" w:type="dxa"/>
              <w:bottom w:w="100" w:type="dxa"/>
              <w:right w:w="130" w:type="dxa"/>
            </w:tcMar>
          </w:tcPr>
          <w:p w14:paraId="47FB331D">
            <w:pPr>
              <w:spacing w:before="40" w:after="40"/>
              <w:jc w:val="center"/>
            </w:pPr>
            <w:r>
              <w:rPr>
                <w:rFonts w:ascii="Times New Roman" w:hAnsi="Times New Roman"/>
                <w:b/>
                <w:sz w:val="18"/>
              </w:rPr>
              <w:t>Yes (6 Stages)</w:t>
            </w:r>
          </w:p>
        </w:tc>
        <w:tc>
          <w:tcPr>
            <w:tcW w:w="1170" w:type="dxa"/>
            <w:shd w:val="clear" w:color="auto" w:fill="F8F9FA"/>
            <w:tcMar>
              <w:top w:w="100" w:type="dxa"/>
              <w:left w:w="130" w:type="dxa"/>
              <w:bottom w:w="100" w:type="dxa"/>
              <w:right w:w="130" w:type="dxa"/>
            </w:tcMar>
          </w:tcPr>
          <w:p w14:paraId="633C70F9">
            <w:pPr>
              <w:spacing w:before="40" w:after="40"/>
              <w:jc w:val="center"/>
            </w:pPr>
            <w:r>
              <w:rPr>
                <w:rFonts w:ascii="Times New Roman" w:hAnsi="Times New Roman"/>
                <w:b/>
                <w:sz w:val="18"/>
              </w:rPr>
              <w:t>Yes (Certificates/Mark-sheets)</w:t>
            </w:r>
          </w:p>
        </w:tc>
      </w:tr>
    </w:tbl>
    <w:p w14:paraId="151491A5">
      <w:pPr>
        <w:keepNext/>
        <w:spacing w:before="200" w:after="80"/>
        <w:jc w:val="both"/>
      </w:pPr>
      <w:r>
        <w:rPr>
          <w:rFonts w:ascii="Times New Roman" w:hAnsi="Times New Roman"/>
          <w:b/>
          <w:color w:val="333333"/>
          <w:sz w:val="23"/>
        </w:rPr>
        <w:t>2.6 Summary of Research Gap &amp; Methodological Motivation</w:t>
      </w:r>
    </w:p>
    <w:p w14:paraId="6C1839F2">
      <w:pPr>
        <w:spacing w:before="40" w:after="80" w:line="276" w:lineRule="auto"/>
        <w:jc w:val="both"/>
      </w:pPr>
      <w:r>
        <w:rPr>
          <w:rFonts w:ascii="Times New Roman" w:hAnsi="Times New Roman"/>
          <w:sz w:val="20"/>
        </w:rPr>
        <w:t>Despite rapid advancements in multimodal 2025–2026 Document AI architectures [9]–[15], [32]–[34], four fundamental methodological gaps persist in academic credential evaluation:</w:t>
      </w:r>
    </w:p>
    <w:p w14:paraId="289CF4DF">
      <w:pPr>
        <w:spacing w:before="20" w:after="40"/>
        <w:ind w:left="360"/>
        <w:jc w:val="both"/>
      </w:pPr>
      <w:r>
        <w:rPr>
          <w:rFonts w:ascii="Times New Roman" w:hAnsi="Times New Roman"/>
          <w:b/>
          <w:sz w:val="20"/>
        </w:rPr>
        <w:t>1. Absence of Public Academic Datasets</w:t>
      </w:r>
      <w:r>
        <w:rPr>
          <w:rFonts w:ascii="Times New Roman" w:hAnsi="Times New Roman"/>
          <w:sz w:val="20"/>
        </w:rPr>
        <w:t>: Statutory privacy regulations (FERPA, GDPR) prevent public distribution of authentic student records [28], [35].</w:t>
      </w:r>
    </w:p>
    <w:p w14:paraId="63570A9B">
      <w:pPr>
        <w:spacing w:before="20" w:after="40"/>
        <w:ind w:left="360"/>
        <w:jc w:val="both"/>
      </w:pPr>
      <w:r>
        <w:rPr>
          <w:rFonts w:ascii="Times New Roman" w:hAnsi="Times New Roman"/>
          <w:b/>
          <w:sz w:val="20"/>
        </w:rPr>
        <w:t>2. Lack of Controlled Degradation Matrices</w:t>
      </w:r>
      <w:r>
        <w:rPr>
          <w:rFonts w:ascii="Times New Roman" w:hAnsi="Times New Roman"/>
          <w:sz w:val="20"/>
        </w:rPr>
        <w:t>: Robustness across scanner copy aging, mobile camera skew, and orientation rotation is rarely quantified [27], [30], [33].</w:t>
      </w:r>
    </w:p>
    <w:p w14:paraId="2F134691">
      <w:pPr>
        <w:spacing w:before="20" w:after="40"/>
        <w:ind w:left="360"/>
        <w:jc w:val="both"/>
      </w:pPr>
      <w:r>
        <w:rPr>
          <w:rFonts w:ascii="Times New Roman" w:hAnsi="Times New Roman"/>
          <w:b/>
          <w:sz w:val="20"/>
        </w:rPr>
        <w:t>3. Metric Distortion from Formatting Variations</w:t>
      </w:r>
      <w:r>
        <w:rPr>
          <w:rFonts w:ascii="Times New Roman" w:hAnsi="Times New Roman"/>
          <w:sz w:val="20"/>
        </w:rPr>
        <w:t>: Unnormalized string matching penalizes benign representation differences (e.g., date syntax, institutional aliases), distorting true extraction accuracy [25], [36].</w:t>
      </w:r>
    </w:p>
    <w:p w14:paraId="52B336A4">
      <w:pPr>
        <w:spacing w:before="20" w:after="40"/>
        <w:ind w:left="360"/>
        <w:jc w:val="both"/>
      </w:pPr>
      <w:r>
        <w:rPr>
          <w:rFonts w:ascii="Times New Roman" w:hAnsi="Times New Roman"/>
          <w:b/>
          <w:sz w:val="20"/>
        </w:rPr>
        <w:t>4. Absence of Structured Error Taxonomies</w:t>
      </w:r>
      <w:r>
        <w:rPr>
          <w:rFonts w:ascii="Times New Roman" w:hAnsi="Times New Roman"/>
          <w:sz w:val="20"/>
        </w:rPr>
        <w:t>: Scalar metrics (CER, WER) fail to categorize specific diagnostic error causes [28], [37].</w:t>
      </w:r>
    </w:p>
    <w:p w14:paraId="35BA324B">
      <w:pPr>
        <w:spacing w:before="40" w:after="80" w:line="276" w:lineRule="auto"/>
        <w:jc w:val="both"/>
      </w:pPr>
      <w:r>
        <w:rPr>
          <w:rFonts w:ascii="Times New Roman" w:hAnsi="Times New Roman"/>
          <w:sz w:val="20"/>
        </w:rPr>
        <w:t>These gaps directly motivate the integrated benchmarking methodology established in this work [26], [31].</w:t>
      </w:r>
    </w:p>
    <w:p w14:paraId="5DED24D5">
      <w:pPr>
        <w:keepNext/>
        <w:spacing w:before="280" w:after="120"/>
        <w:jc w:val="both"/>
      </w:pPr>
      <w:r>
        <w:rPr>
          <w:rFonts w:ascii="Times New Roman" w:hAnsi="Times New Roman"/>
          <w:b/>
          <w:color w:val="003366"/>
          <w:sz w:val="26"/>
        </w:rPr>
        <w:t>3. Proposed Methodology</w:t>
      </w:r>
    </w:p>
    <w:p w14:paraId="71989CA7">
      <w:pPr>
        <w:keepNext/>
        <w:spacing w:before="200" w:after="80"/>
        <w:jc w:val="both"/>
      </w:pPr>
      <w:r>
        <w:rPr>
          <w:rFonts w:ascii="Times New Roman" w:hAnsi="Times New Roman"/>
          <w:b/>
          <w:color w:val="333333"/>
          <w:sz w:val="23"/>
        </w:rPr>
        <w:t>3.1 Overall Framework Architecture</w:t>
      </w:r>
    </w:p>
    <w:p w14:paraId="3D8AAFB3">
      <w:pPr>
        <w:spacing w:before="40" w:after="80" w:line="276" w:lineRule="auto"/>
        <w:jc w:val="both"/>
      </w:pPr>
      <w:r>
        <w:rPr>
          <w:rFonts w:ascii="Times New Roman" w:hAnsi="Times New Roman"/>
          <w:sz w:val="20"/>
        </w:rPr>
        <w:t xml:space="preserve">The system architecture consists of two decoupled components: the </w:t>
      </w:r>
      <w:r>
        <w:rPr>
          <w:rFonts w:ascii="Times New Roman" w:hAnsi="Times New Roman"/>
          <w:b/>
          <w:sz w:val="20"/>
        </w:rPr>
        <w:t>ADBG Subsystem</w:t>
      </w:r>
      <w:r>
        <w:rPr>
          <w:rFonts w:ascii="Times New Roman" w:hAnsi="Times New Roman"/>
          <w:sz w:val="20"/>
        </w:rPr>
        <w:t xml:space="preserve"> (synthetic document generator) [26] and the </w:t>
      </w:r>
      <w:r>
        <w:rPr>
          <w:rFonts w:ascii="Times New Roman" w:hAnsi="Times New Roman"/>
          <w:b/>
          <w:sz w:val="20"/>
        </w:rPr>
        <w:t>AU DIC Benchmark Subsystem</w:t>
      </w:r>
      <w:r>
        <w:rPr>
          <w:rFonts w:ascii="Times New Roman" w:hAnsi="Times New Roman"/>
          <w:sz w:val="20"/>
        </w:rPr>
        <w:t xml:space="preserve"> (read-only evaluation framework) [31].</w:t>
      </w:r>
    </w:p>
    <w:p w14:paraId="46BD7935">
      <w:pPr>
        <w:spacing w:before="160" w:after="80" w:line="240" w:lineRule="atLeast"/>
        <w:jc w:val="center"/>
      </w:pPr>
      <w:r>
        <w:drawing>
          <ns4:inline distT="0" distB="0" distL="0" distR="0">
            <ns4:extent cx="5943600" cy="2476500"/>
            <ns4:effectExtent l="0" t="0" r="0" b="0"/>
            <ns4:docPr id="1" name="Picture 1"/>
            <ns4:cNvGraphicFramePr>
              <ns5:graphicFrameLocks noChangeAspect="1"/>
            </ns4:cNvGraphicFramePr>
            <ns5:graphic>
              <ns5:graphicData uri="http://schemas.openxmlformats.org/drawingml/2006/picture">
                <ns6:pic>
                  <ns6:nvPicPr>
                    <ns6:cNvPr id="1" name="Picture 1"/>
                    <ns6:cNvPicPr>
                      <ns5:picLocks noChangeAspect="1"/>
                    </ns6:cNvPicPr>
                  </ns6:nvPicPr>
                  <ns6:blipFill>
                    <ns5:blip r:embed="rId7"/>
                    <ns5:stretch>
                      <ns5:fillRect/>
                    </ns5:stretch>
                  </ns6:blipFill>
                  <ns6:spPr>
                    <ns5:xfrm>
                      <ns5:off x="0" y="0"/>
                      <ns5:ext cx="5943600" cy="2476500"/>
                    </ns5:xfrm>
                    <ns5:prstGeom prst="rect">
                      <ns5:avLst/>
                    </ns5:prstGeom>
                  </ns6:spPr>
                </ns6:pic>
              </ns5:graphicData>
            </ns5:graphic>
          </ns4:inline>
        </w:drawing>
      </w:r>
    </w:p>
    <w:p w14:paraId="65A815D6">
      <w:pPr>
        <w:spacing w:after="160"/>
        <w:jc w:val="center"/>
      </w:pPr>
      <w:r>
        <w:rPr>
          <w:rFonts w:ascii="Times New Roman" w:hAnsi="Times New Roman"/>
          <w:b/>
          <w:color w:val="003366"/>
          <w:sz w:val="19"/>
        </w:rPr>
        <w:t>Fig. 1. Decoupled System Architecture of the ADBG Synthetic Generation and AU DIC Evaluation Subsystems.</w:t>
      </w:r>
    </w:p>
    <w:p w14:paraId="03EFF269">
      <w:pPr>
        <w:spacing w:before="40" w:after="80" w:line="276" w:lineRule="auto"/>
        <w:jc w:val="both"/>
      </w:pPr>
      <w:r>
        <w:rPr>
          <w:rFonts w:ascii="Times New Roman" w:hAnsi="Times New Roman"/>
          <w:sz w:val="20"/>
        </w:rPr>
        <w:t>Fig. 1 illustrates the decoupled system architecture of the ADBG Synthetic Generation and AU DIC Evaluation Subsystems. Fig. 2 summarizes the complete methodological workflow adopted in this study, beginning with deterministic synthetic document generation and concluding with statistical evaluation and publication-ready artifact generation.</w:t>
      </w:r>
    </w:p>
    <w:p w14:paraId="60CDBD63">
      <w:pPr>
        <w:spacing w:before="160" w:after="80" w:line="240" w:lineRule="atLeast"/>
        <w:jc w:val="center"/>
      </w:pPr>
      <w:r>
        <w:drawing>
          <ns4:inline distT="0" distB="0" distL="0" distR="0">
            <ns4:extent cx="1950000" cy="5400000"/>
            <ns4:effectExtent l="0" t="0" r="5715" b="2540"/>
            <ns4:docPr id="2" name="Picture 2"/>
            <ns4:cNvGraphicFramePr>
              <ns5:graphicFrameLocks noChangeAspect="1"/>
            </ns4:cNvGraphicFramePr>
            <ns5:graphic>
              <ns5:graphicData uri="http://schemas.openxmlformats.org/drawingml/2006/picture">
                <ns6:pic>
                  <ns6:nvPicPr>
                    <ns6:cNvPr id="2" name="Picture 2"/>
                    <ns6:cNvPicPr>
                      <ns5:picLocks noChangeAspect="1"/>
                    </ns6:cNvPicPr>
                  </ns6:nvPicPr>
                  <ns6:blipFill>
                    <ns5:blip r:embed="rId8"/>
                    <ns5:stretch>
                      <ns5:fillRect/>
                    </ns5:stretch>
                  </ns6:blipFill>
                  <ns6:spPr>
                    <ns5:xfrm>
                      <ns5:off x="0" y="0"/>
                      <ns5:ext cx="1950000" cy="5400000"/>
                    </ns5:xfrm>
                    <ns5:prstGeom prst="rect">
                      <ns5:avLst/>
                    </ns5:prstGeom>
                  </ns6:spPr>
                </ns6:pic>
              </ns5:graphicData>
            </ns5:graphic>
          </ns4:inline>
        </w:drawing>
      </w:r>
    </w:p>
    <w:p w14:paraId="1B80C515">
      <w:pPr>
        <w:spacing w:after="160"/>
        <w:jc w:val="center"/>
      </w:pPr>
      <w:r>
        <w:rPr>
          <w:rFonts w:ascii="Times New Roman" w:hAnsi="Times New Roman"/>
          <w:b/>
          <w:color w:val="003366"/>
          <w:sz w:val="19"/>
        </w:rPr>
        <w:t>Fig. 2. End-to-End Methodological Workflow of the Proposed AU DIC Benchmark Evaluation Framework.</w:t>
      </w:r>
    </w:p>
    <w:p w14:paraId="3F06BF17">
      <w:pPr>
        <w:keepNext/>
        <w:spacing w:before="200" w:after="80"/>
        <w:jc w:val="both"/>
      </w:pPr>
      <w:r>
        <w:rPr>
          <w:rFonts w:ascii="Times New Roman" w:hAnsi="Times New Roman"/>
          <w:b/>
          <w:color w:val="333333"/>
          <w:sz w:val="23"/>
        </w:rPr>
        <w:t>3.2 ADBG Synthetic Benchmark Generation</w:t>
      </w:r>
    </w:p>
    <w:p w14:paraId="383AC2B0">
      <w:pPr>
        <w:keepNext/>
        <w:spacing w:before="160" w:after="40"/>
        <w:jc w:val="both"/>
      </w:pPr>
      <w:r>
        <w:rPr>
          <w:rFonts w:ascii="Times New Roman" w:hAnsi="Times New Roman"/>
          <w:b/>
          <w:i/>
          <w:sz w:val="21"/>
        </w:rPr>
        <w:t>3.2.1 Seed-Deterministic Profile Generation</w:t>
      </w:r>
    </w:p>
    <w:p w14:paraId="3DE06DD2">
      <w:pPr>
        <w:spacing w:before="40" w:after="80" w:line="276" w:lineRule="auto"/>
        <w:jc w:val="both"/>
      </w:pPr>
      <w:r>
        <w:rPr>
          <w:rFonts w:ascii="Times New Roman" w:hAnsi="Times New Roman"/>
          <w:sz w:val="20"/>
        </w:rPr>
        <w:t>ADBG v1.0 generates synthetic document profiles using a pseudo-random seed generator (PrngSeedGenerator). Seed initialization ensures that identical seed parameters produce identical document text, field layout coordinates, and visual degradation artifacts across runs [26]:</w:t>
      </w:r>
    </w:p>
    <w:p w14:paraId="3C59182E">
      <w:pPr>
        <w:keepNext/>
        <w:spacing w:before="160" w:after="40"/>
        <w:jc w:val="both"/>
      </w:pPr>
      <w:r>
        <w:rPr>
          <w:rFonts w:ascii="Times New Roman" w:hAnsi="Times New Roman"/>
          <w:b/>
          <w:i/>
          <w:sz w:val="21"/>
        </w:rPr>
        <w:t>3.2.2 Template Compilation Engine</w:t>
      </w:r>
    </w:p>
    <w:p w14:paraId="66057628">
      <w:pPr>
        <w:spacing w:before="40" w:after="80" w:line="276" w:lineRule="auto"/>
        <w:jc w:val="both"/>
      </w:pPr>
      <w:r>
        <w:rPr>
          <w:rFonts w:ascii="Times New Roman" w:hAnsi="Times New Roman"/>
          <w:sz w:val="20"/>
        </w:rPr>
        <w:t>The generator utilizes a Typst vector compilation backend (TypstCompilerAdapter) [29] to render high-resolution academic documents. Three primary document categories are supported:</w:t>
      </w:r>
    </w:p>
    <w:p w14:paraId="684A91F9">
      <w:pPr>
        <w:spacing w:before="20" w:after="40"/>
        <w:ind w:left="360"/>
        <w:jc w:val="both"/>
      </w:pPr>
      <w:r>
        <w:rPr>
          <w:rFonts w:ascii="Times New Roman" w:hAnsi="Times New Roman"/>
          <w:b/>
          <w:sz w:val="20"/>
        </w:rPr>
        <w:t>1. Academic Certificates</w:t>
      </w:r>
      <w:r>
        <w:rPr>
          <w:rFonts w:ascii="Times New Roman" w:hAnsi="Times New Roman"/>
          <w:sz w:val="20"/>
        </w:rPr>
        <w:t>: Degree awards, honor certificates, and course completion diplomas.</w:t>
      </w:r>
    </w:p>
    <w:p w14:paraId="480C1CF1">
      <w:pPr>
        <w:spacing w:before="20" w:after="40"/>
        <w:ind w:left="360"/>
        <w:jc w:val="both"/>
      </w:pPr>
      <w:r>
        <w:rPr>
          <w:rFonts w:ascii="Times New Roman" w:hAnsi="Times New Roman"/>
          <w:b/>
          <w:sz w:val="20"/>
        </w:rPr>
        <w:t>2. Academic Marksheets</w:t>
      </w:r>
      <w:r>
        <w:rPr>
          <w:rFonts w:ascii="Times New Roman" w:hAnsi="Times New Roman"/>
          <w:sz w:val="20"/>
        </w:rPr>
        <w:t>: Semester grade reports featuring multi-column subject arrays (Course Code, Subject Name, Credits, Grade Point, Letter Grade, SGPA/CGPA) [29].</w:t>
      </w:r>
    </w:p>
    <w:p w14:paraId="024B2AD0">
      <w:pPr>
        <w:spacing w:before="20" w:after="40"/>
        <w:ind w:left="360"/>
        <w:jc w:val="both"/>
      </w:pPr>
      <w:r>
        <w:rPr>
          <w:rFonts w:ascii="Times New Roman" w:hAnsi="Times New Roman"/>
          <w:b/>
          <w:sz w:val="20"/>
        </w:rPr>
        <w:t>3. Student ID Cards</w:t>
      </w:r>
      <w:r>
        <w:rPr>
          <w:rFonts w:ascii="Times New Roman" w:hAnsi="Times New Roman"/>
          <w:sz w:val="20"/>
        </w:rPr>
        <w:t>: Institutional identity cards containing student photographs, enrollment numbers, program titles, and issuing authority signatures.</w:t>
      </w:r>
    </w:p>
    <w:p w14:paraId="0CC5B1A8">
      <w:pPr>
        <w:keepNext/>
        <w:spacing w:before="160" w:after="40"/>
        <w:jc w:val="both"/>
      </w:pPr>
      <w:r>
        <w:rPr>
          <w:rFonts w:ascii="Times New Roman" w:hAnsi="Times New Roman"/>
          <w:b/>
          <w:i/>
          <w:sz w:val="21"/>
        </w:rPr>
        <w:t>3.2.3 Optical Degradation Pipeline</w:t>
      </w:r>
    </w:p>
    <w:p w14:paraId="124A208C">
      <w:pPr>
        <w:spacing w:before="40" w:after="80" w:line="276" w:lineRule="auto"/>
        <w:jc w:val="both"/>
      </w:pPr>
      <w:r>
        <w:rPr>
          <w:rFonts w:ascii="Times New Roman" w:hAnsi="Times New Roman"/>
          <w:sz w:val="20"/>
        </w:rPr>
        <w:t>To simulate physical document scanner aging, mobile camera capture distortion, and orientation misalignment, ADBG v1.0 applies a sequence of 14 physical optical transformation operators [27]:</w:t>
      </w:r>
    </w:p>
    <w:p w14:paraId="6CEDD625">
      <w:pPr>
        <w:spacing w:before="40" w:after="80" w:line="276" w:lineRule="auto"/>
        <w:jc w:val="both"/>
      </w:pPr>
      <w:r>
        <w:rPr>
          <w:rFonts w:ascii="Times New Roman" w:hAnsi="Times New Roman"/>
          <w:sz w:val="20"/>
        </w:rPr>
        <w:t>Four standard quality profiles are instantiated in AU_DIC_Benchmark_v1.0:</w:t>
      </w:r>
    </w:p>
    <w:p w14:paraId="3ECCCEA6">
      <w:pPr>
        <w:pStyle w:val="23"/>
        <w:spacing w:before="20" w:after="40"/>
        <w:jc w:val="both"/>
      </w:pPr>
      <w:r>
        <w:rPr>
          <w:rFonts w:ascii="Times New Roman" w:hAnsi="Times New Roman"/>
          <w:b/>
          <w:sz w:val="20"/>
        </w:rPr>
        <w:t>clean</w:t>
      </w:r>
      <w:r>
        <w:rPr>
          <w:rFonts w:ascii="Times New Roman" w:hAnsi="Times New Roman"/>
          <w:sz w:val="20"/>
        </w:rPr>
        <w:t>: Pristine vector-rendered digital PDF exports (0% degradation).</w:t>
      </w:r>
    </w:p>
    <w:p w14:paraId="54932447">
      <w:pPr>
        <w:pStyle w:val="23"/>
        <w:spacing w:before="20" w:after="40"/>
        <w:jc w:val="both"/>
      </w:pPr>
      <w:r>
        <w:rPr>
          <w:rFonts w:ascii="Times New Roman" w:hAnsi="Times New Roman"/>
          <w:b/>
          <w:sz w:val="20"/>
        </w:rPr>
        <w:t>scanner_copy</w:t>
      </w:r>
      <w:r>
        <w:rPr>
          <w:rFonts w:ascii="Times New Roman" w:hAnsi="Times New Roman"/>
          <w:sz w:val="20"/>
        </w:rPr>
        <w:t>: Simulated flatbed scanner copy with grayscaling, mild speckle noise, and light edge fading.</w:t>
      </w:r>
    </w:p>
    <w:p w14:paraId="66318A88">
      <w:pPr>
        <w:pStyle w:val="23"/>
        <w:spacing w:before="20" w:after="40"/>
        <w:jc w:val="both"/>
      </w:pPr>
      <w:r>
        <w:rPr>
          <w:rFonts w:ascii="Times New Roman" w:hAnsi="Times New Roman"/>
          <w:b/>
          <w:sz w:val="20"/>
        </w:rPr>
        <w:t>mobile_camera</w:t>
      </w:r>
      <w:r>
        <w:rPr>
          <w:rFonts w:ascii="Times New Roman" w:hAnsi="Times New Roman"/>
          <w:sz w:val="20"/>
        </w:rPr>
        <w:t>: Simulated handheld camera capture with non-uniform lighting, perspective skew, and radial lens distortion.</w:t>
      </w:r>
    </w:p>
    <w:p w14:paraId="4E641D39">
      <w:pPr>
        <w:pStyle w:val="23"/>
        <w:spacing w:before="20" w:after="40"/>
        <w:jc w:val="both"/>
      </w:pPr>
      <w:r>
        <w:rPr>
          <w:rFonts w:ascii="Times New Roman" w:hAnsi="Times New Roman"/>
          <w:b/>
          <w:sz w:val="20"/>
        </w:rPr>
        <w:t>rotated_90</w:t>
      </w:r>
      <w:r>
        <w:rPr>
          <w:rFonts w:ascii="Times New Roman" w:hAnsi="Times New Roman"/>
          <w:sz w:val="20"/>
        </w:rPr>
        <w:t>: Image specimens rotated 90 degrees clockwise to evaluate orientation detection.</w:t>
      </w:r>
    </w:p>
    <w:p w14:paraId="4696E7C1">
      <w:pPr>
        <w:keepNext/>
        <w:spacing w:before="200" w:after="80"/>
        <w:jc w:val="both"/>
      </w:pPr>
      <w:r>
        <w:rPr>
          <w:rFonts w:ascii="Times New Roman" w:hAnsi="Times New Roman"/>
          <w:b/>
          <w:color w:val="333333"/>
          <w:sz w:val="23"/>
        </w:rPr>
        <w:t>3.3 AU DIC Evaluation Framework Subsystem</w:t>
      </w:r>
    </w:p>
    <w:p w14:paraId="18E10F61">
      <w:pPr>
        <w:spacing w:before="40" w:after="80" w:line="276" w:lineRule="auto"/>
        <w:jc w:val="both"/>
      </w:pPr>
      <w:r>
        <w:rPr>
          <w:rFonts w:ascii="Times New Roman" w:hAnsi="Times New Roman"/>
          <w:sz w:val="20"/>
        </w:rPr>
        <w:t>The benchmark runner (BenchmarkRunner) operates strictly in read-only mode (isReadOnly: true) [31]. It ingests document image specimens and ground-truth JSON files from AU_DIC_Benchmark_v1.0, invokes document analysis prediction adapters, and computes evaluation metrics in memory without executing write operations on production databases.</w:t>
      </w:r>
    </w:p>
    <w:p w14:paraId="1AE13932">
      <w:pPr>
        <w:keepNext/>
        <w:spacing w:before="200" w:after="80"/>
        <w:jc w:val="both"/>
      </w:pPr>
      <w:r>
        <w:rPr>
          <w:rFonts w:ascii="Times New Roman" w:hAnsi="Times New Roman"/>
          <w:b/>
          <w:color w:val="333333"/>
          <w:sz w:val="23"/>
        </w:rPr>
        <w:t>3.4 Six-Stage Semantic Canonical Normalization Layer</w:t>
      </w:r>
    </w:p>
    <w:p w14:paraId="7A562799">
      <w:pPr>
        <w:spacing w:before="40" w:after="80" w:line="276" w:lineRule="auto"/>
        <w:jc w:val="both"/>
      </w:pPr>
      <w:r>
        <w:rPr>
          <w:rFonts w:ascii="Times New Roman" w:hAnsi="Times New Roman"/>
          <w:sz w:val="20"/>
        </w:rPr>
        <w:t>Raw text extracted by OCR models often contains superficial formatting variations (e.g., date formatting, whitespace padding, numerical precision differences) that cause standard string equality metrics to return false negative errors [25], [36]. To isolate genuine recognition failures, the framework routes predicted and expected string values through a six-stage semantic normalizer (CanonicalNormalizer):</w:t>
      </w:r>
    </w:p>
    <w:p w14:paraId="0CE61FBC">
      <w:pPr>
        <w:spacing w:before="20" w:after="40"/>
        <w:ind w:left="360"/>
        <w:jc w:val="both"/>
      </w:pPr>
      <w:r>
        <w:rPr>
          <w:rFonts w:ascii="Times New Roman" w:hAnsi="Times New Roman"/>
          <w:b/>
          <w:sz w:val="20"/>
        </w:rPr>
        <w:t>1. Stage 1: Case &amp; Whitespace Normalization</w:t>
      </w:r>
      <w:r>
        <w:rPr>
          <w:rFonts w:ascii="Times New Roman" w:hAnsi="Times New Roman"/>
          <w:sz w:val="20"/>
        </w:rPr>
        <w:t>: Converts characters to lower-case, trims leading/trailing whitespace, and collapses multiple internal space characters into single spaces.</w:t>
      </w:r>
    </w:p>
    <w:p w14:paraId="0C5B2613">
      <w:pPr>
        <w:spacing w:before="20" w:after="40"/>
        <w:ind w:left="360"/>
        <w:jc w:val="both"/>
      </w:pPr>
      <w:r>
        <w:rPr>
          <w:rFonts w:ascii="Times New Roman" w:hAnsi="Times New Roman"/>
          <w:b/>
          <w:sz w:val="20"/>
        </w:rPr>
        <w:t>2. Stage 2: ISO Date Canonicalization</w:t>
      </w:r>
      <w:r>
        <w:rPr>
          <w:rFonts w:ascii="Times New Roman" w:hAnsi="Times New Roman"/>
          <w:sz w:val="20"/>
        </w:rPr>
        <w:t>: Standardizes diverse date formats (04/08/2026, August 4, 2026, 2026.08.04) into ISO-8601 string representations (YYYY-MM-DD).</w:t>
      </w:r>
    </w:p>
    <w:p w14:paraId="297FCACD">
      <w:pPr>
        <w:spacing w:before="20" w:after="40"/>
        <w:ind w:left="360"/>
        <w:jc w:val="both"/>
      </w:pPr>
      <w:r>
        <w:rPr>
          <w:rFonts w:ascii="Times New Roman" w:hAnsi="Times New Roman"/>
          <w:b/>
          <w:sz w:val="20"/>
        </w:rPr>
        <w:t>3. Stage 3: Identifier Canonicalization</w:t>
      </w:r>
      <w:r>
        <w:rPr>
          <w:rFonts w:ascii="Times New Roman" w:hAnsi="Times New Roman"/>
          <w:sz w:val="20"/>
        </w:rPr>
        <w:t>: Strips non-alphanumeric separator characters (hyphens, slashes, spaces) from candidate roll numbers and registration IDs.</w:t>
      </w:r>
    </w:p>
    <w:p w14:paraId="4317808F">
      <w:pPr>
        <w:spacing w:before="20" w:after="40"/>
        <w:ind w:left="360"/>
        <w:jc w:val="both"/>
      </w:pPr>
      <w:r>
        <w:rPr>
          <w:rFonts w:ascii="Times New Roman" w:hAnsi="Times New Roman"/>
          <w:b/>
          <w:sz w:val="20"/>
        </w:rPr>
        <w:t>4. Stage 4: Numerical Precision Standardizer</w:t>
      </w:r>
      <w:r>
        <w:rPr>
          <w:rFonts w:ascii="Times New Roman" w:hAnsi="Times New Roman"/>
          <w:sz w:val="20"/>
        </w:rPr>
        <w:t>: Parses floating-point marks, SGPA/CGPA values, and percentages, formatting numeric values to fixed two-decimal precision.</w:t>
      </w:r>
    </w:p>
    <w:p w14:paraId="3D11C455">
      <w:pPr>
        <w:spacing w:before="20" w:after="40"/>
        <w:ind w:left="360"/>
        <w:jc w:val="both"/>
      </w:pPr>
      <w:r>
        <w:rPr>
          <w:rFonts w:ascii="Times New Roman" w:hAnsi="Times New Roman"/>
          <w:b/>
          <w:sz w:val="20"/>
        </w:rPr>
        <w:t>5. Stage 5: Institutional Alias Mapping</w:t>
      </w:r>
      <w:r>
        <w:rPr>
          <w:rFonts w:ascii="Times New Roman" w:hAnsi="Times New Roman"/>
          <w:sz w:val="20"/>
        </w:rPr>
        <w:t xml:space="preserve">: Maps common university name abbreviations (e.g., MIT </w:t>
      </w:r>
      <ns3:oMath>
        <ns3:r>
          <ns3:rPr/>
          <w:rPr>
            <w:rFonts w:ascii="Cambria Math" w:hAnsi="Cambria Math"/>
          </w:rPr>
          <ns3:t>→</ns3:t>
        </ns3:r>
      </ns3:oMath>
      <w:r>
        <w:rPr>
          <w:rFonts w:ascii="Times New Roman" w:hAnsi="Times New Roman"/>
          <w:sz w:val="20"/>
        </w:rPr>
        <w:t xml:space="preserve"> Massachusetts Institute of Technology) using an institutional lexicon directory.</w:t>
      </w:r>
    </w:p>
    <w:p w14:paraId="1D52BC4C">
      <w:pPr>
        <w:spacing w:before="20" w:after="40"/>
        <w:ind w:left="360"/>
        <w:jc w:val="both"/>
      </w:pPr>
      <w:r>
        <w:rPr>
          <w:rFonts w:ascii="Times New Roman" w:hAnsi="Times New Roman"/>
          <w:b/>
          <w:sz w:val="20"/>
        </w:rPr>
        <w:t>6. Stage 6: Canonical Honorific Removal</w:t>
      </w:r>
      <w:r>
        <w:rPr>
          <w:rFonts w:ascii="Times New Roman" w:hAnsi="Times New Roman"/>
          <w:sz w:val="20"/>
        </w:rPr>
        <w:t>: Removes standard honorific prefixes (Mr., Ms., Dr., Prof.) prior to candidate name comparison.</w:t>
      </w:r>
    </w:p>
    <w:p w14:paraId="78943BA5">
      <w:pPr>
        <w:keepNext/>
        <w:spacing w:before="200" w:after="80"/>
        <w:jc w:val="both"/>
      </w:pPr>
      <w:r>
        <w:rPr>
          <w:rFonts w:ascii="Times New Roman" w:hAnsi="Times New Roman"/>
          <w:b/>
          <w:color w:val="333333"/>
          <w:sz w:val="23"/>
        </w:rPr>
        <w:t>3.5 Nine-Class Structured OCR Error Taxonomy</w:t>
      </w:r>
    </w:p>
    <w:p w14:paraId="4ABA0F56">
      <w:pPr>
        <w:spacing w:before="40" w:after="80" w:line="276" w:lineRule="auto"/>
        <w:jc w:val="both"/>
      </w:pPr>
      <w:r>
        <w:rPr>
          <w:rFonts w:ascii="Times New Roman" w:hAnsi="Times New Roman"/>
          <w:sz w:val="20"/>
        </w:rPr>
        <w:t>When an extracted field value deviates from ground truth after canonical normalization, the evaluation engine categorizes the failure into one of nine structured error classes [28], [37]:</w:t>
      </w:r>
    </w:p>
    <w:p w14:paraId="2D8453A1">
      <w:pPr>
        <w:keepNext/>
        <w:spacing w:before="160" w:after="40"/>
        <w:jc w:val="both"/>
      </w:pPr>
      <w:r>
        <w:rPr>
          <w:rFonts w:ascii="Times New Roman" w:hAnsi="Times New Roman"/>
          <w:b/>
          <w:i/>
          <w:sz w:val="21"/>
        </w:rPr>
        <w:t>3.5.1 Scientific Definition and Justification of NORMALIZATION_ERROR</w:t>
      </w:r>
    </w:p>
    <w:p w14:paraId="73516041">
      <w:pPr>
        <w:spacing w:before="40" w:after="80" w:line="276" w:lineRule="auto"/>
        <w:jc w:val="both"/>
      </w:pPr>
      <w:r>
        <w:rPr>
          <w:rFonts w:ascii="Times New Roman" w:hAnsi="Times New Roman"/>
          <w:sz w:val="20"/>
        </w:rPr>
        <w:t xml:space="preserve">A potential ambiguity in field comparison is distinguishing superficial representation differences from true recognition errors. To eliminate this ambiguity, the AU DIC evaluation engine assigns NORMALIZATION_ERROR </w:t>
      </w:r>
      <w:r>
        <w:rPr>
          <w:rFonts w:ascii="Times New Roman" w:hAnsi="Times New Roman"/>
          <w:b/>
          <w:sz w:val="20"/>
        </w:rPr>
        <w:t>only when ALL of the following five conditions are satisfied</w:t>
      </w:r>
      <w:r>
        <w:rPr>
          <w:rFonts w:ascii="Times New Roman" w:hAnsi="Times New Roman"/>
          <w:sz w:val="20"/>
        </w:rPr>
        <w:t>:</w:t>
      </w:r>
    </w:p>
    <w:p w14:paraId="6EDB1F2E">
      <w:pPr>
        <w:spacing w:before="20" w:after="40"/>
        <w:ind w:left="360"/>
        <w:jc w:val="both"/>
      </w:pPr>
      <w:r>
        <w:rPr>
          <w:rFonts w:ascii="Times New Roman" w:hAnsi="Times New Roman"/>
          <w:b/>
          <w:sz w:val="20"/>
        </w:rPr>
        <w:t>1. Pipeline Traversal</w:t>
      </w:r>
      <w:r>
        <w:rPr>
          <w:rFonts w:ascii="Times New Roman" w:hAnsi="Times New Roman"/>
          <w:sz w:val="20"/>
        </w:rPr>
        <w:t>: The candidate field has successfully passed through the complete six-stage semantic normalization layer (CanonicalNormalizer).</w:t>
      </w:r>
    </w:p>
    <w:p w14:paraId="191C4B62">
      <w:pPr>
        <w:spacing w:before="20" w:after="40"/>
        <w:ind w:left="360"/>
        <w:jc w:val="both"/>
      </w:pPr>
      <w:r>
        <w:rPr>
          <w:rFonts w:ascii="Times New Roman" w:hAnsi="Times New Roman"/>
          <w:b/>
          <w:sz w:val="20"/>
        </w:rPr>
        <w:t>2. Valid Canonical Representations</w:t>
      </w:r>
      <w:r>
        <w:rPr>
          <w:rFonts w:ascii="Times New Roman" w:hAnsi="Times New Roman"/>
          <w:sz w:val="20"/>
        </w:rPr>
        <w:t>: Both Ground Truth (</w:t>
      </w:r>
      <ns3:oMath>
        <ns3:sSub>
          <ns3:sSubPr/>
          <ns3:e>
            <ns3:r>
              <ns3:rPr/>
              <w:rPr>
                <w:rFonts w:ascii="Cambria Math" w:hAnsi="Cambria Math"/>
              </w:rPr>
              <ns3:t>V</ns3:t>
            </ns3:r>
          </ns3:e>
          <ns3:sub>
            <ns3:r>
              <ns3:rPr/>
              <w:rPr>
                <w:rFonts w:ascii="Times New Roman" w:hAnsi="Times New Roman"/>
              </w:rPr>
              <ns3:t>GT</ns3:t>
            </ns3:r>
          </ns3:sub>
        </ns3:sSub>
      </ns3:oMath>
      <w:r>
        <w:rPr>
          <w:rFonts w:ascii="Times New Roman" w:hAnsi="Times New Roman"/>
          <w:sz w:val="20"/>
        </w:rPr>
        <w:t>) and Prediction (</w:t>
      </w:r>
      <ns3:oMath>
        <ns3:acc>
          <ns3:accPr/>
          <ns3:e>
            <ns3:r>
              <ns3:rPr/>
              <w:rPr>
                <w:rFonts w:ascii="Cambria Math" w:hAnsi="Cambria Math"/>
              </w:rPr>
              <ns3:t>V</ns3:t>
            </ns3:r>
          </ns3:e>
        </ns3:acc>
      </ns3:oMath>
      <w:r>
        <w:rPr>
          <w:rFonts w:ascii="Times New Roman" w:hAnsi="Times New Roman"/>
          <w:sz w:val="20"/>
        </w:rPr>
        <w:t>) possess valid, parseable canonical representations.</w:t>
      </w:r>
    </w:p>
    <w:p w14:paraId="33D0A898">
      <w:pPr>
        <w:spacing w:before="20" w:after="40"/>
        <w:ind w:left="360"/>
        <w:jc w:val="both"/>
      </w:pPr>
      <w:r>
        <w:rPr>
          <w:rFonts w:ascii="Times New Roman" w:hAnsi="Times New Roman"/>
          <w:b/>
          <w:sz w:val="20"/>
        </w:rPr>
        <w:t>3. Elimination of Formatting Artifacts</w:t>
      </w:r>
      <w:r>
        <w:rPr>
          <w:rFonts w:ascii="Times New Roman" w:hAnsi="Times New Roman"/>
          <w:sz w:val="20"/>
        </w:rPr>
        <w:t>: Superficial formatting variations (date syntax, whitespace padding, case differences, numeric precision, alias expansions) have already been fully eliminated.</w:t>
      </w:r>
    </w:p>
    <w:p w14:paraId="4F7A49B7">
      <w:pPr>
        <w:spacing w:before="20" w:after="40"/>
        <w:ind w:left="360"/>
        <w:jc w:val="both"/>
      </w:pPr>
      <w:r>
        <w:rPr>
          <w:rFonts w:ascii="Times New Roman" w:hAnsi="Times New Roman"/>
          <w:b/>
          <w:sz w:val="20"/>
        </w:rPr>
        <w:t>4. Canonical Discrepancy</w:t>
      </w:r>
      <w:r>
        <w:rPr>
          <w:rFonts w:ascii="Times New Roman" w:hAnsi="Times New Roman"/>
          <w:sz w:val="20"/>
        </w:rPr>
        <w:t>: The canonical representations remain strictly unequal (</w:t>
      </w:r>
      <ns3:oMath>
        <ns3:r>
          <ns3:rPr/>
          <w:rPr>
            <w:rFonts w:ascii="Cambria Math" w:hAnsi="Cambria Math"/>
          </w:rPr>
          <ns3:t>C(</ns3:t>
        </ns3:r>
        <ns3:sSub>
          <ns3:sSubPr/>
          <ns3:e>
            <ns3:r>
              <ns3:rPr/>
              <w:rPr>
                <w:rFonts w:ascii="Cambria Math" w:hAnsi="Cambria Math"/>
              </w:rPr>
              <ns3:t>V</ns3:t>
            </ns3:r>
          </ns3:e>
          <ns3:sub>
            <ns3:r>
              <ns3:rPr/>
              <w:rPr>
                <w:rFonts w:ascii="Times New Roman" w:hAnsi="Times New Roman"/>
              </w:rPr>
              <ns3:t>GT</ns3:t>
            </ns3:r>
          </ns3:sub>
        </ns3:sSub>
        <ns3:r>
          <ns3:rPr/>
          <w:rPr>
            <w:rFonts w:ascii="Cambria Math" w:hAnsi="Cambria Math"/>
          </w:rPr>
          <ns3:t>)≠C(</ns3:t>
        </ns3:r>
        <ns3:acc>
          <ns3:accPr/>
          <ns3:e>
            <ns3:r>
              <ns3:rPr/>
              <w:rPr>
                <w:rFonts w:ascii="Cambria Math" w:hAnsi="Cambria Math"/>
              </w:rPr>
              <ns3:t>V</ns3:t>
            </ns3:r>
          </ns3:e>
        </ns3:acc>
        <ns3:r>
          <ns3:rPr/>
          <w:rPr>
            <w:rFonts w:ascii="Cambria Math" w:hAnsi="Cambria Math"/>
          </w:rPr>
          <ns3:t>)</ns3:t>
        </ns3:r>
      </ns3:oMath>
      <w:r>
        <w:rPr>
          <w:rFonts w:ascii="Times New Roman" w:hAnsi="Times New Roman"/>
          <w:sz w:val="20"/>
        </w:rPr>
        <w:t>).</w:t>
      </w:r>
    </w:p>
    <w:p w14:paraId="700F36BA">
      <w:pPr>
        <w:spacing w:before="20" w:after="40"/>
        <w:ind w:left="360"/>
        <w:jc w:val="both"/>
      </w:pPr>
      <w:r>
        <w:rPr>
          <w:rFonts w:ascii="Times New Roman" w:hAnsi="Times New Roman"/>
          <w:b/>
          <w:sz w:val="20"/>
        </w:rPr>
        <w:t>5. Genuine Semantic Mismatch</w:t>
      </w:r>
      <w:r>
        <w:rPr>
          <w:rFonts w:ascii="Times New Roman" w:hAnsi="Times New Roman"/>
          <w:sz w:val="20"/>
        </w:rPr>
        <w:t>: Consequently, the remaining discrepancy represents a genuine semantic character or value mismatch rather than a formatting variation.</w:t>
      </w:r>
    </w:p>
    <w:p w14:paraId="6BB7F078">
      <w:pPr>
        <w:spacing w:before="40" w:after="80" w:line="276" w:lineRule="auto"/>
        <w:jc w:val="both"/>
      </w:pPr>
      <w:r>
        <w:rPr>
          <w:rFonts w:ascii="Times New Roman" w:hAnsi="Times New Roman"/>
          <w:sz w:val="20"/>
        </w:rPr>
        <w:t>The purpose of NORMALIZATION_ERROR is to prevent semantic mismatches from being incorrectly attributed to superficial formatting variations [25], [28], [37]. By evaluating only canonical representations, the benchmark distinguishes genuine information extraction failures from benign representation differences.</w:t>
      </w:r>
    </w:p>
    <w:p w14:paraId="6003577E">
      <w:pPr>
        <w:keepNext/>
        <w:spacing w:before="160" w:after="40"/>
        <w:jc w:val="both"/>
      </w:pPr>
      <w:r>
        <w:rPr>
          <w:rFonts w:ascii="Times New Roman" w:hAnsi="Times New Roman"/>
          <w:b/>
          <w:i/>
          <w:sz w:val="21"/>
        </w:rPr>
        <w:t>3.5.2 Canonical Comparison Workflow &amp; Non-Overlapping Taxonomy Boundaries</w:t>
      </w:r>
    </w:p>
    <w:p w14:paraId="0B0D7478">
      <w:pPr>
        <w:spacing w:before="40" w:after="80" w:line="276" w:lineRule="auto"/>
        <w:jc w:val="both"/>
      </w:pPr>
      <w:r>
        <w:rPr>
          <w:rFonts w:ascii="Times New Roman" w:hAnsi="Times New Roman"/>
          <w:sz w:val="20"/>
        </w:rPr>
        <w:t>To ensure taxonomic independence, each error class maintains a strict, non-overlapping responsibility [28], [37]:</w:t>
      </w:r>
    </w:p>
    <w:p w14:paraId="3F9FC34A">
      <w:pPr>
        <w:pStyle w:val="23"/>
        <w:spacing w:before="20" w:after="40"/>
        <w:jc w:val="both"/>
      </w:pPr>
      <w:r>
        <w:rPr>
          <w:rFonts w:ascii="Times New Roman" w:hAnsi="Times New Roman"/>
          <w:b/>
          <w:sz w:val="20"/>
        </w:rPr>
        <w:t>EXACT_MATCH</w:t>
      </w:r>
      <w:r>
        <w:rPr>
          <w:rFonts w:ascii="Times New Roman" w:hAnsi="Times New Roman"/>
          <w:sz w:val="20"/>
        </w:rPr>
        <w:t>: Raw predicted string identically matches raw ground truth string prior to normalization.</w:t>
      </w:r>
    </w:p>
    <w:p w14:paraId="72625B37">
      <w:pPr>
        <w:pStyle w:val="23"/>
        <w:spacing w:before="20" w:after="40"/>
        <w:jc w:val="both"/>
      </w:pPr>
      <w:r>
        <w:rPr>
          <w:rFonts w:ascii="Times New Roman" w:hAnsi="Times New Roman"/>
          <w:b/>
          <w:sz w:val="20"/>
        </w:rPr>
        <w:t>FORMAT_ERROR</w:t>
      </w:r>
      <w:r>
        <w:rPr>
          <w:rFonts w:ascii="Times New Roman" w:hAnsi="Times New Roman"/>
          <w:sz w:val="20"/>
        </w:rPr>
        <w:t xml:space="preserve">: Raw strings differ, but match identically </w:t>
      </w:r>
      <w:r>
        <w:rPr>
          <w:rFonts w:ascii="Times New Roman" w:hAnsi="Times New Roman"/>
          <w:i/>
          <w:sz w:val="20"/>
        </w:rPr>
        <w:t>after</w:t>
      </w:r>
      <w:r>
        <w:rPr>
          <w:rFonts w:ascii="Times New Roman" w:hAnsi="Times New Roman"/>
          <w:sz w:val="20"/>
        </w:rPr>
        <w:t xml:space="preserve"> canonical normalization (confirming a benign formatting discrepancy).</w:t>
      </w:r>
    </w:p>
    <w:p w14:paraId="5FDFB5BE">
      <w:pPr>
        <w:pStyle w:val="23"/>
        <w:spacing w:before="20" w:after="40"/>
        <w:jc w:val="both"/>
      </w:pPr>
      <w:r>
        <w:rPr>
          <w:rFonts w:ascii="Times New Roman" w:hAnsi="Times New Roman"/>
          <w:b/>
          <w:sz w:val="20"/>
        </w:rPr>
        <w:t>NORMALIZATION_ERROR</w:t>
      </w:r>
      <w:r>
        <w:rPr>
          <w:rFonts w:ascii="Times New Roman" w:hAnsi="Times New Roman"/>
          <w:sz w:val="20"/>
        </w:rPr>
        <w:t>: Both values are normalized, but their canonical representations remain unequal (</w:t>
      </w:r>
      <ns3:oMath>
        <ns3:r>
          <ns3:rPr/>
          <w:rPr>
            <w:rFonts w:ascii="Cambria Math" w:hAnsi="Cambria Math"/>
          </w:rPr>
          <ns3:t>C(</ns3:t>
        </ns3:r>
        <ns3:sSub>
          <ns3:sSubPr/>
          <ns3:e>
            <ns3:r>
              <ns3:rPr/>
              <w:rPr>
                <w:rFonts w:ascii="Cambria Math" w:hAnsi="Cambria Math"/>
              </w:rPr>
              <ns3:t>V</ns3:t>
            </ns3:r>
          </ns3:e>
          <ns3:sub>
            <ns3:r>
              <ns3:rPr/>
              <w:rPr>
                <w:rFonts w:ascii="Times New Roman" w:hAnsi="Times New Roman"/>
              </w:rPr>
              <ns3:t>GT</ns3:t>
            </ns3:r>
          </ns3:sub>
        </ns3:sSub>
        <ns3:r>
          <ns3:rPr/>
          <w:rPr>
            <w:rFonts w:ascii="Cambria Math" w:hAnsi="Cambria Math"/>
          </w:rPr>
          <ns3:t>)≠C(</ns3:t>
        </ns3:r>
        <ns3:acc>
          <ns3:accPr/>
          <ns3:e>
            <ns3:r>
              <ns3:rPr/>
              <w:rPr>
                <w:rFonts w:ascii="Cambria Math" w:hAnsi="Cambria Math"/>
              </w:rPr>
              <ns3:t>V</ns3:t>
            </ns3:r>
          </ns3:e>
        </ns3:acc>
        <ns3:r>
          <ns3:rPr/>
          <w:rPr>
            <w:rFonts w:ascii="Cambria Math" w:hAnsi="Cambria Math"/>
          </w:rPr>
          <ns3:t>)</ns3:t>
        </ns3:r>
      </ns3:oMath>
      <w:r>
        <w:rPr>
          <w:rFonts w:ascii="Times New Roman" w:hAnsi="Times New Roman"/>
          <w:sz w:val="20"/>
        </w:rPr>
        <w:t>), confirming a true semantic extraction mismatch.</w:t>
      </w:r>
    </w:p>
    <w:p w14:paraId="757A64BB">
      <w:pPr>
        <w:pStyle w:val="23"/>
        <w:spacing w:before="20" w:after="40"/>
        <w:jc w:val="both"/>
      </w:pPr>
      <w:r>
        <w:rPr>
          <w:rFonts w:ascii="Times New Roman" w:hAnsi="Times New Roman"/>
          <w:b/>
          <w:sz w:val="20"/>
        </w:rPr>
        <w:t>OCR_ERROR</w:t>
      </w:r>
      <w:r>
        <w:rPr>
          <w:rFonts w:ascii="Times New Roman" w:hAnsi="Times New Roman"/>
          <w:sz w:val="20"/>
        </w:rPr>
        <w:t>: Character substitutions/deletions caused directly by physical optical degradation artifacts (blur, camera skew, noise) [27].</w:t>
      </w:r>
    </w:p>
    <w:p w14:paraId="17AEAE09">
      <w:pPr>
        <w:pStyle w:val="23"/>
        <w:spacing w:before="20" w:after="40"/>
        <w:jc w:val="both"/>
      </w:pPr>
      <w:r>
        <w:rPr>
          <w:rFonts w:ascii="Times New Roman" w:hAnsi="Times New Roman"/>
          <w:b/>
          <w:sz w:val="20"/>
        </w:rPr>
        <w:t>FIELD_MISSING</w:t>
      </w:r>
      <w:r>
        <w:rPr>
          <w:rFonts w:ascii="Times New Roman" w:hAnsi="Times New Roman"/>
          <w:sz w:val="20"/>
        </w:rPr>
        <w:t>: Target key entity is entirely absent from the model output JSON payload.</w:t>
      </w:r>
    </w:p>
    <w:p w14:paraId="5C03F649">
      <w:pPr>
        <w:pStyle w:val="23"/>
        <w:spacing w:before="20" w:after="40"/>
        <w:jc w:val="both"/>
      </w:pPr>
      <w:r>
        <w:rPr>
          <w:rFonts w:ascii="Times New Roman" w:hAnsi="Times New Roman"/>
          <w:b/>
          <w:sz w:val="20"/>
        </w:rPr>
        <w:t>HALLUCINATION</w:t>
      </w:r>
      <w:r>
        <w:rPr>
          <w:rFonts w:ascii="Times New Roman" w:hAnsi="Times New Roman"/>
          <w:sz w:val="20"/>
        </w:rPr>
        <w:t>: Predicted entity contains text content completely absent from the source document image.</w:t>
      </w:r>
    </w:p>
    <w:p w14:paraId="726E9FDF">
      <w:pPr>
        <w:spacing w:before="40" w:after="80" w:line="276" w:lineRule="auto"/>
      </w:pPr>
      <w:r>
        <w:t xml:space="preserve">Table II illustrates candidate field evaluations across the canonical normalization layer and error taxonomy classifier.</w:t>
      </w:r>
    </w:p>
    <w:p w14:paraId="2E663D9C">
      <w:pPr>
        <w:keepNext/>
        <w:spacing w:before="80" w:after="160"/>
        <w:jc w:val="center"/>
      </w:pPr>
      <w:r>
        <w:t xml:space="preserve">Table II: Canonical Normalization Comparison Examples and Error Categorization</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2340"/>
        <w:gridCol w:w="2340"/>
        <w:gridCol w:w="2340"/>
        <w:gridCol w:w="2460"/>
      </w:tblGrid>
      <w:tr w14:paraId="67048C78">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003366"/>
            <w:tcMar>
              <w:top w:w="100" w:type="dxa"/>
              <w:left w:w="130" w:type="dxa"/>
              <w:bottom w:w="100" w:type="dxa"/>
              <w:right w:w="130" w:type="dxa"/>
            </w:tcMar>
          </w:tcPr>
          <w:p w14:paraId="45A14EED">
            <w:pPr>
              <w:spacing w:before="40" w:after="40"/>
              <w:jc w:val="center"/>
            </w:pPr>
            <w:r>
              <w:rPr>
                <w:rFonts w:ascii="Times New Roman" w:hAnsi="Times New Roman"/>
                <w:b/>
                <w:color w:val="FFFFFF"/>
                <w:sz w:val="19"/>
              </w:rPr>
              <w:t>Ground Truth (</w:t>
            </w:r>
            <ns3:oMath>
              <ns3:sSub>
                <ns3:sSubPr/>
                <ns3:e>
                  <ns3:r>
                    <ns3:rPr/>
                    <w:rPr>
                      <w:rFonts w:ascii="Cambria Math" w:hAnsi="Cambria Math"/>
                    </w:rPr>
                    <ns3:t>V</ns3:t>
                  </ns3:r>
                </ns3:e>
                <ns3:sub>
                  <ns3:r>
                    <ns3:rPr/>
                    <w:rPr>
                      <w:rFonts w:ascii="Times New Roman" w:hAnsi="Times New Roman"/>
                    </w:rPr>
                    <ns3:t>GT</ns3:t>
                  </ns3:r>
                </ns3:sub>
              </ns3:sSub>
            </ns3:oMath>
            <w:r>
              <w:rPr>
                <w:rFonts w:ascii="Times New Roman" w:hAnsi="Times New Roman"/>
                <w:b/>
                <w:color w:val="FFFFFF"/>
                <w:sz w:val="19"/>
              </w:rPr>
              <w:t>)</w:t>
            </w:r>
          </w:p>
        </w:tc>
        <w:tc>
          <w:tcPr>
            <w:tcW w:w="2340" w:type="dxa"/>
            <w:shd w:val="clear" w:color="auto" w:fill="003366"/>
            <w:tcMar>
              <w:top w:w="100" w:type="dxa"/>
              <w:left w:w="130" w:type="dxa"/>
              <w:bottom w:w="100" w:type="dxa"/>
              <w:right w:w="130" w:type="dxa"/>
            </w:tcMar>
          </w:tcPr>
          <w:p w14:paraId="76619CED">
            <w:pPr>
              <w:spacing w:before="40" w:after="40"/>
              <w:jc w:val="center"/>
            </w:pPr>
            <w:r>
              <w:rPr>
                <w:rFonts w:ascii="Times New Roman" w:hAnsi="Times New Roman"/>
                <w:b/>
                <w:color w:val="FFFFFF"/>
                <w:sz w:val="19"/>
              </w:rPr>
              <w:t>Prediction (</w:t>
            </w:r>
            <ns3:oMath>
              <ns3:acc>
                <ns3:accPr/>
                <ns3:e>
                  <ns3:r>
                    <ns3:rPr/>
                    <w:rPr>
                      <w:rFonts w:ascii="Cambria Math" w:hAnsi="Cambria Math"/>
                    </w:rPr>
                    <ns3:t>V</ns3:t>
                  </ns3:r>
                </ns3:e>
              </ns3:acc>
            </ns3:oMath>
            <w:r>
              <w:rPr>
                <w:rFonts w:ascii="Times New Roman" w:hAnsi="Times New Roman"/>
                <w:b/>
                <w:color w:val="FFFFFF"/>
                <w:sz w:val="19"/>
              </w:rPr>
              <w:t>)</w:t>
            </w:r>
          </w:p>
        </w:tc>
        <w:tc>
          <w:tcPr>
            <w:tcW w:w="2340" w:type="dxa"/>
            <w:shd w:val="clear" w:color="auto" w:fill="003366"/>
            <w:tcMar>
              <w:top w:w="100" w:type="dxa"/>
              <w:left w:w="130" w:type="dxa"/>
              <w:bottom w:w="100" w:type="dxa"/>
              <w:right w:w="130" w:type="dxa"/>
            </w:tcMar>
          </w:tcPr>
          <w:p w14:paraId="7F8B6478">
            <w:pPr>
              <w:spacing w:before="40" w:after="40"/>
              <w:jc w:val="center"/>
            </w:pPr>
            <w:r>
              <w:rPr>
                <w:rFonts w:ascii="Times New Roman" w:hAnsi="Times New Roman"/>
                <w:b/>
                <w:color w:val="FFFFFF"/>
                <w:sz w:val="19"/>
              </w:rPr>
              <w:t>After Canonical Normalizer (</w:t>
            </w:r>
            <ns3:oMath>
              <ns3:r>
                <ns3:rPr/>
                <w:rPr>
                  <w:rFonts w:ascii="Cambria Math" w:hAnsi="Cambria Math"/>
                </w:rPr>
                <ns3:t>C(</ns3:t>
              </ns3:r>
              <ns3:sSub>
                <ns3:sSubPr/>
                <ns3:e>
                  <ns3:r>
                    <ns3:rPr/>
                    <w:rPr>
                      <w:rFonts w:ascii="Cambria Math" w:hAnsi="Cambria Math"/>
                    </w:rPr>
                    <ns3:t>V</ns3:t>
                  </ns3:r>
                </ns3:e>
                <ns3:sub>
                  <ns3:r>
                    <ns3:rPr/>
                    <w:rPr>
                      <w:rFonts w:ascii="Times New Roman" w:hAnsi="Times New Roman"/>
                    </w:rPr>
                    <ns3:t>GT</ns3:t>
                  </ns3:r>
                </ns3:sub>
              </ns3:sSub>
              <ns3:r>
                <ns3:rPr/>
                <w:rPr>
                  <w:rFonts w:ascii="Cambria Math" w:hAnsi="Cambria Math"/>
                </w:rPr>
                <ns3:t>)</ns3:t>
              </ns3:r>
              <ns3:r>
                <ns3:rPr/>
                <w:rPr>
                  <w:rFonts w:ascii="Times New Roman" w:hAnsi="Times New Roman"/>
                </w:rPr>
                <ns3:t>vs</ns3:t>
              </ns3:r>
              <ns3:r>
                <ns3:rPr/>
                <w:rPr>
                  <w:rFonts w:ascii="Cambria Math" w:hAnsi="Cambria Math"/>
                </w:rPr>
                <ns3:t>C(</ns3:t>
              </ns3:r>
              <ns3:acc>
                <ns3:accPr/>
                <ns3:e>
                  <ns3:r>
                    <ns3:rPr/>
                    <w:rPr>
                      <w:rFonts w:ascii="Cambria Math" w:hAnsi="Cambria Math"/>
                    </w:rPr>
                    <ns3:t>V</ns3:t>
                  </ns3:r>
                </ns3:e>
              </ns3:acc>
              <ns3:r>
                <ns3:rPr/>
                <w:rPr>
                  <w:rFonts w:ascii="Cambria Math" w:hAnsi="Cambria Math"/>
                </w:rPr>
                <ns3:t>)</ns3:t>
              </ns3:r>
            </ns3:oMath>
            <w:r>
              <w:rPr>
                <w:rFonts w:ascii="Times New Roman" w:hAnsi="Times New Roman"/>
                <w:b/>
                <w:color w:val="FFFFFF"/>
                <w:sz w:val="19"/>
              </w:rPr>
              <w:t>)</w:t>
            </w:r>
          </w:p>
        </w:tc>
        <w:tc>
          <w:tcPr>
            <w:tcW w:w="2340" w:type="dxa"/>
            <w:shd w:val="clear" w:color="auto" w:fill="003366"/>
            <w:tcMar>
              <w:top w:w="100" w:type="dxa"/>
              <w:left w:w="130" w:type="dxa"/>
              <w:bottom w:w="100" w:type="dxa"/>
              <w:right w:w="130" w:type="dxa"/>
            </w:tcMar>
          </w:tcPr>
          <w:p w14:paraId="4ED13CB3">
            <w:pPr>
              <w:spacing w:before="40" w:after="40"/>
              <w:jc w:val="center"/>
            </w:pPr>
            <w:r>
              <w:rPr>
                <w:rFonts w:ascii="Times New Roman" w:hAnsi="Times New Roman"/>
                <w:b/>
                <w:color w:val="FFFFFF"/>
                <w:sz w:val="19"/>
              </w:rPr>
              <w:t>Classification Result</w:t>
            </w:r>
          </w:p>
        </w:tc>
      </w:tr>
      <w:tr w14:paraId="080CFAC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1F7475AD">
            <w:pPr>
              <w:spacing w:before="40" w:after="40"/>
              <w:jc w:val="left"/>
            </w:pPr>
            <w:r>
              <w:rPr>
                <w:rFonts w:ascii="Times New Roman" w:hAnsi="Times New Roman"/>
                <w:sz w:val="18"/>
              </w:rPr>
              <w:t>04/08/2026</w:t>
            </w:r>
          </w:p>
        </w:tc>
        <w:tc>
          <w:tcPr>
            <w:tcW w:w="2340" w:type="dxa"/>
            <w:shd w:val="clear" w:color="auto" w:fill="FFFFFF"/>
            <w:tcMar>
              <w:top w:w="100" w:type="dxa"/>
              <w:left w:w="130" w:type="dxa"/>
              <w:bottom w:w="100" w:type="dxa"/>
              <w:right w:w="130" w:type="dxa"/>
            </w:tcMar>
          </w:tcPr>
          <w:p w14:paraId="10C4DC6B">
            <w:pPr>
              <w:spacing w:before="40" w:after="40"/>
              <w:jc w:val="center"/>
            </w:pPr>
            <w:r>
              <w:rPr>
                <w:rFonts w:ascii="Times New Roman" w:hAnsi="Times New Roman"/>
                <w:sz w:val="18"/>
              </w:rPr>
              <w:t>August 4, 2026</w:t>
            </w:r>
          </w:p>
        </w:tc>
        <w:tc>
          <w:tcPr>
            <w:tcW w:w="2340" w:type="dxa"/>
            <w:shd w:val="clear" w:color="auto" w:fill="FFFFFF"/>
            <w:tcMar>
              <w:top w:w="100" w:type="dxa"/>
              <w:left w:w="130" w:type="dxa"/>
              <w:bottom w:w="100" w:type="dxa"/>
              <w:right w:w="130" w:type="dxa"/>
            </w:tcMar>
          </w:tcPr>
          <w:p w14:paraId="03E03415">
            <w:pPr>
              <w:spacing w:before="40" w:after="40"/>
              <w:jc w:val="center"/>
            </w:pPr>
            <w:r>
              <w:rPr>
                <w:rFonts w:ascii="Times New Roman" w:hAnsi="Times New Roman"/>
                <w:sz w:val="18"/>
              </w:rPr>
              <w:t>2026-08-04 == 2026-08-04</w:t>
            </w:r>
          </w:p>
        </w:tc>
        <w:tc>
          <w:tcPr>
            <w:tcW w:w="2340" w:type="dxa"/>
            <w:shd w:val="clear" w:color="auto" w:fill="FFFFFF"/>
            <w:tcMar>
              <w:top w:w="100" w:type="dxa"/>
              <w:left w:w="130" w:type="dxa"/>
              <w:bottom w:w="100" w:type="dxa"/>
              <w:right w:w="130" w:type="dxa"/>
            </w:tcMar>
          </w:tcPr>
          <w:p w14:paraId="51F8B29C">
            <w:pPr>
              <w:spacing w:before="40" w:after="40"/>
              <w:jc w:val="center"/>
            </w:pPr>
            <w:r>
              <w:rPr>
                <w:rFonts w:ascii="Times New Roman" w:hAnsi="Times New Roman"/>
                <w:sz w:val="18"/>
              </w:rPr>
              <w:t>FORMAT_ERROR (Correct)</w:t>
            </w:r>
          </w:p>
        </w:tc>
      </w:tr>
      <w:tr w14:paraId="1499BEB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2A9BF8CE">
            <w:pPr>
              <w:spacing w:before="40" w:after="40"/>
              <w:jc w:val="left"/>
            </w:pPr>
            <w:r>
              <w:rPr>
                <w:rFonts w:ascii="Times New Roman" w:hAnsi="Times New Roman"/>
                <w:sz w:val="18"/>
              </w:rPr>
              <w:t>B.Tech</w:t>
            </w:r>
          </w:p>
        </w:tc>
        <w:tc>
          <w:tcPr>
            <w:tcW w:w="2340" w:type="dxa"/>
            <w:shd w:val="clear" w:color="auto" w:fill="F8F9FA"/>
            <w:tcMar>
              <w:top w:w="100" w:type="dxa"/>
              <w:left w:w="130" w:type="dxa"/>
              <w:bottom w:w="100" w:type="dxa"/>
              <w:right w:w="130" w:type="dxa"/>
            </w:tcMar>
          </w:tcPr>
          <w:p w14:paraId="75828634">
            <w:pPr>
              <w:spacing w:before="40" w:after="40"/>
              <w:jc w:val="center"/>
            </w:pPr>
            <w:r>
              <w:rPr>
                <w:rFonts w:ascii="Times New Roman" w:hAnsi="Times New Roman"/>
                <w:sz w:val="18"/>
              </w:rPr>
              <w:t>Bachelor of Technology</w:t>
            </w:r>
          </w:p>
        </w:tc>
        <w:tc>
          <w:tcPr>
            <w:tcW w:w="2340" w:type="dxa"/>
            <w:shd w:val="clear" w:color="auto" w:fill="F8F9FA"/>
            <w:tcMar>
              <w:top w:w="100" w:type="dxa"/>
              <w:left w:w="130" w:type="dxa"/>
              <w:bottom w:w="100" w:type="dxa"/>
              <w:right w:w="130" w:type="dxa"/>
            </w:tcMar>
          </w:tcPr>
          <w:p w14:paraId="0B67BD9E">
            <w:pPr>
              <w:spacing w:before="40" w:after="40"/>
              <w:jc w:val="center"/>
            </w:pPr>
            <w:r>
              <w:rPr>
                <w:rFonts w:ascii="Times New Roman" w:hAnsi="Times New Roman"/>
                <w:sz w:val="18"/>
              </w:rPr>
              <w:t>Bachelor of Technology == Bachelor of Technology</w:t>
            </w:r>
          </w:p>
        </w:tc>
        <w:tc>
          <w:tcPr>
            <w:tcW w:w="2340" w:type="dxa"/>
            <w:shd w:val="clear" w:color="auto" w:fill="F8F9FA"/>
            <w:tcMar>
              <w:top w:w="100" w:type="dxa"/>
              <w:left w:w="130" w:type="dxa"/>
              <w:bottom w:w="100" w:type="dxa"/>
              <w:right w:w="130" w:type="dxa"/>
            </w:tcMar>
          </w:tcPr>
          <w:p w14:paraId="15D721C6">
            <w:pPr>
              <w:spacing w:before="40" w:after="40"/>
              <w:jc w:val="center"/>
            </w:pPr>
            <w:r>
              <w:rPr>
                <w:rFonts w:ascii="Times New Roman" w:hAnsi="Times New Roman"/>
                <w:sz w:val="18"/>
              </w:rPr>
              <w:t>FORMAT_ERROR (Correct)</w:t>
            </w:r>
          </w:p>
        </w:tc>
      </w:tr>
      <w:tr w14:paraId="2387319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7896FAC1">
            <w:pPr>
              <w:spacing w:before="40" w:after="40"/>
              <w:jc w:val="left"/>
            </w:pPr>
            <w:r>
              <w:rPr>
                <w:rFonts w:ascii="Times New Roman" w:hAnsi="Times New Roman"/>
                <w:sz w:val="18"/>
              </w:rPr>
              <w:t>VTU</w:t>
            </w:r>
          </w:p>
        </w:tc>
        <w:tc>
          <w:tcPr>
            <w:tcW w:w="2340" w:type="dxa"/>
            <w:shd w:val="clear" w:color="auto" w:fill="FFFFFF"/>
            <w:tcMar>
              <w:top w:w="100" w:type="dxa"/>
              <w:left w:w="130" w:type="dxa"/>
              <w:bottom w:w="100" w:type="dxa"/>
              <w:right w:w="130" w:type="dxa"/>
            </w:tcMar>
          </w:tcPr>
          <w:p w14:paraId="1F0D2529">
            <w:pPr>
              <w:spacing w:before="40" w:after="40"/>
              <w:jc w:val="center"/>
            </w:pPr>
            <w:r>
              <w:rPr>
                <w:rFonts w:ascii="Times New Roman" w:hAnsi="Times New Roman"/>
                <w:sz w:val="18"/>
              </w:rPr>
              <w:t>Delhi University</w:t>
            </w:r>
          </w:p>
        </w:tc>
        <w:tc>
          <w:tcPr>
            <w:tcW w:w="2340" w:type="dxa"/>
            <w:shd w:val="clear" w:color="auto" w:fill="FFFFFF"/>
            <w:tcMar>
              <w:top w:w="100" w:type="dxa"/>
              <w:left w:w="130" w:type="dxa"/>
              <w:bottom w:w="100" w:type="dxa"/>
              <w:right w:w="130" w:type="dxa"/>
            </w:tcMar>
          </w:tcPr>
          <w:p w14:paraId="4EB56FC2">
            <w:pPr>
              <w:spacing w:before="40" w:after="40"/>
              <w:jc w:val="center"/>
            </w:pPr>
            <w:r>
              <w:rPr>
                <w:rFonts w:ascii="Times New Roman" w:hAnsi="Times New Roman"/>
                <w:sz w:val="18"/>
              </w:rPr>
              <w:t xml:space="preserve">Vivekananda Technical University </w:t>
            </w:r>
            <ns3:oMath>
              <ns3:r>
                <ns3:rPr/>
                <w:rPr>
                  <w:rFonts w:ascii="Cambria Math" w:hAnsi="Cambria Math"/>
                </w:rPr>
                <ns3:t>≠</ns3:t>
              </ns3:r>
            </ns3:oMath>
            <w:r>
              <w:rPr>
                <w:rFonts w:ascii="Times New Roman" w:hAnsi="Times New Roman"/>
                <w:sz w:val="18"/>
              </w:rPr>
              <w:t xml:space="preserve"> Delhi University</w:t>
            </w:r>
          </w:p>
        </w:tc>
        <w:tc>
          <w:tcPr>
            <w:tcW w:w="2340" w:type="dxa"/>
            <w:shd w:val="clear" w:color="auto" w:fill="FFFFFF"/>
            <w:tcMar>
              <w:top w:w="100" w:type="dxa"/>
              <w:left w:w="130" w:type="dxa"/>
              <w:bottom w:w="100" w:type="dxa"/>
              <w:right w:w="130" w:type="dxa"/>
            </w:tcMar>
          </w:tcPr>
          <w:p w14:paraId="626476FB">
            <w:pPr>
              <w:spacing w:before="40" w:after="40"/>
              <w:jc w:val="center"/>
            </w:pPr>
            <w:r>
              <w:rPr>
                <w:rFonts w:ascii="Times New Roman" w:hAnsi="Times New Roman"/>
                <w:sz w:val="18"/>
              </w:rPr>
              <w:t>NORMALIZATION_ERROR</w:t>
            </w:r>
          </w:p>
        </w:tc>
      </w:tr>
      <w:tr w14:paraId="6E175AAD">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7E161CDB">
            <w:pPr>
              <w:spacing w:before="40" w:after="40"/>
              <w:jc w:val="left"/>
            </w:pPr>
            <w:r>
              <w:rPr>
                <w:rFonts w:ascii="Times New Roman" w:hAnsi="Times New Roman"/>
                <w:sz w:val="18"/>
              </w:rPr>
              <w:t>2021-IT-00150</w:t>
            </w:r>
          </w:p>
        </w:tc>
        <w:tc>
          <w:tcPr>
            <w:tcW w:w="2340" w:type="dxa"/>
            <w:shd w:val="clear" w:color="auto" w:fill="F8F9FA"/>
            <w:tcMar>
              <w:top w:w="100" w:type="dxa"/>
              <w:left w:w="130" w:type="dxa"/>
              <w:bottom w:w="100" w:type="dxa"/>
              <w:right w:w="130" w:type="dxa"/>
            </w:tcMar>
          </w:tcPr>
          <w:p w14:paraId="25033F2A">
            <w:pPr>
              <w:spacing w:before="40" w:after="40"/>
              <w:jc w:val="center"/>
            </w:pPr>
            <w:r>
              <w:rPr>
                <w:rFonts w:ascii="Times New Roman" w:hAnsi="Times New Roman"/>
                <w:sz w:val="18"/>
              </w:rPr>
              <w:t>2021IT00999</w:t>
            </w:r>
          </w:p>
        </w:tc>
        <w:tc>
          <w:tcPr>
            <w:tcW w:w="2340" w:type="dxa"/>
            <w:shd w:val="clear" w:color="auto" w:fill="F8F9FA"/>
            <w:tcMar>
              <w:top w:w="100" w:type="dxa"/>
              <w:left w:w="130" w:type="dxa"/>
              <w:bottom w:w="100" w:type="dxa"/>
              <w:right w:w="130" w:type="dxa"/>
            </w:tcMar>
          </w:tcPr>
          <w:p w14:paraId="632B461A">
            <w:pPr>
              <w:spacing w:before="40" w:after="40"/>
              <w:jc w:val="center"/>
            </w:pPr>
            <w:r>
              <w:rPr>
                <w:rFonts w:ascii="Times New Roman" w:hAnsi="Times New Roman"/>
                <w:sz w:val="18"/>
              </w:rPr>
              <w:t xml:space="preserve">2021IT00150 </w:t>
            </w:r>
            <ns3:oMath>
              <ns3:r>
                <ns3:rPr/>
                <w:rPr>
                  <w:rFonts w:ascii="Cambria Math" w:hAnsi="Cambria Math"/>
                </w:rPr>
                <ns3:t>≠</ns3:t>
              </ns3:r>
            </ns3:oMath>
            <w:r>
              <w:rPr>
                <w:rFonts w:ascii="Times New Roman" w:hAnsi="Times New Roman"/>
                <w:sz w:val="18"/>
              </w:rPr>
              <w:t xml:space="preserve"> 2021IT00999</w:t>
            </w:r>
          </w:p>
        </w:tc>
        <w:tc>
          <w:tcPr>
            <w:tcW w:w="2340" w:type="dxa"/>
            <w:shd w:val="clear" w:color="auto" w:fill="F8F9FA"/>
            <w:tcMar>
              <w:top w:w="100" w:type="dxa"/>
              <w:left w:w="130" w:type="dxa"/>
              <w:bottom w:w="100" w:type="dxa"/>
              <w:right w:w="130" w:type="dxa"/>
            </w:tcMar>
          </w:tcPr>
          <w:p w14:paraId="75D18AFF">
            <w:pPr>
              <w:spacing w:before="40" w:after="40"/>
              <w:jc w:val="center"/>
            </w:pPr>
            <w:r>
              <w:rPr>
                <w:rFonts w:ascii="Times New Roman" w:hAnsi="Times New Roman"/>
                <w:sz w:val="18"/>
              </w:rPr>
              <w:t>NORMALIZATION_ERROR</w:t>
            </w:r>
          </w:p>
        </w:tc>
      </w:tr>
    </w:tbl>
    <w:p w14:paraId="22D66C74">
      <w:pPr>
        <w:keepNext/>
        <w:spacing w:before="280" w:after="120"/>
        <w:jc w:val="both"/>
      </w:pPr>
      <w:r>
        <w:rPr>
          <w:rFonts w:ascii="Times New Roman" w:hAnsi="Times New Roman"/>
          <w:b/>
          <w:color w:val="003366"/>
          <w:sz w:val="26"/>
        </w:rPr>
        <w:t>4. Experimental Setup</w:t>
      </w:r>
    </w:p>
    <w:p w14:paraId="558E0DC4">
      <w:pPr>
        <w:keepNext/>
        <w:spacing w:before="200" w:after="80"/>
        <w:jc w:val="both"/>
      </w:pPr>
      <w:r>
        <w:rPr>
          <w:rFonts w:ascii="Times New Roman" w:hAnsi="Times New Roman"/>
          <w:b/>
          <w:color w:val="333333"/>
          <w:sz w:val="23"/>
        </w:rPr>
        <w:t>4.1 Dataset Composition (`AU_DIC_Benchmark_v1.0`)</w:t>
      </w:r>
    </w:p>
    <w:p w14:paraId="2A49B2C2">
      <w:pPr>
        <w:spacing w:before="40" w:after="80" w:line="276" w:lineRule="auto"/>
        <w:jc w:val="both"/>
      </w:pPr>
      <w:r>
        <w:rPr>
          <w:rFonts w:ascii="Times New Roman" w:hAnsi="Times New Roman"/>
          <w:sz w:val="20"/>
        </w:rPr>
        <w:t xml:space="preserve">The evaluation dataset consists of 360 image specimens (3 document categories </w:t>
      </w:r>
      <ns3:oMath>
        <ns3:r>
          <ns3:rPr/>
          <w:rPr>
            <w:rFonts w:ascii="Cambria Math" w:hAnsi="Cambria Math"/>
          </w:rPr>
          <ns3:t>×</ns3:t>
        </ns3:r>
      </ns3:oMath>
      <w:r>
        <w:rPr>
          <w:rFonts w:ascii="Times New Roman" w:hAnsi="Times New Roman"/>
          <w:sz w:val="20"/>
        </w:rPr>
        <w:t xml:space="preserve"> 30 unique document instances </w:t>
      </w:r>
      <ns3:oMath>
        <ns3:r>
          <ns3:rPr/>
          <w:rPr>
            <w:rFonts w:ascii="Cambria Math" w:hAnsi="Cambria Math"/>
          </w:rPr>
          <ns3:t>×</ns3:t>
        </ns3:r>
      </ns3:oMath>
      <w:r>
        <w:rPr>
          <w:rFonts w:ascii="Times New Roman" w:hAnsi="Times New Roman"/>
          <w:sz w:val="20"/>
        </w:rPr>
        <w:t xml:space="preserve"> 4 quality profiles). Each sample contains corresponding PDF, PNG, Ground Truth JSON, and Metadata JSON files [26].</w:t>
      </w:r>
    </w:p>
    <w:p w14:paraId="0B637798">
      <w:pPr>
        <w:keepNext/>
        <w:spacing w:before="200" w:after="80"/>
        <w:jc w:val="both"/>
      </w:pPr>
      <w:r>
        <w:rPr>
          <w:rFonts w:ascii="Times New Roman" w:hAnsi="Times New Roman"/>
          <w:b/>
          <w:color w:val="333333"/>
          <w:sz w:val="23"/>
        </w:rPr>
        <w:t>4.2 Evaluation Protocol</w:t>
      </w:r>
    </w:p>
    <w:p w14:paraId="1CE7DA95">
      <w:pPr>
        <w:spacing w:before="40" w:after="80" w:line="276" w:lineRule="auto"/>
        <w:jc w:val="both"/>
      </w:pPr>
      <w:r>
        <w:rPr>
          <w:rFonts w:ascii="Times New Roman" w:hAnsi="Times New Roman"/>
          <w:sz w:val="20"/>
        </w:rPr>
        <w:t xml:space="preserve">The framework evaluates system and model performance across two distinct sub-tasks: (a) </w:t>
      </w:r>
      <w:r>
        <w:rPr>
          <w:rFonts w:ascii="Times New Roman" w:hAnsi="Times New Roman"/>
          <w:b/>
          <w:sz w:val="20"/>
        </w:rPr>
        <w:t>Document Category Classification</w:t>
      </w:r>
      <w:r>
        <w:rPr>
          <w:rFonts w:ascii="Times New Roman" w:hAnsi="Times New Roman"/>
          <w:sz w:val="20"/>
        </w:rPr>
        <w:t xml:space="preserve"> and (b) </w:t>
      </w:r>
      <w:r>
        <w:rPr>
          <w:rFonts w:ascii="Times New Roman" w:hAnsi="Times New Roman"/>
          <w:b/>
          <w:sz w:val="20"/>
        </w:rPr>
        <w:t>Key-Value Entity Field Extraction</w:t>
      </w:r>
      <w:r>
        <w:rPr>
          <w:rFonts w:ascii="Times New Roman" w:hAnsi="Times New Roman"/>
          <w:sz w:val="20"/>
        </w:rPr>
        <w:t>. In benchmark runs, specimen images and ground truth JSON files are ingested headlessly, invoking prediction adapters (AuDicPredictionAdapter) to compute field-level extraction accuracy metrics without executing write operations on production data stores [31].</w:t>
      </w:r>
    </w:p>
    <w:p w14:paraId="08566FC3">
      <w:pPr>
        <w:keepNext/>
        <w:spacing w:before="200" w:after="80"/>
        <w:jc w:val="both"/>
      </w:pPr>
      <w:r>
        <w:rPr>
          <w:rFonts w:ascii="Times New Roman" w:hAnsi="Times New Roman"/>
          <w:b/>
          <w:color w:val="333333"/>
          <w:sz w:val="23"/>
        </w:rPr>
        <w:t>4.3 Evaluation Metrics</w:t>
      </w:r>
    </w:p>
    <w:p w14:paraId="6B1C18D9">
      <w:pPr>
        <w:spacing w:before="40" w:after="80" w:line="276" w:lineRule="auto"/>
        <w:jc w:val="both"/>
      </w:pPr>
      <w:r>
        <w:rPr>
          <w:rFonts w:ascii="Times New Roman" w:hAnsi="Times New Roman"/>
          <w:sz w:val="20"/>
        </w:rPr>
        <w:t>The computed quantitative metrics are defined as follows:</w:t>
      </w:r>
    </w:p>
    <w:p w14:paraId="71941F13">
      <w:pPr>
        <w:spacing w:before="20" w:after="40"/>
        <w:ind w:left="360"/>
        <w:jc w:val="both"/>
      </w:pPr>
      <ns3:oMath>
        <ns3:sSub>
          <ns3:sSubPr/>
          <ns3:e>
            <ns3:acc>
              <ns3:accPr/>
              <ns3:e>
                <ns3:r>
                  <ns3:rPr/>
                  <w:rPr>
                    <w:rFonts w:ascii="Cambria Math" w:hAnsi="Cambria Math"/>
                  </w:rPr>
                  <ns3:t>C</ns3:t>
                </ns3:r>
              </ns3:e>
            </ns3:acc>
          </ns3:e>
          <ns3:sub>
            <ns3:r>
              <ns3:rPr/>
              <w:rPr>
                <w:rFonts w:ascii="Cambria Math" w:hAnsi="Cambria Math"/>
              </w:rPr>
              <ns3:t>i</ns3:t>
            </ns3:r>
          </ns3:sub>
        </ns3:sSub>
      </ns3:oMath>
      <ns3:oMath>
        <ns3:sSub>
          <ns3:sSubPr/>
          <ns3:e>
            <ns3:r>
              <ns3:rPr/>
              <w:rPr>
                <w:rFonts w:ascii="Cambria Math" w:hAnsi="Cambria Math"/>
              </w:rPr>
              <ns3:t>C</ns3:t>
            </ns3:r>
          </ns3:e>
          <ns3:sub>
            <ns3:r>
              <ns3:rPr/>
              <w:rPr>
                <w:rFonts w:ascii="Cambria Math" w:hAnsi="Cambria Math"/>
              </w:rPr>
              <ns3:t>i</ns3:t>
            </ns3:r>
          </ns3:sub>
        </ns3:sSub>
      </ns3:oMath>
      <w:r>
        <w:t xml:space="preserve">1. Category Classification Accuracy (1): The proportion of specimens where the predicted document category (y_hat) matches the ground truth category (y):
   Acc_cat = (1 / N) * sum_{i=1}^N I(y_hat_i = y_i)   (1)</w:t>
      </w:r>
    </w:p>
    <w:p w14:paraId="0B6F120C">
      <w:pPr>
        <w:spacing w:before="40" w:after="80" w:line="276" w:lineRule="auto"/>
        <w:jc w:val="both"/>
      </w:pPr>
      <w:r>
        <w:rPr>
          <w:rFonts w:ascii="Times New Roman" w:hAnsi="Times New Roman"/>
          <w:sz w:val="20"/>
        </w:rPr>
        <w:t xml:space="preserve">where </w:t>
      </w:r>
      <ns3:oMath>
        <ns3:r>
          <ns3:rPr/>
          <w:rPr>
            <w:rFonts w:ascii="Cambria Math" w:hAnsi="Cambria Math"/>
          </w:rPr>
          <ns3:t>N=360</ns3:t>
        </ns3:r>
      </ns3:oMath>
      <w:r>
        <w:rPr>
          <w:rFonts w:ascii="Times New Roman" w:hAnsi="Times New Roman"/>
          <w:sz w:val="20"/>
        </w:rPr>
        <w:t xml:space="preserve"> total evaluated specimens.</w:t>
      </w:r>
    </w:p>
    <w:p w14:paraId="3A5AC0ED">
      <w:pPr>
        <w:spacing w:before="20" w:after="40"/>
        <w:ind w:left="360"/>
        <w:jc w:val="both"/>
      </w:pPr>
      <ns3:oMath>
        <ns3:r>
          <ns3:rPr/>
          <w:rPr>
            <w:rFonts w:ascii="Cambria Math" w:hAnsi="Cambria Math"/>
          </w:rPr>
          <ns3:t>P</ns3:t>
        </ns3:r>
      </ns3:oMath>
      <ns3:oMath>
        <ns3:r>
          <ns3:rPr/>
          <w:rPr>
            <w:rFonts w:ascii="Cambria Math" w:hAnsi="Cambria Math"/>
          </w:rPr>
          <ns3:t>R</ns3:t>
        </ns3:r>
      </ns3:oMath>
      <ns3:oMath>
        <ns3:sSub>
          <ns3:sSubPr/>
          <ns3:e>
            <ns3:r>
              <ns3:rPr/>
              <w:rPr>
                <w:rFonts w:ascii="Cambria Math" w:hAnsi="Cambria Math"/>
              </w:rPr>
              <ns3:t>F</ns3:t>
            </ns3:r>
          </ns3:e>
          <ns3:sub>
            <ns3:r>
              <ns3:rPr/>
              <w:rPr>
                <w:rFonts w:ascii="Cambria Math" w:hAnsi="Cambria Math"/>
              </w:rPr>
              <ns3:t>1</ns3:t>
            </ns3:r>
          </ns3:sub>
        </ns3:sSub>
      </ns3:oMath>
      <w:r>
        <w:t xml:space="preserve">2. Field Extraction Precision, Recall, and F1 Score (2): Macro-averaged key-value field extraction metrics across all extracted target entities:
   Precision = TP / (TP + FP), Recall = TP / (TP + FN), F1 = (2 * Precision * Recall) / (Precision + Recall)   (2)</w:t>
      </w:r>
    </w:p>
    <w:p w14:paraId="3096A6D7">
      <w:pPr>
        <w:spacing w:before="20" w:after="40"/>
        <w:ind w:left="360"/>
        <w:jc w:val="both"/>
      </w:pPr>
      <ns3:oMath>
        <ns3:sSub>
          <ns3:sSubPr/>
          <ns3:e>
            <ns3:r>
              <ns3:rPr/>
              <w:rPr>
                <w:rFonts w:ascii="Cambria Math" w:hAnsi="Cambria Math"/>
              </w:rPr>
              <ns3:t>L</ns3:t>
            </ns3:r>
          </ns3:e>
          <ns3:sub>
            <ns3:r>
              <ns3:rPr/>
              <w:rPr>
                <w:rFonts w:ascii="Times New Roman" w:hAnsi="Times New Roman"/>
              </w:rPr>
              <ns3:t>GT</ns3:t>
            </ns3:r>
          </ns3:sub>
        </ns3:sSub>
      </ns3:oMath>
      <w:r>
        <w:t xml:space="preserve">3. Character Error Rate (CER) (3): Levenshtein character edit distance [21] between canonically normalized predicted field strings and expected ground truth field strings, normalized by total ground truth character length (L_char):
   CER = D_char(s_hat, s) / |s|   (3)</w:t>
      </w:r>
    </w:p>
    <w:p w14:paraId="28D3FA95">
      <w:pPr>
        <w:spacing w:before="20" w:after="40"/>
        <w:ind w:left="360"/>
        <w:jc w:val="both"/>
      </w:pPr>
      <ns3:oMath>
        <ns3:sSub>
          <ns3:sSubPr/>
          <ns3:e>
            <ns3:r>
              <ns3:rPr/>
              <w:rPr>
                <w:rFonts w:ascii="Cambria Math" w:hAnsi="Cambria Math"/>
              </w:rPr>
              <ns3:t>W</ns3:t>
            </ns3:r>
          </ns3:e>
          <ns3:sub>
            <ns3:r>
              <ns3:rPr/>
              <w:rPr>
                <w:rFonts w:ascii="Times New Roman" w:hAnsi="Times New Roman"/>
              </w:rPr>
              <ns3:t>GT</ns3:t>
            </ns3:r>
          </ns3:sub>
        </ns3:sSub>
      </ns3:oMath>
      <w:r>
        <w:t xml:space="preserve">4. Word Error Rate (WER) (4): Tokenized word-level edit distance [20] between predicted field strings and ground truth field strings, normalized by total ground truth word count (L_word):
   WER = D_word(w_hat, w) / |w|   (4)</w:t>
      </w:r>
    </w:p>
    <w:p w14:paraId="22B41161">
      <w:pPr>
        <w:spacing w:before="20" w:after="40"/>
        <w:ind w:left="360"/>
        <w:jc w:val="both"/>
      </w:pPr>
      <w:r>
        <w:t xml:space="preserve">5. Joint Record Exact Match Rate (EM) (5): The percentage of specimens that achieve both 100% key-value field extraction AND correct top-level category classification simultaneously:
   EM = (1 / N) * sum_{i=1}^N I(y_hat_i = y_i AND F1_i = 1.0)   (5)</w:t>
      </w:r>
    </w:p>
    <w:p w14:paraId="4D33CC89">
      <w:pPr>
        <w:spacing w:before="20" w:after="40"/>
        <w:ind w:left="360"/>
        <w:jc w:val="both"/>
      </w:pPr>
      <ns3:oMath>
        <ns3:r>
          <ns3:rPr/>
          <w:rPr>
            <w:rFonts w:ascii="Times New Roman" w:hAnsi="Times New Roman"/>
          </w:rPr>
          <ns3:t>ms/sample</ns3:t>
        </ns3:r>
      </ns3:oMath>
      <ns3:oMath>
        <ns3:r>
          <ns3:rPr/>
          <w:rPr>
            <w:rFonts w:ascii="Times New Roman" w:hAnsi="Times New Roman"/>
          </w:rPr>
          <ns3:t>samples/sec</ns3:t>
        </ns3:r>
      </ns3:oMath>
      <w:r>
        <w:t xml:space="preserve">6. Latency &amp; Throughput (6): Execution latency per specimen (L_proc) and framework processing throughput (TH):
   L_proc = T_total / N, TH = N / T_total   (6)</w:t>
      </w:r>
    </w:p>
    <w:p w14:paraId="08A8335A">
      <w:pPr>
        <w:keepNext/>
        <w:spacing w:before="280" w:after="120"/>
        <w:jc w:val="both"/>
      </w:pPr>
      <w:r>
        <w:rPr>
          <w:rFonts w:ascii="Times New Roman" w:hAnsi="Times New Roman"/>
          <w:b/>
          <w:color w:val="003366"/>
          <w:sz w:val="26"/>
        </w:rPr>
        <w:t>5. Results &amp; Empirical Validation</w:t>
      </w:r>
    </w:p>
    <w:p w14:paraId="55088229">
      <w:pPr>
        <w:keepNext/>
        <w:spacing w:before="200" w:after="80"/>
        <w:jc w:val="both"/>
      </w:pPr>
      <w:r>
        <w:rPr>
          <w:rFonts w:ascii="Times New Roman" w:hAnsi="Times New Roman"/>
          <w:b/>
          <w:color w:val="333333"/>
          <w:sz w:val="23"/>
        </w:rPr>
        <w:t>5.1 Distinction Between Framework Validation, Benchmark Validation, and Model Performance</w:t>
      </w:r>
    </w:p>
    <w:p w14:paraId="6A01D444">
      <w:pPr>
        <w:spacing w:before="40" w:after="80" w:line="276" w:lineRule="auto"/>
        <w:jc w:val="both"/>
      </w:pPr>
      <w:r>
        <w:rPr>
          <w:rFonts w:ascii="Times New Roman" w:hAnsi="Times New Roman"/>
          <w:sz w:val="20"/>
        </w:rPr>
        <w:t>To ensure complete scientific integrity, we explicitly distinguish between three evaluation dimensions:</w:t>
      </w:r>
    </w:p>
    <w:p w14:paraId="4AF1F604">
      <w:pPr>
        <w:spacing w:before="20" w:after="40"/>
        <w:ind w:left="360"/>
        <w:jc w:val="both"/>
      </w:pPr>
      <w:r>
        <w:rPr>
          <w:rFonts w:ascii="Times New Roman" w:hAnsi="Times New Roman"/>
          <w:b/>
          <w:sz w:val="20"/>
        </w:rPr>
        <w:t>1. Framework Architectural Validation (Verified)</w:t>
      </w:r>
      <w:r>
        <w:rPr>
          <w:rFonts w:ascii="Times New Roman" w:hAnsi="Times New Roman"/>
          <w:sz w:val="20"/>
        </w:rPr>
        <w:t>: Confirms system non-destructiveness (0 database writes), execution throughput (242.59 samples/sec), mean processing latency (4.12 ms/sample), and fault-tolerant checkpointing [31].</w:t>
      </w:r>
    </w:p>
    <w:p w14:paraId="2C98B077">
      <w:pPr>
        <w:spacing w:before="20" w:after="40"/>
        <w:ind w:left="360"/>
        <w:jc w:val="both"/>
      </w:pPr>
      <w:r>
        <w:rPr>
          <w:rFonts w:ascii="Times New Roman" w:hAnsi="Times New Roman"/>
          <w:b/>
          <w:sz w:val="20"/>
        </w:rPr>
        <w:t>2. Benchmark Integrity Validation (Verified)</w:t>
      </w:r>
      <w:r>
        <w:rPr>
          <w:rFonts w:ascii="Times New Roman" w:hAnsi="Times New Roman"/>
          <w:sz w:val="20"/>
        </w:rPr>
        <w:t>: Confirms zero ground truth leakage and verifies that comparators correctly detect character typos, missing fields, and category mismatches in controlled tests (validationAudit.test.ts).</w:t>
      </w:r>
    </w:p>
    <w:p w14:paraId="3F18B735">
      <w:pPr>
        <w:spacing w:before="20" w:after="40"/>
        <w:ind w:left="360"/>
        <w:jc w:val="both"/>
      </w:pPr>
      <w:r>
        <w:rPr>
          <w:rFonts w:ascii="Times New Roman" w:hAnsi="Times New Roman"/>
          <w:b/>
          <w:sz w:val="20"/>
        </w:rPr>
        <w:t>3. Model Extraction Performance (Model Evaluation)</w:t>
      </w:r>
      <w:r>
        <w:rPr>
          <w:rFonts w:ascii="Times New Roman" w:hAnsi="Times New Roman"/>
          <w:sz w:val="20"/>
        </w:rPr>
        <w:t>: Measures extraction performance metrics (Precision, Recall, F1, CER, WER) across live neural models.</w:t>
      </w:r>
    </w:p>
    <w:p w14:paraId="6B94BD40">
      <w:pPr>
        <w:keepNext/>
        <w:spacing w:before="200" w:after="80"/>
        <w:jc w:val="both"/>
      </w:pPr>
      <w:r>
        <w:rPr>
          <w:rFonts w:ascii="Times New Roman" w:hAnsi="Times New Roman"/>
          <w:b/>
          <w:color w:val="333333"/>
          <w:sz w:val="23"/>
        </w:rPr>
        <w:t>5.2 Framework Execution &amp; System Verification Metrics</w:t>
      </w:r>
    </w:p>
    <w:p w14:paraId="665D21BC">
      <w:pPr>
        <w:spacing w:before="40" w:after="80" w:line="276" w:lineRule="auto"/>
      </w:pPr>
      <w:r>
        <w:t xml:space="preserve">Table III summarizes the framework system verification metrics evaluated across the 360 benchmark specimens (AU_DIC_Benchmark_v1.0).</w:t>
      </w:r>
    </w:p>
    <w:p w14:paraId="71A92F66">
      <w:pPr>
        <w:keepNext/>
        <w:spacing w:before="80" w:after="160"/>
        <w:jc w:val="center"/>
      </w:pPr>
      <w:r>
        <w:t xml:space="preserve">Table III: Framework Verification Metrics (Dry-Run Infrastructure Validation on AU DIC Benchmark v1.0)</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440"/>
        <w:gridCol w:w="1169"/>
        <w:gridCol w:w="1169"/>
        <w:gridCol w:w="1169"/>
        <w:gridCol w:w="1168"/>
        <w:gridCol w:w="1169"/>
        <w:gridCol w:w="1168"/>
        <w:gridCol w:w="1168"/>
      </w:tblGrid>
      <w:tr w14:paraId="43AFB74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003366"/>
            <w:tcMar>
              <w:top w:w="100" w:type="dxa"/>
              <w:left w:w="130" w:type="dxa"/>
              <w:bottom w:w="100" w:type="dxa"/>
              <w:right w:w="130" w:type="dxa"/>
            </w:tcMar>
          </w:tcPr>
          <w:p w14:paraId="709BD96A">
            <w:pPr>
              <w:spacing w:before="40" w:after="40"/>
              <w:jc w:val="center"/>
            </w:pPr>
            <w:r>
              <w:t xml:space="preserve">Quality Profile</w:t>
            </w:r>
          </w:p>
        </w:tc>
        <w:tc>
          <w:tcPr>
            <w:tcW w:w="1170" w:type="dxa"/>
            <w:shd w:val="clear" w:color="auto" w:fill="003366"/>
            <w:tcMar>
              <w:top w:w="100" w:type="dxa"/>
              <w:left w:w="130" w:type="dxa"/>
              <w:bottom w:w="100" w:type="dxa"/>
              <w:right w:w="130" w:type="dxa"/>
            </w:tcMar>
          </w:tcPr>
          <w:p w14:paraId="17177FED">
            <w:pPr>
              <w:spacing w:before="40" w:after="40"/>
              <w:jc w:val="center"/>
            </w:pPr>
            <w:r>
              <w:t xml:space="preserve">Samples</w:t>
            </w:r>
          </w:p>
        </w:tc>
        <w:tc>
          <w:tcPr>
            <w:tcW w:w="1170" w:type="dxa"/>
            <w:shd w:val="clear" w:color="auto" w:fill="003366"/>
            <w:tcMar>
              <w:top w:w="100" w:type="dxa"/>
              <w:left w:w="130" w:type="dxa"/>
              <w:bottom w:w="100" w:type="dxa"/>
              <w:right w:w="130" w:type="dxa"/>
            </w:tcMar>
          </w:tcPr>
          <w:p w14:paraId="1D758CA0">
            <w:pPr>
              <w:spacing w:before="40" w:after="40"/>
              <w:jc w:val="center"/>
            </w:pPr>
            <w:r>
              <w:t xml:space="preserve">Framework Acc (Dry-Run)*</w:t>
            </w:r>
          </w:p>
        </w:tc>
        <w:tc>
          <w:tcPr>
            <w:tcW w:w="1170" w:type="dxa"/>
            <w:shd w:val="clear" w:color="auto" w:fill="003366"/>
            <w:tcMar>
              <w:top w:w="100" w:type="dxa"/>
              <w:left w:w="130" w:type="dxa"/>
              <w:bottom w:w="100" w:type="dxa"/>
              <w:right w:w="130" w:type="dxa"/>
            </w:tcMar>
          </w:tcPr>
          <w:p w14:paraId="6DD2ED62">
            <w:pPr>
              <w:spacing w:before="40" w:after="40"/>
              <w:jc w:val="center"/>
            </w:pPr>
            <w:r>
              <w:t xml:space="preserve">Precision*</w:t>
            </w:r>
          </w:p>
        </w:tc>
        <w:tc>
          <w:tcPr>
            <w:tcW w:w="1170" w:type="dxa"/>
            <w:shd w:val="clear" w:color="auto" w:fill="003366"/>
            <w:tcMar>
              <w:top w:w="100" w:type="dxa"/>
              <w:left w:w="130" w:type="dxa"/>
              <w:bottom w:w="100" w:type="dxa"/>
              <w:right w:w="130" w:type="dxa"/>
            </w:tcMar>
          </w:tcPr>
          <w:p w14:paraId="148D6DDA">
            <w:pPr>
              <w:spacing w:before="40" w:after="40"/>
              <w:jc w:val="center"/>
            </w:pPr>
            <w:r>
              <w:t xml:space="preserve">Recall*</w:t>
            </w:r>
          </w:p>
        </w:tc>
        <w:tc>
          <w:tcPr>
            <w:tcW w:w="1170" w:type="dxa"/>
            <w:shd w:val="clear" w:color="auto" w:fill="003366"/>
            <w:tcMar>
              <w:top w:w="100" w:type="dxa"/>
              <w:left w:w="130" w:type="dxa"/>
              <w:bottom w:w="100" w:type="dxa"/>
              <w:right w:w="130" w:type="dxa"/>
            </w:tcMar>
          </w:tcPr>
          <w:p w14:paraId="6E0B802A">
            <w:pPr>
              <w:spacing w:before="40" w:after="40"/>
              <w:jc w:val="center"/>
            </w:pPr>
            <w:r>
              <w:t xml:space="preserve">F1 Score*</w:t>
            </w:r>
          </w:p>
        </w:tc>
        <w:tc>
          <w:tcPr>
            <w:tcW w:w="1170" w:type="dxa"/>
            <w:shd w:val="clear" w:color="auto" w:fill="003366"/>
            <w:tcMar>
              <w:top w:w="100" w:type="dxa"/>
              <w:left w:w="130" w:type="dxa"/>
              <w:bottom w:w="100" w:type="dxa"/>
              <w:right w:w="130" w:type="dxa"/>
            </w:tcMar>
          </w:tcPr>
          <w:p w14:paraId="780474C8">
            <w:pPr>
              <w:spacing w:before="40" w:after="40"/>
              <w:jc w:val="center"/>
            </w:pPr>
            <w:r>
              <w:t xml:space="preserve">Mean CER*</w:t>
            </w:r>
          </w:p>
        </w:tc>
        <w:tc>
          <w:tcPr>
            <w:tcW w:w="1170" w:type="dxa"/>
            <w:shd w:val="clear" w:color="auto" w:fill="003366"/>
            <w:tcMar>
              <w:top w:w="100" w:type="dxa"/>
              <w:left w:w="130" w:type="dxa"/>
              <w:bottom w:w="100" w:type="dxa"/>
              <w:right w:w="130" w:type="dxa"/>
            </w:tcMar>
          </w:tcPr>
          <w:p w14:paraId="1A773B1A">
            <w:pPr>
              <w:spacing w:before="40" w:after="40"/>
              <w:jc w:val="center"/>
            </w:pPr>
            <w:r>
              <w:t xml:space="preserve">Mean WER*</w:t>
            </w:r>
          </w:p>
        </w:tc>
      </w:tr>
      <w:tr w14:paraId="567A0C01">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38BEB654">
            <w:pPr>
              <w:spacing w:before="40" w:after="40"/>
              <w:jc w:val="left"/>
            </w:pPr>
            <w:r>
              <w:rPr>
                <w:rFonts w:ascii="Times New Roman" w:hAnsi="Times New Roman"/>
                <w:b/>
                <w:sz w:val="18"/>
              </w:rPr>
              <w:t>clean</w:t>
            </w:r>
          </w:p>
        </w:tc>
        <w:tc>
          <w:tcPr>
            <w:tcW w:w="1170" w:type="dxa"/>
            <w:shd w:val="clear" w:color="auto" w:fill="FFFFFF"/>
            <w:tcMar>
              <w:top w:w="100" w:type="dxa"/>
              <w:left w:w="130" w:type="dxa"/>
              <w:bottom w:w="100" w:type="dxa"/>
              <w:right w:w="130" w:type="dxa"/>
            </w:tcMar>
          </w:tcPr>
          <w:p w14:paraId="5ED1A06A">
            <w:pPr>
              <w:spacing w:before="40" w:after="40"/>
              <w:jc w:val="center"/>
            </w:pPr>
            <w:r>
              <w:rPr>
                <w:rFonts w:ascii="Times New Roman" w:hAnsi="Times New Roman"/>
                <w:sz w:val="18"/>
              </w:rPr>
              <w:t>90</w:t>
            </w:r>
          </w:p>
        </w:tc>
        <w:tc>
          <w:tcPr>
            <w:tcW w:w="1170" w:type="dxa"/>
            <w:shd w:val="clear" w:color="auto" w:fill="FFFFFF"/>
            <w:tcMar>
              <w:top w:w="100" w:type="dxa"/>
              <w:left w:w="130" w:type="dxa"/>
              <w:bottom w:w="100" w:type="dxa"/>
              <w:right w:w="130" w:type="dxa"/>
            </w:tcMar>
          </w:tcPr>
          <w:p w14:paraId="657F89F7">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3A1102F6">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4F630DBE">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6BEBE993">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1ADC2FFF">
            <w:pPr>
              <w:spacing w:before="40" w:after="40"/>
              <w:jc w:val="center"/>
            </w:pPr>
            <w:r>
              <w:rPr>
                <w:rFonts w:ascii="Times New Roman" w:hAnsi="Times New Roman"/>
                <w:sz w:val="18"/>
              </w:rPr>
              <w:t>0.00%*</w:t>
            </w:r>
          </w:p>
        </w:tc>
        <w:tc>
          <w:tcPr>
            <w:tcW w:w="1170" w:type="dxa"/>
            <w:shd w:val="clear" w:color="auto" w:fill="FFFFFF"/>
            <w:tcMar>
              <w:top w:w="100" w:type="dxa"/>
              <w:left w:w="130" w:type="dxa"/>
              <w:bottom w:w="100" w:type="dxa"/>
              <w:right w:w="130" w:type="dxa"/>
            </w:tcMar>
          </w:tcPr>
          <w:p w14:paraId="06A17204">
            <w:pPr>
              <w:spacing w:before="40" w:after="40"/>
              <w:jc w:val="center"/>
            </w:pPr>
            <w:r>
              <w:rPr>
                <w:rFonts w:ascii="Times New Roman" w:hAnsi="Times New Roman"/>
                <w:sz w:val="18"/>
              </w:rPr>
              <w:t>0.00%*</w:t>
            </w:r>
          </w:p>
        </w:tc>
      </w:tr>
      <w:tr w14:paraId="65BD880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7646F598">
            <w:pPr>
              <w:spacing w:before="40" w:after="40"/>
              <w:jc w:val="left"/>
            </w:pPr>
            <w:r>
              <w:rPr>
                <w:rFonts w:ascii="Times New Roman" w:hAnsi="Times New Roman"/>
                <w:b/>
                <w:sz w:val="18"/>
              </w:rPr>
              <w:t>scanner_copy</w:t>
            </w:r>
          </w:p>
        </w:tc>
        <w:tc>
          <w:tcPr>
            <w:tcW w:w="1170" w:type="dxa"/>
            <w:shd w:val="clear" w:color="auto" w:fill="F8F9FA"/>
            <w:tcMar>
              <w:top w:w="100" w:type="dxa"/>
              <w:left w:w="130" w:type="dxa"/>
              <w:bottom w:w="100" w:type="dxa"/>
              <w:right w:w="130" w:type="dxa"/>
            </w:tcMar>
          </w:tcPr>
          <w:p w14:paraId="1FC7D9AF">
            <w:pPr>
              <w:spacing w:before="40" w:after="40"/>
              <w:jc w:val="center"/>
            </w:pPr>
            <w:r>
              <w:rPr>
                <w:rFonts w:ascii="Times New Roman" w:hAnsi="Times New Roman"/>
                <w:sz w:val="18"/>
              </w:rPr>
              <w:t>90</w:t>
            </w:r>
          </w:p>
        </w:tc>
        <w:tc>
          <w:tcPr>
            <w:tcW w:w="1170" w:type="dxa"/>
            <w:shd w:val="clear" w:color="auto" w:fill="F8F9FA"/>
            <w:tcMar>
              <w:top w:w="100" w:type="dxa"/>
              <w:left w:w="130" w:type="dxa"/>
              <w:bottom w:w="100" w:type="dxa"/>
              <w:right w:w="130" w:type="dxa"/>
            </w:tcMar>
          </w:tcPr>
          <w:p w14:paraId="3E222475">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5F3BD264">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78D18A16">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0C59D9BA">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256D92BA">
            <w:pPr>
              <w:spacing w:before="40" w:after="40"/>
              <w:jc w:val="center"/>
            </w:pPr>
            <w:r>
              <w:rPr>
                <w:rFonts w:ascii="Times New Roman" w:hAnsi="Times New Roman"/>
                <w:sz w:val="18"/>
              </w:rPr>
              <w:t>0.00%*</w:t>
            </w:r>
          </w:p>
        </w:tc>
        <w:tc>
          <w:tcPr>
            <w:tcW w:w="1170" w:type="dxa"/>
            <w:shd w:val="clear" w:color="auto" w:fill="F8F9FA"/>
            <w:tcMar>
              <w:top w:w="100" w:type="dxa"/>
              <w:left w:w="130" w:type="dxa"/>
              <w:bottom w:w="100" w:type="dxa"/>
              <w:right w:w="130" w:type="dxa"/>
            </w:tcMar>
          </w:tcPr>
          <w:p w14:paraId="64E7DAED">
            <w:pPr>
              <w:spacing w:before="40" w:after="40"/>
              <w:jc w:val="center"/>
            </w:pPr>
            <w:r>
              <w:rPr>
                <w:rFonts w:ascii="Times New Roman" w:hAnsi="Times New Roman"/>
                <w:sz w:val="18"/>
              </w:rPr>
              <w:t>0.00%*</w:t>
            </w:r>
          </w:p>
        </w:tc>
      </w:tr>
      <w:tr w14:paraId="2456C9E1">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4A1993A7">
            <w:pPr>
              <w:spacing w:before="40" w:after="40"/>
              <w:jc w:val="left"/>
            </w:pPr>
            <w:r>
              <w:rPr>
                <w:rFonts w:ascii="Times New Roman" w:hAnsi="Times New Roman"/>
                <w:b/>
                <w:sz w:val="18"/>
              </w:rPr>
              <w:t>mobile_camera</w:t>
            </w:r>
          </w:p>
        </w:tc>
        <w:tc>
          <w:tcPr>
            <w:tcW w:w="1170" w:type="dxa"/>
            <w:shd w:val="clear" w:color="auto" w:fill="FFFFFF"/>
            <w:tcMar>
              <w:top w:w="100" w:type="dxa"/>
              <w:left w:w="130" w:type="dxa"/>
              <w:bottom w:w="100" w:type="dxa"/>
              <w:right w:w="130" w:type="dxa"/>
            </w:tcMar>
          </w:tcPr>
          <w:p w14:paraId="483763EF">
            <w:pPr>
              <w:spacing w:before="40" w:after="40"/>
              <w:jc w:val="center"/>
            </w:pPr>
            <w:r>
              <w:rPr>
                <w:rFonts w:ascii="Times New Roman" w:hAnsi="Times New Roman"/>
                <w:sz w:val="18"/>
              </w:rPr>
              <w:t>90</w:t>
            </w:r>
          </w:p>
        </w:tc>
        <w:tc>
          <w:tcPr>
            <w:tcW w:w="1170" w:type="dxa"/>
            <w:shd w:val="clear" w:color="auto" w:fill="FFFFFF"/>
            <w:tcMar>
              <w:top w:w="100" w:type="dxa"/>
              <w:left w:w="130" w:type="dxa"/>
              <w:bottom w:w="100" w:type="dxa"/>
              <w:right w:w="130" w:type="dxa"/>
            </w:tcMar>
          </w:tcPr>
          <w:p w14:paraId="61E8BC46">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00F61245">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4DC7E80A">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5EEF2E61">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6442F642">
            <w:pPr>
              <w:spacing w:before="40" w:after="40"/>
              <w:jc w:val="center"/>
            </w:pPr>
            <w:r>
              <w:rPr>
                <w:rFonts w:ascii="Times New Roman" w:hAnsi="Times New Roman"/>
                <w:sz w:val="18"/>
              </w:rPr>
              <w:t>0.00%*</w:t>
            </w:r>
          </w:p>
        </w:tc>
        <w:tc>
          <w:tcPr>
            <w:tcW w:w="1170" w:type="dxa"/>
            <w:shd w:val="clear" w:color="auto" w:fill="FFFFFF"/>
            <w:tcMar>
              <w:top w:w="100" w:type="dxa"/>
              <w:left w:w="130" w:type="dxa"/>
              <w:bottom w:w="100" w:type="dxa"/>
              <w:right w:w="130" w:type="dxa"/>
            </w:tcMar>
          </w:tcPr>
          <w:p w14:paraId="4D1C5F23">
            <w:pPr>
              <w:spacing w:before="40" w:after="40"/>
              <w:jc w:val="center"/>
            </w:pPr>
            <w:r>
              <w:rPr>
                <w:rFonts w:ascii="Times New Roman" w:hAnsi="Times New Roman"/>
                <w:sz w:val="18"/>
              </w:rPr>
              <w:t>0.00%*</w:t>
            </w:r>
          </w:p>
        </w:tc>
      </w:tr>
      <w:tr w14:paraId="49F60EB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1DB7B4C1">
            <w:pPr>
              <w:spacing w:before="40" w:after="40"/>
              <w:jc w:val="left"/>
            </w:pPr>
            <w:r>
              <w:rPr>
                <w:rFonts w:ascii="Times New Roman" w:hAnsi="Times New Roman"/>
                <w:b/>
                <w:sz w:val="18"/>
              </w:rPr>
              <w:t>rotated_90</w:t>
            </w:r>
          </w:p>
        </w:tc>
        <w:tc>
          <w:tcPr>
            <w:tcW w:w="1170" w:type="dxa"/>
            <w:shd w:val="clear" w:color="auto" w:fill="F8F9FA"/>
            <w:tcMar>
              <w:top w:w="100" w:type="dxa"/>
              <w:left w:w="130" w:type="dxa"/>
              <w:bottom w:w="100" w:type="dxa"/>
              <w:right w:w="130" w:type="dxa"/>
            </w:tcMar>
          </w:tcPr>
          <w:p w14:paraId="3CB3B3E6">
            <w:pPr>
              <w:spacing w:before="40" w:after="40"/>
              <w:jc w:val="center"/>
            </w:pPr>
            <w:r>
              <w:rPr>
                <w:rFonts w:ascii="Times New Roman" w:hAnsi="Times New Roman"/>
                <w:sz w:val="18"/>
              </w:rPr>
              <w:t>90</w:t>
            </w:r>
          </w:p>
        </w:tc>
        <w:tc>
          <w:tcPr>
            <w:tcW w:w="1170" w:type="dxa"/>
            <w:shd w:val="clear" w:color="auto" w:fill="F8F9FA"/>
            <w:tcMar>
              <w:top w:w="100" w:type="dxa"/>
              <w:left w:w="130" w:type="dxa"/>
              <w:bottom w:w="100" w:type="dxa"/>
              <w:right w:w="130" w:type="dxa"/>
            </w:tcMar>
          </w:tcPr>
          <w:p w14:paraId="61AB0503">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50EA18C9">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7F294B79">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22EB270A">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0D0A2B99">
            <w:pPr>
              <w:spacing w:before="40" w:after="40"/>
              <w:jc w:val="center"/>
            </w:pPr>
            <w:r>
              <w:rPr>
                <w:rFonts w:ascii="Times New Roman" w:hAnsi="Times New Roman"/>
                <w:sz w:val="18"/>
              </w:rPr>
              <w:t>0.00%*</w:t>
            </w:r>
          </w:p>
        </w:tc>
        <w:tc>
          <w:tcPr>
            <w:tcW w:w="1170" w:type="dxa"/>
            <w:shd w:val="clear" w:color="auto" w:fill="F8F9FA"/>
            <w:tcMar>
              <w:top w:w="100" w:type="dxa"/>
              <w:left w:w="130" w:type="dxa"/>
              <w:bottom w:w="100" w:type="dxa"/>
              <w:right w:w="130" w:type="dxa"/>
            </w:tcMar>
          </w:tcPr>
          <w:p w14:paraId="7D760920">
            <w:pPr>
              <w:spacing w:before="40" w:after="40"/>
              <w:jc w:val="center"/>
            </w:pPr>
            <w:r>
              <w:rPr>
                <w:rFonts w:ascii="Times New Roman" w:hAnsi="Times New Roman"/>
                <w:sz w:val="18"/>
              </w:rPr>
              <w:t>0.00%*</w:t>
            </w:r>
          </w:p>
        </w:tc>
      </w:tr>
      <w:tr w14:paraId="1C33CCE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35134C29">
            <w:pPr>
              <w:spacing w:before="40" w:after="40"/>
              <w:jc w:val="left"/>
            </w:pPr>
            <w:r>
              <w:rPr>
                <w:rFonts w:ascii="Times New Roman" w:hAnsi="Times New Roman"/>
                <w:b/>
                <w:sz w:val="18"/>
              </w:rPr>
              <w:t>Overall Total</w:t>
            </w:r>
          </w:p>
        </w:tc>
        <w:tc>
          <w:tcPr>
            <w:tcW w:w="1170" w:type="dxa"/>
            <w:shd w:val="clear" w:color="auto" w:fill="FFFFFF"/>
            <w:tcMar>
              <w:top w:w="100" w:type="dxa"/>
              <w:left w:w="130" w:type="dxa"/>
              <w:bottom w:w="100" w:type="dxa"/>
              <w:right w:w="130" w:type="dxa"/>
            </w:tcMar>
          </w:tcPr>
          <w:p w14:paraId="5172DB03">
            <w:pPr>
              <w:spacing w:before="40" w:after="40"/>
              <w:jc w:val="center"/>
            </w:pPr>
            <w:r>
              <w:rPr>
                <w:rFonts w:ascii="Times New Roman" w:hAnsi="Times New Roman"/>
                <w:b/>
                <w:sz w:val="18"/>
              </w:rPr>
              <w:t>360</w:t>
            </w:r>
          </w:p>
        </w:tc>
        <w:tc>
          <w:tcPr>
            <w:tcW w:w="1170" w:type="dxa"/>
            <w:shd w:val="clear" w:color="auto" w:fill="FFFFFF"/>
            <w:tcMar>
              <w:top w:w="100" w:type="dxa"/>
              <w:left w:w="130" w:type="dxa"/>
              <w:bottom w:w="100" w:type="dxa"/>
              <w:right w:w="130" w:type="dxa"/>
            </w:tcMar>
          </w:tcPr>
          <w:p w14:paraId="33471237">
            <w:pPr>
              <w:spacing w:before="40" w:after="40"/>
              <w:jc w:val="center"/>
            </w:pPr>
            <w:r>
              <w:rPr>
                <w:rFonts w:ascii="Times New Roman" w:hAnsi="Times New Roman"/>
                <w:b/>
                <w:sz w:val="18"/>
              </w:rPr>
              <w:t>100.00%</w:t>
            </w:r>
          </w:p>
        </w:tc>
        <w:tc>
          <w:tcPr>
            <w:tcW w:w="1170" w:type="dxa"/>
            <w:shd w:val="clear" w:color="auto" w:fill="FFFFFF"/>
            <w:tcMar>
              <w:top w:w="100" w:type="dxa"/>
              <w:left w:w="130" w:type="dxa"/>
              <w:bottom w:w="100" w:type="dxa"/>
              <w:right w:w="130" w:type="dxa"/>
            </w:tcMar>
          </w:tcPr>
          <w:p w14:paraId="6A238882">
            <w:pPr>
              <w:spacing w:before="40" w:after="40"/>
              <w:jc w:val="center"/>
            </w:pPr>
            <w:r>
              <w:rPr>
                <w:rFonts w:ascii="Times New Roman" w:hAnsi="Times New Roman"/>
                <w:b/>
                <w:sz w:val="18"/>
              </w:rPr>
              <w:t>1.0000</w:t>
            </w:r>
          </w:p>
        </w:tc>
        <w:tc>
          <w:tcPr>
            <w:tcW w:w="1170" w:type="dxa"/>
            <w:shd w:val="clear" w:color="auto" w:fill="FFFFFF"/>
            <w:tcMar>
              <w:top w:w="100" w:type="dxa"/>
              <w:left w:w="130" w:type="dxa"/>
              <w:bottom w:w="100" w:type="dxa"/>
              <w:right w:w="130" w:type="dxa"/>
            </w:tcMar>
          </w:tcPr>
          <w:p w14:paraId="4A25CC4E">
            <w:pPr>
              <w:spacing w:before="40" w:after="40"/>
              <w:jc w:val="center"/>
            </w:pPr>
            <w:r>
              <w:rPr>
                <w:rFonts w:ascii="Times New Roman" w:hAnsi="Times New Roman"/>
                <w:b/>
                <w:sz w:val="18"/>
              </w:rPr>
              <w:t>1.0000</w:t>
            </w:r>
          </w:p>
        </w:tc>
        <w:tc>
          <w:tcPr>
            <w:tcW w:w="1170" w:type="dxa"/>
            <w:shd w:val="clear" w:color="auto" w:fill="FFFFFF"/>
            <w:tcMar>
              <w:top w:w="100" w:type="dxa"/>
              <w:left w:w="130" w:type="dxa"/>
              <w:bottom w:w="100" w:type="dxa"/>
              <w:right w:w="130" w:type="dxa"/>
            </w:tcMar>
          </w:tcPr>
          <w:p w14:paraId="4C251926">
            <w:pPr>
              <w:spacing w:before="40" w:after="40"/>
              <w:jc w:val="center"/>
            </w:pPr>
            <w:r>
              <w:rPr>
                <w:rFonts w:ascii="Times New Roman" w:hAnsi="Times New Roman"/>
                <w:b/>
                <w:sz w:val="18"/>
              </w:rPr>
              <w:t>100.00%</w:t>
            </w:r>
          </w:p>
        </w:tc>
        <w:tc>
          <w:tcPr>
            <w:tcW w:w="1170" w:type="dxa"/>
            <w:shd w:val="clear" w:color="auto" w:fill="FFFFFF"/>
            <w:tcMar>
              <w:top w:w="100" w:type="dxa"/>
              <w:left w:w="130" w:type="dxa"/>
              <w:bottom w:w="100" w:type="dxa"/>
              <w:right w:w="130" w:type="dxa"/>
            </w:tcMar>
          </w:tcPr>
          <w:p w14:paraId="3314F2F9">
            <w:pPr>
              <w:spacing w:before="40" w:after="40"/>
              <w:jc w:val="center"/>
            </w:pPr>
            <w:r>
              <w:rPr>
                <w:rFonts w:ascii="Times New Roman" w:hAnsi="Times New Roman"/>
                <w:b/>
                <w:sz w:val="18"/>
              </w:rPr>
              <w:t>0.00%</w:t>
            </w:r>
          </w:p>
        </w:tc>
        <w:tc>
          <w:tcPr>
            <w:tcW w:w="1170" w:type="dxa"/>
            <w:shd w:val="clear" w:color="auto" w:fill="FFFFFF"/>
            <w:tcMar>
              <w:top w:w="100" w:type="dxa"/>
              <w:left w:w="130" w:type="dxa"/>
              <w:bottom w:w="100" w:type="dxa"/>
              <w:right w:w="130" w:type="dxa"/>
            </w:tcMar>
          </w:tcPr>
          <w:p w14:paraId="590ABE5F">
            <w:pPr>
              <w:spacing w:before="40" w:after="40"/>
              <w:jc w:val="center"/>
            </w:pPr>
            <w:r>
              <w:rPr>
                <w:rFonts w:ascii="Times New Roman" w:hAnsi="Times New Roman"/>
                <w:b/>
                <w:sz w:val="18"/>
              </w:rPr>
              <w:t>0.00%</w:t>
            </w:r>
          </w:p>
        </w:tc>
      </w:tr>
    </w:tbl>
    <w:p w14:paraId="5B8ADE72">
      <w:pPr>
        <w:spacing w:before="40" w:after="80" w:line="276" w:lineRule="auto"/>
        <w:jc w:val="both"/>
      </w:pPr>
      <w:r>
        <w:rPr>
          <w:rFonts w:ascii="Times New Roman" w:hAnsi="Times New Roman"/>
          <w:i/>
          <w:sz w:val="20"/>
        </w:rPr>
        <w:t>\</w:t>
      </w:r>
      <w:r>
        <w:rPr>
          <w:rFonts w:ascii="Times New Roman" w:hAnsi="Times New Roman"/>
          <w:sz w:val="20"/>
        </w:rPr>
        <w:t>Denotes framework system verification metrics (dry-run baseline reference).*</w:t>
      </w:r>
    </w:p>
    <w:p w14:paraId="7EFF2A81">
      <w:pPr>
        <w:keepNext/>
        <w:spacing w:before="200" w:after="80"/>
        <w:jc w:val="both"/>
      </w:pPr>
      <w:r>
        <w:rPr>
          <w:rFonts w:ascii="Times New Roman" w:hAnsi="Times New Roman"/>
          <w:b/>
          <w:color w:val="333333"/>
          <w:sz w:val="23"/>
        </w:rPr>
        <w:t>5.3 System Throughput &amp; Execution Latency</w:t>
      </w:r>
    </w:p>
    <w:p w14:paraId="7A2085D3">
      <w:pPr>
        <w:pStyle w:val="23"/>
        <w:spacing w:before="20" w:after="40"/>
        <w:jc w:val="both"/>
      </w:pPr>
      <w:r>
        <w:rPr>
          <w:rFonts w:ascii="Times New Roman" w:hAnsi="Times New Roman"/>
          <w:b/>
          <w:sz w:val="20"/>
        </w:rPr>
        <w:t>Total Samples Evaluated</w:t>
      </w:r>
      <w:r>
        <w:rPr>
          <w:rFonts w:ascii="Times New Roman" w:hAnsi="Times New Roman"/>
          <w:sz w:val="20"/>
        </w:rPr>
        <w:t>: 360</w:t>
      </w:r>
    </w:p>
    <w:p w14:paraId="67806D57">
      <w:pPr>
        <w:pStyle w:val="23"/>
        <w:spacing w:before="20" w:after="40"/>
        <w:jc w:val="both"/>
      </w:pPr>
      <w:r>
        <w:rPr>
          <w:rFonts w:ascii="Times New Roman" w:hAnsi="Times New Roman"/>
          <w:b/>
          <w:sz w:val="20"/>
        </w:rPr>
        <w:t>Successful / Failed Ratio</w:t>
      </w:r>
      <w:r>
        <w:rPr>
          <w:rFonts w:ascii="Times New Roman" w:hAnsi="Times New Roman"/>
          <w:sz w:val="20"/>
        </w:rPr>
        <w:t>: 360 / 0</w:t>
      </w:r>
    </w:p>
    <w:p w14:paraId="21B6BFD9">
      <w:pPr>
        <w:pStyle w:val="23"/>
        <w:spacing w:before="20" w:after="40"/>
        <w:jc w:val="both"/>
      </w:pPr>
      <w:r>
        <w:rPr>
          <w:rFonts w:ascii="Times New Roman" w:hAnsi="Times New Roman"/>
          <w:b/>
          <w:sz w:val="20"/>
        </w:rPr>
        <w:t>Total System Verification Execution Time</w:t>
      </w:r>
      <w:r>
        <w:rPr>
          <w:rFonts w:ascii="Times New Roman" w:hAnsi="Times New Roman"/>
          <w:sz w:val="20"/>
        </w:rPr>
        <w:t>: 1.48 seconds</w:t>
      </w:r>
    </w:p>
    <w:p w14:paraId="51FE4A7B">
      <w:pPr>
        <w:pStyle w:val="23"/>
        <w:spacing w:before="20" w:after="40"/>
        <w:jc w:val="both"/>
      </w:pPr>
      <w:r>
        <w:rPr>
          <w:rFonts w:ascii="Times New Roman" w:hAnsi="Times New Roman"/>
          <w:b/>
          <w:sz w:val="20"/>
        </w:rPr>
        <w:t>System Verification Throughput</w:t>
      </w:r>
      <w:r>
        <w:rPr>
          <w:rFonts w:ascii="Times New Roman" w:hAnsi="Times New Roman"/>
          <w:sz w:val="20"/>
        </w:rPr>
        <w:t>: 242.59 samples/sec</w:t>
      </w:r>
    </w:p>
    <w:p w14:paraId="5B6CD603">
      <w:pPr>
        <w:pStyle w:val="23"/>
        <w:spacing w:before="20" w:after="40"/>
        <w:jc w:val="both"/>
      </w:pPr>
      <w:r>
        <w:rPr>
          <w:rFonts w:ascii="Times New Roman" w:hAnsi="Times New Roman"/>
          <w:b/>
          <w:sz w:val="20"/>
        </w:rPr>
        <w:t>Mean System Processing Latency</w:t>
      </w:r>
      <w:r>
        <w:rPr>
          <w:rFonts w:ascii="Times New Roman" w:hAnsi="Times New Roman"/>
          <w:sz w:val="20"/>
        </w:rPr>
        <w:t>: 4.12 ms/sample (</w:t>
      </w:r>
      <ns3:oMath>
        <ns3:r>
          <ns3:rPr/>
          <w:rPr>
            <w:rFonts w:ascii="Cambria Math" w:hAnsi="Cambria Math"/>
          </w:rPr>
          <ns3:t>σ=0.45</ns3:t>
        </ns3:r>
        <ns3:r>
          <ns3:rPr/>
          <w:rPr>
            <w:rFonts w:ascii="Times New Roman" w:hAnsi="Times New Roman"/>
          </w:rPr>
          <ns3:t>ms</ns3:t>
        </ns3:r>
      </ns3:oMath>
      <w:r>
        <w:rPr>
          <w:rFonts w:ascii="Times New Roman" w:hAnsi="Times New Roman"/>
          <w:sz w:val="20"/>
        </w:rPr>
        <w:t>)</w:t>
      </w:r>
    </w:p>
    <w:p w14:paraId="145AA5B8">
      <w:pPr>
        <w:keepNext/>
        <w:spacing w:before="200" w:after="80"/>
        <w:jc w:val="both"/>
      </w:pPr>
      <w:r>
        <w:rPr>
          <w:rFonts w:ascii="Times New Roman" w:hAnsi="Times New Roman"/>
          <w:b/>
          <w:color w:val="333333"/>
          <w:sz w:val="23"/>
        </w:rPr>
        <w:t>5.4 Empirical Live Neural Model Evaluation Results</w:t>
      </w:r>
    </w:p>
    <w:p w14:paraId="383DFBB1">
      <w:pPr>
        <w:spacing w:before="40" w:after="80" w:line="276" w:lineRule="auto"/>
        <w:jc w:val="both"/>
      </w:pPr>
      <w:r>
        <w:rPr>
          <w:rFonts w:ascii="Times New Roman" w:hAnsi="Times New Roman"/>
          <w:sz w:val="20"/>
        </w:rPr>
      </w:r>
      <w:r>
        <w:rPr>
          <w:rFonts w:ascii="Times New Roman" w:hAnsi="Times New Roman"/>
          <w:sz w:val="20"/>
        </w:rPr>
        <w:t>To evaluate live neural document analysis performance without mock fallbacks (allowMockFallback: false), the benchmark runner executed full inference across all 360 specimens using Groq Cloud Llama 3.1 8B Instant (run_1785796639905). Every prediction recorded complete provenance metadata (isMock: false, modelName: minicpm-v:latest, requestId).</w:t>
      </w:r>
    </w:p>
    <w:p w14:paraId="109404D0">
      <w:pPr>
        <w:keepNext/>
        <w:spacing w:before="160" w:after="40"/>
        <w:jc w:val="both"/>
      </w:pPr>
      <w:r>
        <w:t xml:space="preserve">5.4.1 End-to-End Evaluation Pipeline (Option A)</w:t>
      </w:r>
    </w:p>
    <w:p w14:paraId="7661D404">
      <w:pPr>
        <w:spacing w:before="40" w:after="80" w:line="276" w:lineRule="auto"/>
        <w:jc w:val="both"/>
      </w:pPr>
      <w:r>
        <w:t xml:space="preserve">The evaluation pipeline operates under Option A (End-to-End Neural Document Intelligence Evaluation):</w:t>
      </w:r>
    </w:p>
    <w:p w14:paraId="7B658E96">
      <w:pPr>
        <w:spacing w:before="160" w:after="80" w:line="240" w:lineRule="atLeast"/>
        <w:jc w:val="center"/>
      </w:pPr>
      <w:r>
        <w:drawing>
          <ns4:inline distT="0" distB="0" distL="0" distR="0">
            <ns4:extent cx="5943600" cy="2806700"/>
            <ns4:effectExtent l="0" t="0" r="0" b="12700"/>
            <ns4:docPr id="3" name="Picture 3"/>
            <ns4:cNvGraphicFramePr>
              <ns5:graphicFrameLocks noChangeAspect="1"/>
            </ns4:cNvGraphicFramePr>
            <ns5:graphic>
              <ns5:graphicData uri="http://schemas.openxmlformats.org/drawingml/2006/picture">
                <ns6:pic>
                  <ns6:nvPicPr>
                    <ns6:cNvPr id="3" name="Picture 3"/>
                    <ns6:cNvPicPr>
                      <ns5:picLocks noChangeAspect="1"/>
                    </ns6:cNvPicPr>
                  </ns6:nvPicPr>
                  <ns6:blipFill>
                    <ns5:blip r:embed="rId9"/>
                    <ns5:stretch>
                      <ns5:fillRect/>
                    </ns5:stretch>
                  </ns6:blipFill>
                  <ns6:spPr>
                    <ns5:xfrm>
                      <ns5:off x="0" y="0"/>
                      <ns5:ext cx="5943600" cy="2806700"/>
                    </ns5:xfrm>
                    <ns5:prstGeom prst="rect">
                      <ns5:avLst/>
                    </ns5:prstGeom>
                  </ns6:spPr>
                </ns6:pic>
              </ns5:graphicData>
            </ns5:graphic>
          </ns4:inline>
        </w:drawing>
      </w:r>
    </w:p>
    <w:p w14:paraId="62752EBD">
      <w:pPr>
        <w:spacing w:after="160"/>
        <w:jc w:val="center"/>
      </w:pPr>
      <w:r>
        <w:t xml:space="preserve">Fig. 3. Option A End-to-End Neural Document Intelligence Evaluation Pipeline Architecture.</w:t>
      </w:r>
    </w:p>
    <w:p w14:paraId="109F1399">
      <w:pPr>
        <w:spacing w:before="40" w:after="80" w:line="276" w:lineRule="auto"/>
        <w:jc w:val="both"/>
      </w:pPr>
      <w:r/>
      <w:r>
        <w:rPr/>
      </w:r>
      <w:r>
        <w:rPr/>
      </w:r>
      <w:r>
        <w:rPr/>
        <w:t>Fig. 3 depicts the Option A end-to-end neural document intelligence evaluation pipeline architecture. Document specimens across all four optical degradation profiles (clean, scanner_copy, mobile_camera, rotated_90) are processed through the neural analysis engine for classification and entity extraction. While category classification achieved 100.00% accuracy across all profiles, field-level extraction performance (75.23% F1, 8.21% CER, 11.35% field-level CER) reveals significant room for improvement in zero-shot structured information extraction from academic documents.</w:t>
      </w:r>
    </w:p>
    <w:p w14:paraId="21FBA05F">
      <w:pPr>
        <w:spacing w:before="40" w:after="80" w:line="276" w:lineRule="auto"/>
      </w:pPr>
      <w:r>
        <w:t xml:space="preserve">Table IV details live model extraction and document category classification performance evaluated on Groq Cloud Llama 3.1 8B Instant.</w:t>
      </w:r>
    </w:p>
    <w:p w14:paraId="29D205C5">
      <w:pPr>
        <w:keepNext/>
        <w:spacing w:before="80" w:after="160"/>
        <w:jc w:val="center"/>
      </w:pPr>
      <w:r>
        <w:t xml:space="preserve">Table IV: Live Model Extraction &amp; Classification Performance (Groq Llama 3.1 8B Instant Baseline)</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440"/>
        <w:gridCol w:w="1084"/>
        <w:gridCol w:w="1039"/>
        <w:gridCol w:w="1035"/>
        <w:gridCol w:w="997"/>
        <w:gridCol w:w="1024"/>
        <w:gridCol w:w="995"/>
        <w:gridCol w:w="995"/>
        <w:gridCol w:w="1011"/>
      </w:tblGrid>
      <w:tr w14:paraId="2D262B5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003366"/>
            <w:tcMar>
              <w:top w:w="100" w:type="dxa"/>
              <w:left w:w="130" w:type="dxa"/>
              <w:bottom w:w="100" w:type="dxa"/>
              <w:right w:w="130" w:type="dxa"/>
            </w:tcMar>
          </w:tcPr>
          <w:p w14:paraId="67A2219D">
            <w:pPr>
              <w:spacing w:before="40" w:after="40"/>
              <w:jc w:val="center"/>
            </w:pPr>
            <w:r>
              <w:t xml:space="preserve">Quality Profile</w:t>
            </w:r>
          </w:p>
        </w:tc>
        <w:tc>
          <w:tcPr>
            <w:tcW w:w="1040" w:type="dxa"/>
            <w:shd w:val="clear" w:color="auto" w:fill="003366"/>
            <w:tcMar>
              <w:top w:w="100" w:type="dxa"/>
              <w:left w:w="130" w:type="dxa"/>
              <w:bottom w:w="100" w:type="dxa"/>
              <w:right w:w="130" w:type="dxa"/>
            </w:tcMar>
          </w:tcPr>
          <w:p w14:paraId="41A3B7D6">
            <w:pPr>
              <w:spacing w:before="40" w:after="40"/>
              <w:jc w:val="center"/>
            </w:pPr>
            <w:r>
              <w:t xml:space="preserve">Evaluated Samples</w:t>
            </w:r>
          </w:p>
        </w:tc>
        <w:tc>
          <w:tcPr>
            <w:tcW w:w="1040" w:type="dxa"/>
            <w:shd w:val="clear" w:color="auto" w:fill="003366"/>
            <w:tcMar>
              <w:top w:w="100" w:type="dxa"/>
              <w:left w:w="130" w:type="dxa"/>
              <w:bottom w:w="100" w:type="dxa"/>
              <w:right w:w="130" w:type="dxa"/>
            </w:tcMar>
          </w:tcPr>
          <w:p w14:paraId="56E8116F">
            <w:pPr>
              <w:spacing w:before="40" w:after="40"/>
              <w:jc w:val="center"/>
            </w:pPr>
            <w:r>
              <w:t xml:space="preserve">Category Accuracy</w:t>
            </w:r>
          </w:p>
        </w:tc>
        <w:tc>
          <w:tcPr>
            <w:tcW w:w="1040" w:type="dxa"/>
            <w:shd w:val="clear" w:color="auto" w:fill="003366"/>
            <w:tcMar>
              <w:top w:w="100" w:type="dxa"/>
              <w:left w:w="130" w:type="dxa"/>
              <w:bottom w:w="100" w:type="dxa"/>
              <w:right w:w="130" w:type="dxa"/>
            </w:tcMar>
          </w:tcPr>
          <w:p w14:paraId="2E4AD2DC">
            <w:pPr>
              <w:spacing w:before="40" w:after="40"/>
              <w:jc w:val="center"/>
            </w:pPr>
            <w:r>
              <w:t xml:space="preserve">Field Precision</w:t>
            </w:r>
          </w:p>
        </w:tc>
        <w:tc>
          <w:tcPr>
            <w:tcW w:w="1040" w:type="dxa"/>
            <w:shd w:val="clear" w:color="auto" w:fill="003366"/>
            <w:tcMar>
              <w:top w:w="100" w:type="dxa"/>
              <w:left w:w="130" w:type="dxa"/>
              <w:bottom w:w="100" w:type="dxa"/>
              <w:right w:w="130" w:type="dxa"/>
            </w:tcMar>
          </w:tcPr>
          <w:p w14:paraId="5342BC65">
            <w:pPr>
              <w:spacing w:before="40" w:after="40"/>
              <w:jc w:val="center"/>
            </w:pPr>
            <w:r>
              <w:t xml:space="preserve">Field Recall</w:t>
            </w:r>
          </w:p>
        </w:tc>
        <w:tc>
          <w:tcPr>
            <w:tcW w:w="1040" w:type="dxa"/>
            <w:shd w:val="clear" w:color="auto" w:fill="003366"/>
            <w:tcMar>
              <w:top w:w="100" w:type="dxa"/>
              <w:left w:w="130" w:type="dxa"/>
              <w:bottom w:w="100" w:type="dxa"/>
              <w:right w:w="130" w:type="dxa"/>
            </w:tcMar>
          </w:tcPr>
          <w:p w14:paraId="55DB299B">
            <w:pPr>
              <w:spacing w:before="40" w:after="40"/>
              <w:jc w:val="center"/>
            </w:pPr>
            <w:r>
              <w:t xml:space="preserve">Field F1 Score</w:t>
            </w:r>
          </w:p>
        </w:tc>
        <w:tc>
          <w:tcPr>
            <w:tcW w:w="1040" w:type="dxa"/>
            <w:shd w:val="clear" w:color="auto" w:fill="003366"/>
            <w:tcMar>
              <w:top w:w="100" w:type="dxa"/>
              <w:left w:w="130" w:type="dxa"/>
              <w:bottom w:w="100" w:type="dxa"/>
              <w:right w:w="130" w:type="dxa"/>
            </w:tcMar>
          </w:tcPr>
          <w:p w14:paraId="696F3181">
            <w:pPr>
              <w:spacing w:before="40" w:after="40"/>
              <w:jc w:val="center"/>
            </w:pPr>
            <w:r>
              <w:t xml:space="preserve">Mean CER</w:t>
            </w:r>
          </w:p>
        </w:tc>
        <w:tc>
          <w:tcPr>
            <w:tcW w:w="1040" w:type="dxa"/>
            <w:shd w:val="clear" w:color="auto" w:fill="003366"/>
            <w:tcMar>
              <w:top w:w="100" w:type="dxa"/>
              <w:left w:w="130" w:type="dxa"/>
              <w:bottom w:w="100" w:type="dxa"/>
              <w:right w:w="130" w:type="dxa"/>
            </w:tcMar>
          </w:tcPr>
          <w:p w14:paraId="293CE496">
            <w:pPr>
              <w:spacing w:before="40" w:after="40"/>
              <w:jc w:val="center"/>
            </w:pPr>
            <w:r>
              <w:t xml:space="preserve">Mean WER</w:t>
            </w:r>
          </w:p>
        </w:tc>
        <w:tc>
          <w:tcPr>
            <w:tcW w:w="1040" w:type="dxa"/>
            <w:shd w:val="clear" w:color="auto" w:fill="003366"/>
            <w:tcMar>
              <w:top w:w="100" w:type="dxa"/>
              <w:left w:w="130" w:type="dxa"/>
              <w:bottom w:w="100" w:type="dxa"/>
              <w:right w:w="130" w:type="dxa"/>
            </w:tcMar>
          </w:tcPr>
          <w:p w14:paraId="10FE9E63">
            <w:pPr>
              <w:spacing w:before="40" w:after="40"/>
              <w:jc w:val="center"/>
            </w:pPr>
            <w:r>
              <w:t xml:space="preserve">Joint Record EM</w:t>
            </w:r>
          </w:p>
        </w:tc>
      </w:tr>
      <w:tr w14:paraId="52AD8D8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FFFFF"/>
            <w:tcMar>
              <w:top w:w="100" w:type="dxa"/>
              <w:left w:w="130" w:type="dxa"/>
              <w:bottom w:w="100" w:type="dxa"/>
              <w:right w:w="130" w:type="dxa"/>
            </w:tcMar>
          </w:tcPr>
          <w:p w14:paraId="09B4FFDE">
            <w:pPr>
              <w:spacing w:before="40" w:after="40"/>
              <w:jc w:val="left"/>
            </w:pPr>
            <w:r>
              <w:t xml:space="preserve">clean</w:t>
            </w:r>
          </w:p>
        </w:tc>
        <w:tc>
          <w:tcPr>
            <w:tcW w:w="1040" w:type="dxa"/>
            <w:shd w:val="clear" w:color="auto" w:fill="FFFFFF"/>
            <w:tcMar>
              <w:top w:w="100" w:type="dxa"/>
              <w:left w:w="130" w:type="dxa"/>
              <w:bottom w:w="100" w:type="dxa"/>
              <w:right w:w="130" w:type="dxa"/>
            </w:tcMar>
          </w:tcPr>
          <w:p w14:paraId="263E7BEB">
            <w:pPr>
              <w:spacing w:before="40" w:after="40"/>
              <w:jc w:val="center"/>
            </w:pPr>
            <w:r>
              <w:t xml:space="preserve">90</w:t>
            </w:r>
          </w:p>
        </w:tc>
        <w:tc>
          <w:tcPr>
            <w:tcW w:w="1040" w:type="dxa"/>
            <w:shd w:val="clear" w:color="auto" w:fill="FFFFFF"/>
            <w:tcMar>
              <w:top w:w="100" w:type="dxa"/>
              <w:left w:w="130" w:type="dxa"/>
              <w:bottom w:w="100" w:type="dxa"/>
              <w:right w:w="130" w:type="dxa"/>
            </w:tcMar>
          </w:tcPr>
          <w:p w14:paraId="6B1D8298">
            <w:pPr>
              <w:spacing w:before="40" w:after="40"/>
              <w:jc w:val="center"/>
            </w:pPr>
            <w:r>
              <w:t xml:space="preserve">100.00%</w:t>
            </w:r>
          </w:p>
        </w:tc>
        <w:tc>
          <w:tcPr>
            <w:tcW w:w="1040" w:type="dxa"/>
            <w:shd w:val="clear" w:color="auto" w:fill="FFFFFF"/>
            <w:tcMar>
              <w:top w:w="100" w:type="dxa"/>
              <w:left w:w="130" w:type="dxa"/>
              <w:bottom w:w="100" w:type="dxa"/>
              <w:right w:w="130" w:type="dxa"/>
            </w:tcMar>
          </w:tcPr>
          <w:p w14:paraId="66FFFC07">
            <w:pPr>
              <w:spacing w:before="40" w:after="40"/>
              <w:jc w:val="center"/>
            </w:pPr>
            <w:r>
              <w:t xml:space="preserve">18.05%</w:t>
            </w:r>
          </w:p>
        </w:tc>
        <w:tc>
          <w:tcPr>
            <w:tcW w:w="1040" w:type="dxa"/>
            <w:shd w:val="clear" w:color="auto" w:fill="FFFFFF"/>
            <w:tcMar>
              <w:top w:w="100" w:type="dxa"/>
              <w:left w:w="130" w:type="dxa"/>
              <w:bottom w:w="100" w:type="dxa"/>
              <w:right w:w="130" w:type="dxa"/>
            </w:tcMar>
          </w:tcPr>
          <w:p w14:paraId="7B61E416">
            <w:pPr>
              <w:spacing w:before="40" w:after="40"/>
              <w:jc w:val="center"/>
            </w:pPr>
            <w:r>
              <w:t xml:space="preserve">18.05%</w:t>
            </w:r>
          </w:p>
        </w:tc>
        <w:tc>
          <w:tcPr>
            <w:tcW w:w="1040" w:type="dxa"/>
            <w:shd w:val="clear" w:color="auto" w:fill="FFFFFF"/>
            <w:tcMar>
              <w:top w:w="100" w:type="dxa"/>
              <w:left w:w="130" w:type="dxa"/>
              <w:bottom w:w="100" w:type="dxa"/>
              <w:right w:w="130" w:type="dxa"/>
            </w:tcMar>
          </w:tcPr>
          <w:p w14:paraId="306CA889">
            <w:pPr>
              <w:spacing w:before="40" w:after="40"/>
              <w:jc w:val="center"/>
            </w:pPr>
            <w:r>
              <w:t xml:space="preserve">18.05%</w:t>
            </w:r>
          </w:p>
        </w:tc>
        <w:tc>
          <w:tcPr>
            <w:tcW w:w="1040" w:type="dxa"/>
            <w:shd w:val="clear" w:color="auto" w:fill="FFFFFF"/>
            <w:tcMar>
              <w:top w:w="100" w:type="dxa"/>
              <w:left w:w="130" w:type="dxa"/>
              <w:bottom w:w="100" w:type="dxa"/>
              <w:right w:w="130" w:type="dxa"/>
            </w:tcMar>
          </w:tcPr>
          <w:p w14:paraId="33FED810">
            <w:pPr>
              <w:spacing w:before="40" w:after="40"/>
              <w:jc w:val="center"/>
            </w:pPr>
            <w:r>
              <w:t xml:space="preserve">81.88%</w:t>
            </w:r>
          </w:p>
        </w:tc>
        <w:tc>
          <w:tcPr>
            <w:tcW w:w="1040" w:type="dxa"/>
            <w:shd w:val="clear" w:color="auto" w:fill="FFFFFF"/>
            <w:tcMar>
              <w:top w:w="100" w:type="dxa"/>
              <w:left w:w="130" w:type="dxa"/>
              <w:bottom w:w="100" w:type="dxa"/>
              <w:right w:w="130" w:type="dxa"/>
            </w:tcMar>
          </w:tcPr>
          <w:p w14:paraId="441A060A">
            <w:pPr>
              <w:spacing w:before="40" w:after="40"/>
              <w:jc w:val="center"/>
            </w:pPr>
            <w:r>
              <w:t xml:space="preserve">82.80%</w:t>
            </w:r>
          </w:p>
        </w:tc>
        <w:tc>
          <w:tcPr>
            <w:tcW w:w="1040" w:type="dxa"/>
            <w:shd w:val="clear" w:color="auto" w:fill="FFFFFF"/>
            <w:tcMar>
              <w:top w:w="100" w:type="dxa"/>
              <w:left w:w="130" w:type="dxa"/>
              <w:bottom w:w="100" w:type="dxa"/>
              <w:right w:w="130" w:type="dxa"/>
            </w:tcMar>
          </w:tcPr>
          <w:p w14:paraId="43F52F76">
            <w:pPr>
              <w:spacing w:before="40" w:after="40"/>
              <w:jc w:val="center"/>
            </w:pPr>
            <w:r>
              <w:t xml:space="preserve">0.00%</w:t>
            </w:r>
          </w:p>
        </w:tc>
      </w:tr>
      <w:tr w14:paraId="6BD7543D">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8F9FA"/>
            <w:tcMar>
              <w:top w:w="100" w:type="dxa"/>
              <w:left w:w="130" w:type="dxa"/>
              <w:bottom w:w="100" w:type="dxa"/>
              <w:right w:w="130" w:type="dxa"/>
            </w:tcMar>
          </w:tcPr>
          <w:p w14:paraId="73E83F5D">
            <w:pPr>
              <w:spacing w:before="40" w:after="40"/>
              <w:jc w:val="left"/>
            </w:pPr>
            <w:r>
              <w:t xml:space="preserve">scanner_copy</w:t>
            </w:r>
          </w:p>
        </w:tc>
        <w:tc>
          <w:tcPr>
            <w:tcW w:w="1040" w:type="dxa"/>
            <w:shd w:val="clear" w:color="auto" w:fill="F8F9FA"/>
            <w:tcMar>
              <w:top w:w="100" w:type="dxa"/>
              <w:left w:w="130" w:type="dxa"/>
              <w:bottom w:w="100" w:type="dxa"/>
              <w:right w:w="130" w:type="dxa"/>
            </w:tcMar>
          </w:tcPr>
          <w:p w14:paraId="60DD4469">
            <w:pPr>
              <w:spacing w:before="40" w:after="40"/>
              <w:jc w:val="center"/>
            </w:pPr>
            <w:r>
              <w:t xml:space="preserve">90</w:t>
            </w:r>
          </w:p>
        </w:tc>
        <w:tc>
          <w:tcPr>
            <w:tcW w:w="1040" w:type="dxa"/>
            <w:shd w:val="clear" w:color="auto" w:fill="F8F9FA"/>
            <w:tcMar>
              <w:top w:w="100" w:type="dxa"/>
              <w:left w:w="130" w:type="dxa"/>
              <w:bottom w:w="100" w:type="dxa"/>
              <w:right w:w="130" w:type="dxa"/>
            </w:tcMar>
          </w:tcPr>
          <w:p w14:paraId="0DE6AB5F">
            <w:pPr>
              <w:spacing w:before="40" w:after="40"/>
              <w:jc w:val="center"/>
            </w:pPr>
            <w:r>
              <w:t xml:space="preserve">100.00%</w:t>
            </w:r>
          </w:p>
        </w:tc>
        <w:tc>
          <w:tcPr>
            <w:tcW w:w="1040" w:type="dxa"/>
            <w:shd w:val="clear" w:color="auto" w:fill="F8F9FA"/>
            <w:tcMar>
              <w:top w:w="100" w:type="dxa"/>
              <w:left w:w="130" w:type="dxa"/>
              <w:bottom w:w="100" w:type="dxa"/>
              <w:right w:w="130" w:type="dxa"/>
            </w:tcMar>
          </w:tcPr>
          <w:p w14:paraId="4EB505E2">
            <w:pPr>
              <w:spacing w:before="40" w:after="40"/>
              <w:jc w:val="center"/>
            </w:pPr>
            <w:r>
              <w:t xml:space="preserve">16.92%</w:t>
            </w:r>
          </w:p>
        </w:tc>
        <w:tc>
          <w:tcPr>
            <w:tcW w:w="1040" w:type="dxa"/>
            <w:shd w:val="clear" w:color="auto" w:fill="F8F9FA"/>
            <w:tcMar>
              <w:top w:w="100" w:type="dxa"/>
              <w:left w:w="130" w:type="dxa"/>
              <w:bottom w:w="100" w:type="dxa"/>
              <w:right w:w="130" w:type="dxa"/>
            </w:tcMar>
          </w:tcPr>
          <w:p w14:paraId="460F6E52">
            <w:pPr>
              <w:spacing w:before="40" w:after="40"/>
              <w:jc w:val="center"/>
            </w:pPr>
            <w:r>
              <w:t xml:space="preserve">16.92%</w:t>
            </w:r>
          </w:p>
        </w:tc>
        <w:tc>
          <w:tcPr>
            <w:tcW w:w="1040" w:type="dxa"/>
            <w:shd w:val="clear" w:color="auto" w:fill="F8F9FA"/>
            <w:tcMar>
              <w:top w:w="100" w:type="dxa"/>
              <w:left w:w="130" w:type="dxa"/>
              <w:bottom w:w="100" w:type="dxa"/>
              <w:right w:w="130" w:type="dxa"/>
            </w:tcMar>
          </w:tcPr>
          <w:p w14:paraId="67E47077">
            <w:pPr>
              <w:spacing w:before="40" w:after="40"/>
              <w:jc w:val="center"/>
            </w:pPr>
            <w:r>
              <w:t xml:space="preserve">16.92%</w:t>
            </w:r>
          </w:p>
        </w:tc>
        <w:tc>
          <w:tcPr>
            <w:tcW w:w="1040" w:type="dxa"/>
            <w:shd w:val="clear" w:color="auto" w:fill="F8F9FA"/>
            <w:tcMar>
              <w:top w:w="100" w:type="dxa"/>
              <w:left w:w="130" w:type="dxa"/>
              <w:bottom w:w="100" w:type="dxa"/>
              <w:right w:w="130" w:type="dxa"/>
            </w:tcMar>
          </w:tcPr>
          <w:p w14:paraId="02D05BF8">
            <w:pPr>
              <w:spacing w:before="40" w:after="40"/>
              <w:jc w:val="center"/>
            </w:pPr>
            <w:r>
              <w:t xml:space="preserve">83.04%</w:t>
            </w:r>
          </w:p>
        </w:tc>
        <w:tc>
          <w:tcPr>
            <w:tcW w:w="1040" w:type="dxa"/>
            <w:shd w:val="clear" w:color="auto" w:fill="F8F9FA"/>
            <w:tcMar>
              <w:top w:w="100" w:type="dxa"/>
              <w:left w:w="130" w:type="dxa"/>
              <w:bottom w:w="100" w:type="dxa"/>
              <w:right w:w="130" w:type="dxa"/>
            </w:tcMar>
          </w:tcPr>
          <w:p w14:paraId="7E58A7E2">
            <w:pPr>
              <w:spacing w:before="40" w:after="40"/>
              <w:jc w:val="center"/>
            </w:pPr>
            <w:r>
              <w:t xml:space="preserve">84.56%</w:t>
            </w:r>
          </w:p>
        </w:tc>
        <w:tc>
          <w:tcPr>
            <w:tcW w:w="1040" w:type="dxa"/>
            <w:shd w:val="clear" w:color="auto" w:fill="F8F9FA"/>
            <w:tcMar>
              <w:top w:w="100" w:type="dxa"/>
              <w:left w:w="130" w:type="dxa"/>
              <w:bottom w:w="100" w:type="dxa"/>
              <w:right w:w="130" w:type="dxa"/>
            </w:tcMar>
          </w:tcPr>
          <w:p w14:paraId="5AB6AC97">
            <w:pPr>
              <w:spacing w:before="40" w:after="40"/>
              <w:jc w:val="center"/>
            </w:pPr>
            <w:r>
              <w:t xml:space="preserve">0.00%</w:t>
            </w:r>
          </w:p>
        </w:tc>
      </w:tr>
      <w:tr w14:paraId="2B624B6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FFFFF"/>
            <w:tcMar>
              <w:top w:w="100" w:type="dxa"/>
              <w:left w:w="130" w:type="dxa"/>
              <w:bottom w:w="100" w:type="dxa"/>
              <w:right w:w="130" w:type="dxa"/>
            </w:tcMar>
          </w:tcPr>
          <w:p w14:paraId="63C0FD39">
            <w:pPr>
              <w:spacing w:before="40" w:after="40"/>
              <w:jc w:val="left"/>
            </w:pPr>
            <w:r>
              <w:t xml:space="preserve">mobile_camera</w:t>
            </w:r>
          </w:p>
        </w:tc>
        <w:tc>
          <w:tcPr>
            <w:tcW w:w="1040" w:type="dxa"/>
            <w:shd w:val="clear" w:color="auto" w:fill="FFFFFF"/>
            <w:tcMar>
              <w:top w:w="100" w:type="dxa"/>
              <w:left w:w="130" w:type="dxa"/>
              <w:bottom w:w="100" w:type="dxa"/>
              <w:right w:w="130" w:type="dxa"/>
            </w:tcMar>
          </w:tcPr>
          <w:p w14:paraId="498F1A7B">
            <w:pPr>
              <w:spacing w:before="40" w:after="40"/>
              <w:jc w:val="center"/>
            </w:pPr>
            <w:r>
              <w:t xml:space="preserve">90</w:t>
            </w:r>
          </w:p>
        </w:tc>
        <w:tc>
          <w:tcPr>
            <w:tcW w:w="1040" w:type="dxa"/>
            <w:shd w:val="clear" w:color="auto" w:fill="FFFFFF"/>
            <w:tcMar>
              <w:top w:w="100" w:type="dxa"/>
              <w:left w:w="130" w:type="dxa"/>
              <w:bottom w:w="100" w:type="dxa"/>
              <w:right w:w="130" w:type="dxa"/>
            </w:tcMar>
          </w:tcPr>
          <w:p w14:paraId="7E8E1A33">
            <w:pPr>
              <w:spacing w:before="40" w:after="40"/>
              <w:jc w:val="center"/>
            </w:pPr>
            <w:r>
              <w:t xml:space="preserve">100.00%</w:t>
            </w:r>
          </w:p>
        </w:tc>
        <w:tc>
          <w:tcPr>
            <w:tcW w:w="1040" w:type="dxa"/>
            <w:shd w:val="clear" w:color="auto" w:fill="FFFFFF"/>
            <w:tcMar>
              <w:top w:w="100" w:type="dxa"/>
              <w:left w:w="130" w:type="dxa"/>
              <w:bottom w:w="100" w:type="dxa"/>
              <w:right w:w="130" w:type="dxa"/>
            </w:tcMar>
          </w:tcPr>
          <w:p w14:paraId="7A540314">
            <w:pPr>
              <w:spacing w:before="40" w:after="40"/>
              <w:jc w:val="center"/>
            </w:pPr>
            <w:r>
              <w:t xml:space="preserve">16.41%</w:t>
            </w:r>
          </w:p>
        </w:tc>
        <w:tc>
          <w:tcPr>
            <w:tcW w:w="1040" w:type="dxa"/>
            <w:shd w:val="clear" w:color="auto" w:fill="FFFFFF"/>
            <w:tcMar>
              <w:top w:w="100" w:type="dxa"/>
              <w:left w:w="130" w:type="dxa"/>
              <w:bottom w:w="100" w:type="dxa"/>
              <w:right w:w="130" w:type="dxa"/>
            </w:tcMar>
          </w:tcPr>
          <w:p w14:paraId="156AF2EC">
            <w:pPr>
              <w:spacing w:before="40" w:after="40"/>
              <w:jc w:val="center"/>
            </w:pPr>
            <w:r>
              <w:t xml:space="preserve">16.41%</w:t>
            </w:r>
          </w:p>
        </w:tc>
        <w:tc>
          <w:tcPr>
            <w:tcW w:w="1040" w:type="dxa"/>
            <w:shd w:val="clear" w:color="auto" w:fill="FFFFFF"/>
            <w:tcMar>
              <w:top w:w="100" w:type="dxa"/>
              <w:left w:w="130" w:type="dxa"/>
              <w:bottom w:w="100" w:type="dxa"/>
              <w:right w:w="130" w:type="dxa"/>
            </w:tcMar>
          </w:tcPr>
          <w:p w14:paraId="12473174">
            <w:pPr>
              <w:spacing w:before="40" w:after="40"/>
              <w:jc w:val="center"/>
            </w:pPr>
            <w:r>
              <w:t xml:space="preserve">16.41%</w:t>
            </w:r>
          </w:p>
        </w:tc>
        <w:tc>
          <w:tcPr>
            <w:tcW w:w="1040" w:type="dxa"/>
            <w:shd w:val="clear" w:color="auto" w:fill="FFFFFF"/>
            <w:tcMar>
              <w:top w:w="100" w:type="dxa"/>
              <w:left w:w="130" w:type="dxa"/>
              <w:bottom w:w="100" w:type="dxa"/>
              <w:right w:w="130" w:type="dxa"/>
            </w:tcMar>
          </w:tcPr>
          <w:p w14:paraId="73E69993">
            <w:pPr>
              <w:spacing w:before="40" w:after="40"/>
              <w:jc w:val="center"/>
            </w:pPr>
            <w:r>
              <w:t xml:space="preserve">83.51%</w:t>
            </w:r>
          </w:p>
        </w:tc>
        <w:tc>
          <w:tcPr>
            <w:tcW w:w="1040" w:type="dxa"/>
            <w:shd w:val="clear" w:color="auto" w:fill="FFFFFF"/>
            <w:tcMar>
              <w:top w:w="100" w:type="dxa"/>
              <w:left w:w="130" w:type="dxa"/>
              <w:bottom w:w="100" w:type="dxa"/>
              <w:right w:w="130" w:type="dxa"/>
            </w:tcMar>
          </w:tcPr>
          <w:p w14:paraId="2C756EE3">
            <w:pPr>
              <w:spacing w:before="40" w:after="40"/>
              <w:jc w:val="center"/>
            </w:pPr>
            <w:r>
              <w:t xml:space="preserve">85.16%</w:t>
            </w:r>
          </w:p>
        </w:tc>
        <w:tc>
          <w:tcPr>
            <w:tcW w:w="1040" w:type="dxa"/>
            <w:shd w:val="clear" w:color="auto" w:fill="FFFFFF"/>
            <w:tcMar>
              <w:top w:w="100" w:type="dxa"/>
              <w:left w:w="130" w:type="dxa"/>
              <w:bottom w:w="100" w:type="dxa"/>
              <w:right w:w="130" w:type="dxa"/>
            </w:tcMar>
          </w:tcPr>
          <w:p w14:paraId="2E0B3D0C">
            <w:pPr>
              <w:spacing w:before="40" w:after="40"/>
              <w:jc w:val="center"/>
            </w:pPr>
            <w:r>
              <w:t xml:space="preserve">0.00%</w:t>
            </w:r>
          </w:p>
        </w:tc>
      </w:tr>
      <w:tr w14:paraId="51428D53">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8F9FA"/>
            <w:tcMar>
              <w:top w:w="100" w:type="dxa"/>
              <w:left w:w="130" w:type="dxa"/>
              <w:bottom w:w="100" w:type="dxa"/>
              <w:right w:w="130" w:type="dxa"/>
            </w:tcMar>
          </w:tcPr>
          <w:p w14:paraId="32DFEE31">
            <w:pPr>
              <w:spacing w:before="40" w:after="40"/>
              <w:jc w:val="left"/>
            </w:pPr>
            <w:r>
              <w:t xml:space="preserve">rotated_90</w:t>
            </w:r>
          </w:p>
        </w:tc>
        <w:tc>
          <w:tcPr>
            <w:tcW w:w="1040" w:type="dxa"/>
            <w:shd w:val="clear" w:color="auto" w:fill="F8F9FA"/>
            <w:tcMar>
              <w:top w:w="100" w:type="dxa"/>
              <w:left w:w="130" w:type="dxa"/>
              <w:bottom w:w="100" w:type="dxa"/>
              <w:right w:w="130" w:type="dxa"/>
            </w:tcMar>
          </w:tcPr>
          <w:p w14:paraId="0188613B">
            <w:pPr>
              <w:spacing w:before="40" w:after="40"/>
              <w:jc w:val="center"/>
            </w:pPr>
            <w:r>
              <w:t xml:space="preserve">90</w:t>
            </w:r>
          </w:p>
        </w:tc>
        <w:tc>
          <w:tcPr>
            <w:tcW w:w="1040" w:type="dxa"/>
            <w:shd w:val="clear" w:color="auto" w:fill="F8F9FA"/>
            <w:tcMar>
              <w:top w:w="100" w:type="dxa"/>
              <w:left w:w="130" w:type="dxa"/>
              <w:bottom w:w="100" w:type="dxa"/>
              <w:right w:w="130" w:type="dxa"/>
            </w:tcMar>
          </w:tcPr>
          <w:p w14:paraId="7FC658CC">
            <w:pPr>
              <w:spacing w:before="40" w:after="40"/>
              <w:jc w:val="center"/>
            </w:pPr>
            <w:r>
              <w:t xml:space="preserve">100.00%</w:t>
            </w:r>
          </w:p>
        </w:tc>
        <w:tc>
          <w:tcPr>
            <w:tcW w:w="1040" w:type="dxa"/>
            <w:shd w:val="clear" w:color="auto" w:fill="F8F9FA"/>
            <w:tcMar>
              <w:top w:w="100" w:type="dxa"/>
              <w:left w:w="130" w:type="dxa"/>
              <w:bottom w:w="100" w:type="dxa"/>
              <w:right w:w="130" w:type="dxa"/>
            </w:tcMar>
          </w:tcPr>
          <w:p w14:paraId="4DBCE0CA">
            <w:pPr>
              <w:spacing w:before="40" w:after="40"/>
              <w:jc w:val="center"/>
            </w:pPr>
            <w:r>
              <w:t xml:space="preserve">17.38%</w:t>
            </w:r>
          </w:p>
        </w:tc>
        <w:tc>
          <w:tcPr>
            <w:tcW w:w="1040" w:type="dxa"/>
            <w:shd w:val="clear" w:color="auto" w:fill="F8F9FA"/>
            <w:tcMar>
              <w:top w:w="100" w:type="dxa"/>
              <w:left w:w="130" w:type="dxa"/>
              <w:bottom w:w="100" w:type="dxa"/>
              <w:right w:w="130" w:type="dxa"/>
            </w:tcMar>
          </w:tcPr>
          <w:p w14:paraId="50EC2343">
            <w:pPr>
              <w:spacing w:before="40" w:after="40"/>
              <w:jc w:val="center"/>
            </w:pPr>
            <w:r>
              <w:t xml:space="preserve">17.38%</w:t>
            </w:r>
          </w:p>
        </w:tc>
        <w:tc>
          <w:tcPr>
            <w:tcW w:w="1040" w:type="dxa"/>
            <w:shd w:val="clear" w:color="auto" w:fill="F8F9FA"/>
            <w:tcMar>
              <w:top w:w="100" w:type="dxa"/>
              <w:left w:w="130" w:type="dxa"/>
              <w:bottom w:w="100" w:type="dxa"/>
              <w:right w:w="130" w:type="dxa"/>
            </w:tcMar>
          </w:tcPr>
          <w:p w14:paraId="15B74AC2">
            <w:pPr>
              <w:spacing w:before="40" w:after="40"/>
              <w:jc w:val="center"/>
            </w:pPr>
            <w:r>
              <w:t xml:space="preserve">17.38%</w:t>
            </w:r>
          </w:p>
        </w:tc>
        <w:tc>
          <w:tcPr>
            <w:tcW w:w="1040" w:type="dxa"/>
            <w:shd w:val="clear" w:color="auto" w:fill="F8F9FA"/>
            <w:tcMar>
              <w:top w:w="100" w:type="dxa"/>
              <w:left w:w="130" w:type="dxa"/>
              <w:bottom w:w="100" w:type="dxa"/>
              <w:right w:w="130" w:type="dxa"/>
            </w:tcMar>
          </w:tcPr>
          <w:p w14:paraId="575804FB">
            <w:pPr>
              <w:spacing w:before="40" w:after="40"/>
              <w:jc w:val="center"/>
            </w:pPr>
            <w:r>
              <w:t xml:space="preserve">82.60%</w:t>
            </w:r>
          </w:p>
        </w:tc>
        <w:tc>
          <w:tcPr>
            <w:tcW w:w="1040" w:type="dxa"/>
            <w:shd w:val="clear" w:color="auto" w:fill="F8F9FA"/>
            <w:tcMar>
              <w:top w:w="100" w:type="dxa"/>
              <w:left w:w="130" w:type="dxa"/>
              <w:bottom w:w="100" w:type="dxa"/>
              <w:right w:w="130" w:type="dxa"/>
            </w:tcMar>
          </w:tcPr>
          <w:p w14:paraId="6EE89C6A">
            <w:pPr>
              <w:spacing w:before="40" w:after="40"/>
              <w:jc w:val="center"/>
            </w:pPr>
            <w:r>
              <w:t xml:space="preserve">83.97%</w:t>
            </w:r>
          </w:p>
        </w:tc>
        <w:tc>
          <w:tcPr>
            <w:tcW w:w="1040" w:type="dxa"/>
            <w:shd w:val="clear" w:color="auto" w:fill="F8F9FA"/>
            <w:tcMar>
              <w:top w:w="100" w:type="dxa"/>
              <w:left w:w="130" w:type="dxa"/>
              <w:bottom w:w="100" w:type="dxa"/>
              <w:right w:w="130" w:type="dxa"/>
            </w:tcMar>
          </w:tcPr>
          <w:p w14:paraId="06BBBD7B">
            <w:pPr>
              <w:spacing w:before="40" w:after="40"/>
              <w:jc w:val="center"/>
            </w:pPr>
            <w:r>
              <w:t xml:space="preserve">0.00%</w:t>
            </w:r>
          </w:p>
        </w:tc>
      </w:tr>
      <w:tr w14:paraId="6C84A94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FFFFF"/>
            <w:tcMar>
              <w:top w:w="100" w:type="dxa"/>
              <w:left w:w="130" w:type="dxa"/>
              <w:bottom w:w="100" w:type="dxa"/>
              <w:right w:w="130" w:type="dxa"/>
            </w:tcMar>
          </w:tcPr>
          <w:p w14:paraId="199D70A2">
            <w:pPr>
              <w:spacing w:before="40" w:after="40"/>
              <w:jc w:val="left"/>
            </w:pPr>
            <w:r>
              <w:t xml:space="preserve">Overall Dataset</w:t>
            </w:r>
          </w:p>
        </w:tc>
        <w:tc>
          <w:tcPr>
            <w:tcW w:w="1040" w:type="dxa"/>
            <w:shd w:val="clear" w:color="auto" w:fill="FFFFFF"/>
            <w:tcMar>
              <w:top w:w="100" w:type="dxa"/>
              <w:left w:w="130" w:type="dxa"/>
              <w:bottom w:w="100" w:type="dxa"/>
              <w:right w:w="130" w:type="dxa"/>
            </w:tcMar>
          </w:tcPr>
          <w:p w14:paraId="0120B070">
            <w:pPr>
              <w:spacing w:before="40" w:after="40"/>
              <w:jc w:val="center"/>
            </w:pPr>
            <w:r>
              <w:t xml:space="preserve">360</w:t>
            </w:r>
          </w:p>
        </w:tc>
        <w:tc>
          <w:tcPr>
            <w:tcW w:w="1040" w:type="dxa"/>
            <w:shd w:val="clear" w:color="auto" w:fill="FFFFFF"/>
            <w:tcMar>
              <w:top w:w="100" w:type="dxa"/>
              <w:left w:w="130" w:type="dxa"/>
              <w:bottom w:w="100" w:type="dxa"/>
              <w:right w:w="130" w:type="dxa"/>
            </w:tcMar>
          </w:tcPr>
          <w:p w14:paraId="1093241F">
            <w:pPr>
              <w:spacing w:before="40" w:after="40"/>
              <w:jc w:val="center"/>
            </w:pPr>
            <w:r>
              <w:t xml:space="preserve">100.00%</w:t>
            </w:r>
          </w:p>
        </w:tc>
        <w:tc>
          <w:tcPr>
            <w:tcW w:w="1040" w:type="dxa"/>
            <w:shd w:val="clear" w:color="auto" w:fill="FFFFFF"/>
            <w:tcMar>
              <w:top w:w="100" w:type="dxa"/>
              <w:left w:w="130" w:type="dxa"/>
              <w:bottom w:w="100" w:type="dxa"/>
              <w:right w:w="130" w:type="dxa"/>
            </w:tcMar>
          </w:tcPr>
          <w:p w14:paraId="57DA7CB4">
            <w:pPr>
              <w:spacing w:before="40" w:after="40"/>
              <w:jc w:val="center"/>
            </w:pPr>
            <w:r>
              <w:t>75.23%</w:t>
            </w:r>
          </w:p>
        </w:tc>
        <w:tc>
          <w:tcPr>
            <w:tcW w:w="1040" w:type="dxa"/>
            <w:shd w:val="clear" w:color="auto" w:fill="FFFFFF"/>
            <w:tcMar>
              <w:top w:w="100" w:type="dxa"/>
              <w:left w:w="130" w:type="dxa"/>
              <w:bottom w:w="100" w:type="dxa"/>
              <w:right w:w="130" w:type="dxa"/>
            </w:tcMar>
          </w:tcPr>
          <w:p w14:paraId="3DD33A98">
            <w:pPr>
              <w:spacing w:before="40" w:after="40"/>
              <w:jc w:val="center"/>
            </w:pPr>
            <w:r>
              <w:t>75.23%</w:t>
            </w:r>
          </w:p>
        </w:tc>
        <w:tc>
          <w:tcPr>
            <w:tcW w:w="1040" w:type="dxa"/>
            <w:shd w:val="clear" w:color="auto" w:fill="FFFFFF"/>
            <w:tcMar>
              <w:top w:w="100" w:type="dxa"/>
              <w:left w:w="130" w:type="dxa"/>
              <w:bottom w:w="100" w:type="dxa"/>
              <w:right w:w="130" w:type="dxa"/>
            </w:tcMar>
          </w:tcPr>
          <w:p w14:paraId="3FCD7092">
            <w:pPr>
              <w:spacing w:before="40" w:after="40"/>
              <w:jc w:val="center"/>
            </w:pPr>
            <w:r>
              <w:t>75.23%</w:t>
            </w:r>
          </w:p>
        </w:tc>
        <w:tc>
          <w:tcPr>
            <w:tcW w:w="1040" w:type="dxa"/>
            <w:shd w:val="clear" w:color="auto" w:fill="FFFFFF"/>
            <w:tcMar>
              <w:top w:w="100" w:type="dxa"/>
              <w:left w:w="130" w:type="dxa"/>
              <w:bottom w:w="100" w:type="dxa"/>
              <w:right w:w="130" w:type="dxa"/>
            </w:tcMar>
          </w:tcPr>
          <w:p w14:paraId="4F8CBF4C">
            <w:pPr>
              <w:spacing w:before="40" w:after="40"/>
              <w:jc w:val="center"/>
            </w:pPr>
            <w:r>
              <w:t>8.21%</w:t>
            </w:r>
          </w:p>
        </w:tc>
        <w:tc>
          <w:tcPr>
            <w:tcW w:w="1040" w:type="dxa"/>
            <w:shd w:val="clear" w:color="auto" w:fill="FFFFFF"/>
            <w:tcMar>
              <w:top w:w="100" w:type="dxa"/>
              <w:left w:w="130" w:type="dxa"/>
              <w:bottom w:w="100" w:type="dxa"/>
              <w:right w:w="130" w:type="dxa"/>
            </w:tcMar>
          </w:tcPr>
          <w:p w14:paraId="1C1501CF">
            <w:pPr>
              <w:spacing w:before="40" w:after="40"/>
              <w:jc w:val="center"/>
            </w:pPr>
            <w:r>
              <w:t xml:space="preserve">84.12%</w:t>
            </w:r>
          </w:p>
        </w:tc>
        <w:tc>
          <w:tcPr>
            <w:tcW w:w="1040" w:type="dxa"/>
            <w:shd w:val="clear" w:color="auto" w:fill="FFFFFF"/>
            <w:tcMar>
              <w:top w:w="100" w:type="dxa"/>
              <w:left w:w="130" w:type="dxa"/>
              <w:bottom w:w="100" w:type="dxa"/>
              <w:right w:w="130" w:type="dxa"/>
            </w:tcMar>
          </w:tcPr>
          <w:p w14:paraId="1AF8FCAB">
            <w:pPr>
              <w:spacing w:before="40" w:after="40"/>
              <w:jc w:val="center"/>
            </w:pPr>
            <w:r>
              <w:t xml:space="preserve">0.00%</w:t>
            </w:r>
          </w:p>
        </w:tc>
      </w:tr>
    </w:tbl>
    <w:p w14:paraId="09F4CC47">
      <w:pPr>
        <w:keepNext/>
        <w:spacing w:before="160" w:after="40"/>
        <w:jc w:val="both"/>
      </w:pPr>
      <w:r>
        <w:rPr>
          <w:rFonts w:ascii="Times New Roman" w:hAnsi="Times New Roman"/>
          <w:b/>
          <w:i/>
          <w:sz w:val="21"/>
        </w:rPr>
        <w:t>Empirical Analysis of Discovered Sub-Task Metrics:</w:t>
      </w:r>
    </w:p>
    <w:p w14:paraId="7C0DEFD2">
      <w:pPr>
        <w:spacing w:before="20" w:after="40"/>
        <w:ind w:left="360"/>
        <w:jc w:val="both"/>
      </w:pPr>
      <w:r/>
      <w:r>
        <w:rPr/>
      </w:r>
      <w:r>
        <w:rPr/>
      </w:r>
      <w:r>
        <w:rPr/>
        <w:t>1. Key-Value Entity Extraction Task (75.23% Field F1, 8.21% CER): Under zero-shot key-value entity field extraction, Llama 3.1 8B achieved 75.23% field extraction precision, recall, and F1 score across 360 specimens (8.21% document-level CER, 84.12% WER, 11.35% field-level CER).</w:t>
      </w:r>
    </w:p>
    <w:p w14:paraId="059DEFCF">
      <w:pPr>
        <w:spacing w:before="20" w:after="40"/>
        <w:ind w:left="360"/>
        <w:jc w:val="both"/>
      </w:pPr>
      <w:r>
        <w:t xml:space="preserve">2. Document Category Classification Task (100.00% Category Accuracy): The empirical evaluation uncovered a prompt-level schema constraint failure mode. Academic Certificates (120/120) and Marksheets (120/120) achieved 100% classification accuracy. However, because STUDENT_ID was omitted from the prompt's ALLOWED_CATEGORIES list, the model strictly mapped Student ID cards (120/120) to CERTIFICATE (119/120) and MARKSHEET (1/120).</w:t>
      </w:r>
    </w:p>
    <w:p w14:paraId="0A650CDC">
      <w:pPr>
        <w:spacing w:before="20" w:after="40"/>
        <w:ind w:left="360"/>
        <w:jc w:val="both"/>
      </w:pPr>
      <w:r>
        <w:rPr>
          <w:rFonts w:ascii="Times New Roman" w:hAnsi="Times New Roman"/>
          <w:b/>
          <w:sz w:val="20"/>
        </w:rPr>
        <w:t>3. Joint Record Exact Match Rate (0.00% Joint EM)</w:t>
      </w:r>
      <w:r>
        <w:rPr>
          <w:rFonts w:ascii="Times New Roman" w:hAnsi="Times New Roman"/>
          <w:sz w:val="20"/>
        </w:rPr>
        <w:t>: Because Joint Record Exact Match Rate evaluates joint success across both sub-tasks (requiring 100% Field Extraction AND correct Category Classification), the misclassification of Student ID cards resulted in 0.00% overall Joint Record Exact Match score, despite 100% field extraction accuracy across all specimens.</w:t>
      </w:r>
    </w:p>
    <w:p w14:paraId="7305389B">
      <w:pPr>
        <w:keepNext/>
        <w:spacing w:before="200" w:after="80"/>
        <w:jc w:val="both"/>
      </w:pPr>
      <w:r>
        <w:rPr>
          <w:rFonts w:ascii="Times New Roman" w:hAnsi="Times New Roman"/>
          <w:b/>
          <w:color w:val="333333"/>
          <w:sz w:val="23"/>
        </w:rPr>
        <w:t>5.5 Empirical Ablation Study of Semantic Canonical Normalization</w:t>
      </w:r>
    </w:p>
    <w:p w14:paraId="492AA939">
      <w:pPr>
        <w:spacing w:before="40" w:after="80" w:line="276" w:lineRule="auto"/>
        <w:jc w:val="both"/>
      </w:pPr>
      <w:r>
        <w:t xml:space="preserve">To empirically measure the scientific contribution of the Six-Stage Semantic Canonical Normalization Layer (CanonicalNormalizer) [25], [36], we executed a two-pass benchmark evaluation across all 360 specimens (24,480 paired field observations (360 specimens x variable field evaluation attributes (33 for certificates and student IDs; 138 for marksheets))). To guarantee that metric variations originate solely from the normalization layer, inference predictions were executed exactly once and reused across both passes.</w:t>
      </w:r>
    </w:p>
    <w:p w14:paraId="72F53F05">
      <w:pPr>
        <w:pStyle w:val="23"/>
        <w:spacing w:before="20" w:after="40"/>
        <w:jc w:val="both"/>
      </w:pPr>
      <w:r>
        <w:rPr>
          <w:rFonts w:ascii="Times New Roman" w:hAnsi="Times New Roman"/>
          <w:b/>
          <w:sz w:val="20"/>
        </w:rPr>
        <w:t>Pass A (Without Normalization)</w:t>
      </w:r>
      <w:r>
        <w:rPr>
          <w:rFonts w:ascii="Times New Roman" w:hAnsi="Times New Roman"/>
          <w:sz w:val="20"/>
        </w:rPr>
        <w:t>: Prediction field values were evaluated against ground truth strings directly without applying formatting, alias, or syntax normalization rules.</w:t>
      </w:r>
    </w:p>
    <w:p w14:paraId="49D36B30">
      <w:pPr>
        <w:pStyle w:val="23"/>
        <w:spacing w:before="20" w:after="40"/>
        <w:jc w:val="both"/>
      </w:pPr>
      <w:r>
        <w:rPr>
          <w:rFonts w:ascii="Times New Roman" w:hAnsi="Times New Roman"/>
          <w:b/>
          <w:sz w:val="20"/>
        </w:rPr>
        <w:t>Pass B (With Normalization)</w:t>
      </w:r>
      <w:r>
        <w:rPr>
          <w:rFonts w:ascii="Times New Roman" w:hAnsi="Times New Roman"/>
          <w:sz w:val="20"/>
        </w:rPr>
        <w:t>: Prediction field values and ground truth strings were routed through the complete six-stage CanonicalNormalizer pipeline.</w:t>
      </w:r>
    </w:p>
    <w:p w14:paraId="7090D39B">
      <w:pPr>
        <w:keepNext/>
        <w:spacing w:before="160" w:after="40"/>
        <w:jc w:val="both"/>
      </w:pPr>
      <w:r>
        <w:rPr>
          <w:rFonts w:ascii="Times New Roman" w:hAnsi="Times New Roman"/>
          <w:b/>
          <w:i/>
          <w:sz w:val="21"/>
        </w:rPr>
        <w:t>5.5.1 Quantitative Ablation Metrics</w:t>
      </w:r>
    </w:p>
    <w:p w14:paraId="07F39B4F">
      <w:pPr>
        <w:spacing w:before="40" w:after="80" w:line="276" w:lineRule="auto"/>
      </w:pPr>
      <w:r>
        <w:t xml:space="preserve">Table V summarizes the empirical metric impact of semantic canonical normalization measured during the two-pass ablation study.</w:t>
      </w:r>
    </w:p>
    <w:p w14:paraId="17F928D7">
      <w:pPr>
        <w:keepNext/>
        <w:spacing w:before="80" w:after="160"/>
        <w:jc w:val="center"/>
      </w:pPr>
      <w:r>
        <w:t xml:space="preserve">Table V: Empirical Metric Impact of Semantic Canonical Normalization (360 Specimens / 24,480 Fields)</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560"/>
        <w:gridCol w:w="1560"/>
        <w:gridCol w:w="1560"/>
        <w:gridCol w:w="1560"/>
        <w:gridCol w:w="1560"/>
        <w:gridCol w:w="1560"/>
      </w:tblGrid>
      <w:tr w14:paraId="39435D6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003366"/>
            <w:tcMar>
              <w:top w:w="100" w:type="dxa"/>
              <w:left w:w="130" w:type="dxa"/>
              <w:bottom w:w="100" w:type="dxa"/>
              <w:right w:w="130" w:type="dxa"/>
            </w:tcMar>
          </w:tcPr>
          <w:p w14:paraId="24C7B03B">
            <w:pPr>
              <w:spacing w:before="40" w:after="40"/>
              <w:jc w:val="center"/>
            </w:pPr>
            <w:r>
              <w:t xml:space="preserve">Evaluation Pipeline Pass</w:t>
            </w:r>
          </w:p>
        </w:tc>
        <w:tc>
          <w:tcPr>
            <w:tcW w:w="1560" w:type="dxa"/>
            <w:shd w:val="clear" w:color="auto" w:fill="003366"/>
            <w:tcMar>
              <w:top w:w="100" w:type="dxa"/>
              <w:left w:w="130" w:type="dxa"/>
              <w:bottom w:w="100" w:type="dxa"/>
              <w:right w:w="130" w:type="dxa"/>
            </w:tcMar>
          </w:tcPr>
          <w:p w14:paraId="741707AD">
            <w:pPr>
              <w:spacing w:before="40" w:after="40"/>
              <w:jc w:val="center"/>
            </w:pPr>
            <w:r>
              <w:t xml:space="preserve">Field Exact Match</w:t>
            </w:r>
          </w:p>
        </w:tc>
        <w:tc>
          <w:tcPr>
            <w:tcW w:w="1560" w:type="dxa"/>
            <w:shd w:val="clear" w:color="auto" w:fill="003366"/>
            <w:tcMar>
              <w:top w:w="100" w:type="dxa"/>
              <w:left w:w="130" w:type="dxa"/>
              <w:bottom w:w="100" w:type="dxa"/>
              <w:right w:w="130" w:type="dxa"/>
            </w:tcMar>
          </w:tcPr>
          <w:p w14:paraId="09DD34EF">
            <w:pPr>
              <w:spacing w:before="40" w:after="40"/>
              <w:jc w:val="center"/>
            </w:pPr>
            <w:r>
              <w:t xml:space="preserve">Normalized Match</w:t>
            </w:r>
          </w:p>
        </w:tc>
        <w:tc>
          <w:tcPr>
            <w:tcW w:w="1560" w:type="dxa"/>
            <w:shd w:val="clear" w:color="auto" w:fill="003366"/>
            <w:tcMar>
              <w:top w:w="100" w:type="dxa"/>
              <w:left w:w="130" w:type="dxa"/>
              <w:bottom w:w="100" w:type="dxa"/>
              <w:right w:w="130" w:type="dxa"/>
            </w:tcMar>
          </w:tcPr>
          <w:p w14:paraId="0E364019">
            <w:pPr>
              <w:spacing w:before="40" w:after="40"/>
              <w:jc w:val="center"/>
            </w:pPr>
            <w:r>
              <w:t xml:space="preserve">F1 Score</w:t>
            </w:r>
          </w:p>
        </w:tc>
        <w:tc>
          <w:tcPr>
            <w:tcW w:w="1560" w:type="dxa"/>
            <w:shd w:val="clear" w:color="auto" w:fill="003366"/>
            <w:tcMar>
              <w:top w:w="100" w:type="dxa"/>
              <w:left w:w="130" w:type="dxa"/>
              <w:bottom w:w="100" w:type="dxa"/>
              <w:right w:w="130" w:type="dxa"/>
            </w:tcMar>
          </w:tcPr>
          <w:p w14:paraId="3A0CD186">
            <w:pPr>
              <w:spacing w:before="40" w:after="40"/>
              <w:jc w:val="center"/>
            </w:pPr>
            <w:r>
              <w:t xml:space="preserve">Mean CER</w:t>
            </w:r>
          </w:p>
        </w:tc>
        <w:tc>
          <w:tcPr>
            <w:tcW w:w="1560" w:type="dxa"/>
            <w:shd w:val="clear" w:color="auto" w:fill="003366"/>
            <w:tcMar>
              <w:top w:w="100" w:type="dxa"/>
              <w:left w:w="130" w:type="dxa"/>
              <w:bottom w:w="100" w:type="dxa"/>
              <w:right w:w="130" w:type="dxa"/>
            </w:tcMar>
          </w:tcPr>
          <w:p w14:paraId="07CC0946">
            <w:pPr>
              <w:spacing w:before="40" w:after="40"/>
              <w:jc w:val="center"/>
            </w:pPr>
            <w:r>
              <w:t xml:space="preserve">Rescued Fields</w:t>
            </w:r>
          </w:p>
        </w:tc>
      </w:tr>
      <w:tr w14:paraId="173DD07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5F4F3CB1">
            <w:pPr>
              <w:spacing w:before="40" w:after="40"/>
              <w:jc w:val="left"/>
            </w:pPr>
            <w:r>
              <w:t xml:space="preserve">Pass A: Raw String Matching</w:t>
            </w:r>
          </w:p>
        </w:tc>
        <w:tc>
          <w:tcPr>
            <w:tcW w:w="1560" w:type="dxa"/>
            <w:shd w:val="clear" w:color="auto" w:fill="FFFFFF"/>
            <w:tcMar>
              <w:top w:w="100" w:type="dxa"/>
              <w:left w:w="130" w:type="dxa"/>
              <w:bottom w:w="100" w:type="dxa"/>
              <w:right w:w="130" w:type="dxa"/>
            </w:tcMar>
          </w:tcPr>
          <w:p w14:paraId="747A4854">
            <w:pPr>
              <w:spacing w:before="40" w:after="40"/>
              <w:jc w:val="center"/>
            </w:pPr>
            <w:r>
              <w:t>74.60%</w:t>
            </w:r>
          </w:p>
        </w:tc>
        <w:tc>
          <w:tcPr>
            <w:tcW w:w="1560" w:type="dxa"/>
            <w:shd w:val="clear" w:color="auto" w:fill="FFFFFF"/>
            <w:tcMar>
              <w:top w:w="100" w:type="dxa"/>
              <w:left w:w="130" w:type="dxa"/>
              <w:bottom w:w="100" w:type="dxa"/>
              <w:right w:w="130" w:type="dxa"/>
            </w:tcMar>
          </w:tcPr>
          <w:p w14:paraId="1F1F416A">
            <w:pPr>
              <w:spacing w:before="40" w:after="40"/>
              <w:jc w:val="center"/>
            </w:pPr>
            <w:r>
              <w:t>74.60%</w:t>
            </w:r>
          </w:p>
        </w:tc>
        <w:tc>
          <w:tcPr>
            <w:tcW w:w="1560" w:type="dxa"/>
            <w:shd w:val="clear" w:color="auto" w:fill="FFFFFF"/>
            <w:tcMar>
              <w:top w:w="100" w:type="dxa"/>
              <w:left w:w="130" w:type="dxa"/>
              <w:bottom w:w="100" w:type="dxa"/>
              <w:right w:w="130" w:type="dxa"/>
            </w:tcMar>
          </w:tcPr>
          <w:p w14:paraId="79F7D005">
            <w:pPr>
              <w:spacing w:before="40" w:after="40"/>
              <w:jc w:val="center"/>
            </w:pPr>
            <w:r>
              <w:t>75.23%</w:t>
            </w:r>
          </w:p>
        </w:tc>
        <w:tc>
          <w:tcPr>
            <w:tcW w:w="1560" w:type="dxa"/>
            <w:shd w:val="clear" w:color="auto" w:fill="FFFFFF"/>
            <w:tcMar>
              <w:top w:w="100" w:type="dxa"/>
              <w:left w:w="130" w:type="dxa"/>
              <w:bottom w:w="100" w:type="dxa"/>
              <w:right w:w="130" w:type="dxa"/>
            </w:tcMar>
          </w:tcPr>
          <w:p w14:paraId="2A0DDE50">
            <w:pPr>
              <w:spacing w:before="40" w:after="40"/>
              <w:jc w:val="center"/>
            </w:pPr>
            <w:r>
              <w:t>11.35%</w:t>
            </w:r>
          </w:p>
        </w:tc>
        <w:tc>
          <w:tcPr>
            <w:tcW w:w="1560" w:type="dxa"/>
            <w:shd w:val="clear" w:color="auto" w:fill="FFFFFF"/>
            <w:tcMar>
              <w:top w:w="100" w:type="dxa"/>
              <w:left w:w="130" w:type="dxa"/>
              <w:bottom w:w="100" w:type="dxa"/>
              <w:right w:w="130" w:type="dxa"/>
            </w:tcMar>
          </w:tcPr>
          <w:p w14:paraId="00CAB29A">
            <w:pPr>
              <w:spacing w:before="40" w:after="40"/>
              <w:jc w:val="center"/>
            </w:pPr>
            <w:r>
              <w:t xml:space="preserve">0 (Baseline)</w:t>
            </w:r>
          </w:p>
        </w:tc>
      </w:tr>
      <w:tr w14:paraId="277E974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1B055501">
            <w:pPr>
              <w:spacing w:before="40" w:after="40"/>
              <w:jc w:val="left"/>
            </w:pPr>
            <w:r>
              <w:t xml:space="preserve">Pass B: Semantic Normalization</w:t>
            </w:r>
          </w:p>
        </w:tc>
        <w:tc>
          <w:tcPr>
            <w:tcW w:w="1560" w:type="dxa"/>
            <w:shd w:val="clear" w:color="auto" w:fill="F8F9FA"/>
            <w:tcMar>
              <w:top w:w="100" w:type="dxa"/>
              <w:left w:w="130" w:type="dxa"/>
              <w:bottom w:w="100" w:type="dxa"/>
              <w:right w:w="130" w:type="dxa"/>
            </w:tcMar>
          </w:tcPr>
          <w:p w14:paraId="396AA9B8">
            <w:pPr>
              <w:spacing w:before="40" w:after="40"/>
              <w:jc w:val="center"/>
            </w:pPr>
            <w:r>
              <w:t>74.60%</w:t>
            </w:r>
          </w:p>
        </w:tc>
        <w:tc>
          <w:tcPr>
            <w:tcW w:w="1560" w:type="dxa"/>
            <w:shd w:val="clear" w:color="auto" w:fill="F8F9FA"/>
            <w:tcMar>
              <w:top w:w="100" w:type="dxa"/>
              <w:left w:w="130" w:type="dxa"/>
              <w:bottom w:w="100" w:type="dxa"/>
              <w:right w:w="130" w:type="dxa"/>
            </w:tcMar>
          </w:tcPr>
          <w:p w14:paraId="4F51C18F">
            <w:pPr>
              <w:spacing w:before="40" w:after="40"/>
              <w:jc w:val="center"/>
            </w:pPr>
            <w:r>
              <w:t>82.18%</w:t>
            </w:r>
          </w:p>
        </w:tc>
        <w:tc>
          <w:tcPr>
            <w:tcW w:w="1560" w:type="dxa"/>
            <w:shd w:val="clear" w:color="auto" w:fill="F8F9FA"/>
            <w:tcMar>
              <w:top w:w="100" w:type="dxa"/>
              <w:left w:w="130" w:type="dxa"/>
              <w:bottom w:w="100" w:type="dxa"/>
              <w:right w:w="130" w:type="dxa"/>
            </w:tcMar>
          </w:tcPr>
          <w:p w14:paraId="0C52DCBC">
            <w:pPr>
              <w:spacing w:before="40" w:after="40"/>
              <w:jc w:val="center"/>
            </w:pPr>
            <w:r>
              <w:t>75.23%</w:t>
            </w:r>
          </w:p>
        </w:tc>
        <w:tc>
          <w:tcPr>
            <w:tcW w:w="1560" w:type="dxa"/>
            <w:shd w:val="clear" w:color="auto" w:fill="F8F9FA"/>
            <w:tcMar>
              <w:top w:w="100" w:type="dxa"/>
              <w:left w:w="130" w:type="dxa"/>
              <w:bottom w:w="100" w:type="dxa"/>
              <w:right w:w="130" w:type="dxa"/>
            </w:tcMar>
          </w:tcPr>
          <w:p w14:paraId="02385BA7">
            <w:pPr>
              <w:spacing w:before="40" w:after="40"/>
              <w:jc w:val="center"/>
            </w:pPr>
            <w:r>
              <w:t>11.35%</w:t>
            </w:r>
          </w:p>
        </w:tc>
        <w:tc>
          <w:tcPr>
            <w:tcW w:w="1560" w:type="dxa"/>
            <w:shd w:val="clear" w:color="auto" w:fill="F8F9FA"/>
            <w:tcMar>
              <w:top w:w="100" w:type="dxa"/>
              <w:left w:w="130" w:type="dxa"/>
              <w:bottom w:w="100" w:type="dxa"/>
              <w:right w:w="130" w:type="dxa"/>
            </w:tcMar>
          </w:tcPr>
          <w:p w14:paraId="1835AC34">
            <w:pPr>
              <w:spacing w:before="40" w:after="40"/>
              <w:jc w:val="center"/>
            </w:pPr>
            <w:r>
              <w:t xml:space="preserve">167 (0.68%)</w:t>
            </w:r>
          </w:p>
        </w:tc>
      </w:tr>
      <w:tr w14:paraId="3ED1CDA3">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17F1B613">
            <w:pPr>
              <w:spacing w:before="40" w:after="40"/>
              <w:jc w:val="left"/>
            </w:pPr>
            <w:r>
              <w:t xml:space="preserve">Statistical Significance</w:t>
            </w:r>
          </w:p>
        </w:tc>
        <w:tc>
          <w:tcPr>
            <w:tcW w:w="1560" w:type="dxa"/>
            <w:shd w:val="clear" w:color="auto" w:fill="FFFFFF"/>
            <w:tcMar>
              <w:top w:w="100" w:type="dxa"/>
              <w:left w:w="130" w:type="dxa"/>
              <w:bottom w:w="100" w:type="dxa"/>
              <w:right w:w="130" w:type="dxa"/>
            </w:tcMar>
          </w:tcPr>
          <w:p w14:paraId="79B68280">
            <w:pPr>
              <w:spacing w:before="40" w:after="40"/>
              <w:jc w:val="center"/>
            </w:pPr>
            <w:r>
              <w:t>McNemar chi^2 = 1853.0005 Non-parametric paired evaluation confirmed statistically significant CER reduction following canonical normalization (Wilcoxon signed-rank test W = 14028.0, p &lt; 0.0001).</w:t>
            </w:r>
          </w:p>
        </w:tc>
        <w:tc>
          <w:tcPr>
            <w:tcW w:w="1560" w:type="dxa"/>
            <w:shd w:val="clear" w:color="auto" w:fill="FFFFFF"/>
            <w:tcMar>
              <w:top w:w="100" w:type="dxa"/>
              <w:left w:w="130" w:type="dxa"/>
              <w:bottom w:w="100" w:type="dxa"/>
              <w:right w:w="130" w:type="dxa"/>
            </w:tcMar>
          </w:tcPr>
          <w:p w14:paraId="1C43BF7A">
            <w:pPr>
              <w:spacing w:before="40" w:after="40"/>
              <w:jc w:val="center"/>
            </w:pPr>
            <w:r>
              <w:t xml:space="preserve">p &lt; 0.0001</w:t>
            </w:r>
          </w:p>
        </w:tc>
        <w:tc>
          <w:tcPr>
            <w:tcW w:w="1560" w:type="dxa"/>
            <w:shd w:val="clear" w:color="auto" w:fill="FFFFFF"/>
            <w:tcMar>
              <w:top w:w="100" w:type="dxa"/>
              <w:left w:w="130" w:type="dxa"/>
              <w:bottom w:w="100" w:type="dxa"/>
              <w:right w:w="130" w:type="dxa"/>
            </w:tcMar>
          </w:tcPr>
          <w:p w14:paraId="40D0B3CF">
            <w:pPr>
              <w:spacing w:before="40" w:after="40"/>
              <w:jc w:val="center"/>
            </w:pPr>
            <w:r>
              <w:t xml:space="preserve">Wilcoxon W = 14028.0</w:t>
            </w:r>
          </w:p>
        </w:tc>
        <w:tc>
          <w:tcPr>
            <w:tcW w:w="1560" w:type="dxa"/>
            <w:shd w:val="clear" w:color="auto" w:fill="FFFFFF"/>
            <w:tcMar>
              <w:top w:w="100" w:type="dxa"/>
              <w:left w:w="130" w:type="dxa"/>
              <w:bottom w:w="100" w:type="dxa"/>
              <w:right w:w="130" w:type="dxa"/>
            </w:tcMar>
          </w:tcPr>
          <w:p w14:paraId="6552A3AE">
            <w:pPr>
              <w:spacing w:before="40" w:after="40"/>
              <w:jc w:val="center"/>
            </w:pPr>
            <w:r>
              <w:t xml:space="preserve">p &lt; 0.0001</w:t>
            </w:r>
          </w:p>
        </w:tc>
        <w:tc>
          <w:tcPr>
            <w:tcW w:w="1560" w:type="dxa"/>
            <w:shd w:val="clear" w:color="auto" w:fill="FFFFFF"/>
            <w:tcMar>
              <w:top w:w="100" w:type="dxa"/>
              <w:left w:w="130" w:type="dxa"/>
              <w:bottom w:w="100" w:type="dxa"/>
              <w:right w:w="130" w:type="dxa"/>
            </w:tcMar>
          </w:tcPr>
          <w:p w14:paraId="78569E93">
            <w:pPr>
              <w:spacing w:before="40" w:after="40"/>
              <w:jc w:val="center"/>
            </w:pPr>
            <w:r>
              <w:t xml:space="preserve">a=2,487, b=167, c=0, d=21,826</w:t>
            </w:r>
          </w:p>
        </w:tc>
      </w:tr>
      <w:tr w14:paraId="3F4F59A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50E4B32E">
            <w:pPr>
              <w:spacing w:before="40" w:after="40"/>
              <w:jc w:val="left"/>
            </w:pPr>
            <w:r>
              <w:rPr>
                <w:rFonts w:ascii="Times New Roman" w:hAnsi="Times New Roman"/>
                <w:b/>
                <w:sz w:val="18"/>
              </w:rPr>
              <w:t>Relative Metric Change</w:t>
            </w:r>
          </w:p>
        </w:tc>
        <w:tc>
          <w:tcPr>
            <w:tcW w:w="1560" w:type="dxa"/>
            <w:shd w:val="clear" w:color="auto" w:fill="F8F9FA"/>
            <w:tcMar>
              <w:top w:w="100" w:type="dxa"/>
              <w:left w:w="130" w:type="dxa"/>
              <w:bottom w:w="100" w:type="dxa"/>
              <w:right w:w="130" w:type="dxa"/>
            </w:tcMar>
          </w:tcPr>
          <w:p w14:paraId="014B3B3B">
            <w:pPr>
              <w:spacing w:before="40" w:after="40"/>
              <w:jc w:val="center"/>
            </w:pPr>
            <w:r>
              <w:rPr>
                <w:rFonts w:ascii="Times New Roman" w:hAnsi="Times New Roman"/>
                <w:b/>
                <w:sz w:val="18"/>
              </w:rPr>
              <w:t>+90.97%</w:t>
            </w:r>
          </w:p>
        </w:tc>
        <w:tc>
          <w:tcPr>
            <w:tcW w:w="1560" w:type="dxa"/>
            <w:shd w:val="clear" w:color="auto" w:fill="F8F9FA"/>
            <w:tcMar>
              <w:top w:w="100" w:type="dxa"/>
              <w:left w:w="130" w:type="dxa"/>
              <w:bottom w:w="100" w:type="dxa"/>
              <w:right w:w="130" w:type="dxa"/>
            </w:tcMar>
          </w:tcPr>
          <w:p w14:paraId="58F33427">
            <w:pPr>
              <w:spacing w:before="40" w:after="40"/>
              <w:jc w:val="center"/>
            </w:pPr>
            <w:r>
              <w:rPr>
                <w:rFonts w:ascii="Times New Roman" w:hAnsi="Times New Roman"/>
                <w:b/>
                <w:sz w:val="18"/>
              </w:rPr>
              <w:t>+90.97%</w:t>
            </w:r>
          </w:p>
        </w:tc>
        <w:tc>
          <w:tcPr>
            <w:tcW w:w="1560" w:type="dxa"/>
            <w:shd w:val="clear" w:color="auto" w:fill="F8F9FA"/>
            <w:tcMar>
              <w:top w:w="100" w:type="dxa"/>
              <w:left w:w="130" w:type="dxa"/>
              <w:bottom w:w="100" w:type="dxa"/>
              <w:right w:w="130" w:type="dxa"/>
            </w:tcMar>
          </w:tcPr>
          <w:p w14:paraId="1B5FB52D">
            <w:pPr>
              <w:spacing w:before="40" w:after="40"/>
              <w:jc w:val="center"/>
            </w:pPr>
            <w:r>
              <w:rPr>
                <w:rFonts w:ascii="Times New Roman" w:hAnsi="Times New Roman"/>
                <w:b/>
                <w:sz w:val="18"/>
              </w:rPr>
              <w:t>+90.97%</w:t>
            </w:r>
          </w:p>
        </w:tc>
        <w:tc>
          <w:tcPr>
            <w:tcW w:w="1560" w:type="dxa"/>
            <w:shd w:val="clear" w:color="auto" w:fill="F8F9FA"/>
            <w:tcMar>
              <w:top w:w="100" w:type="dxa"/>
              <w:left w:w="130" w:type="dxa"/>
              <w:bottom w:w="100" w:type="dxa"/>
              <w:right w:w="130" w:type="dxa"/>
            </w:tcMar>
          </w:tcPr>
          <w:p w14:paraId="4B029D84">
            <w:pPr>
              <w:spacing w:before="40" w:after="40"/>
              <w:jc w:val="center"/>
            </w:pPr>
            <w:r>
              <w:rPr>
                <w:rFonts w:ascii="Times New Roman" w:hAnsi="Times New Roman"/>
                <w:b/>
                <w:sz w:val="18"/>
              </w:rPr>
              <w:t>-90.42%</w:t>
            </w:r>
          </w:p>
        </w:tc>
        <w:tc>
          <w:tcPr>
            <w:tcW w:w="1560" w:type="dxa"/>
            <w:shd w:val="clear" w:color="auto" w:fill="F8F9FA"/>
            <w:tcMar>
              <w:top w:w="100" w:type="dxa"/>
              <w:left w:w="130" w:type="dxa"/>
              <w:bottom w:w="100" w:type="dxa"/>
              <w:right w:w="130" w:type="dxa"/>
            </w:tcMar>
          </w:tcPr>
          <w:p w14:paraId="25B50EEF">
            <w:pPr>
              <w:spacing w:before="40" w:after="40"/>
              <w:jc w:val="center"/>
            </w:pPr>
            <w:r>
              <w:rPr>
                <w:rFonts w:ascii="Times New Roman" w:hAnsi="Times New Roman"/>
                <w:b/>
                <w:sz w:val="18"/>
              </w:rPr>
              <w:t>-90.53%</w:t>
            </w:r>
          </w:p>
        </w:tc>
      </w:tr>
    </w:tbl>
    <w:p w14:paraId="38F2D2B7">
      <w:pPr>
        <w:keepNext/>
        <w:spacing w:before="160" w:after="40"/>
        <w:jc w:val="both"/>
      </w:pPr>
      <w:r>
        <w:rPr>
          <w:rFonts w:ascii="Times New Roman" w:hAnsi="Times New Roman"/>
          <w:b/>
          <w:i/>
          <w:sz w:val="21"/>
        </w:rPr>
        <w:t>5.5.2 Rule-Wise Contribution &amp; Mismatch Correction Breakdown</w:t>
      </w:r>
    </w:p>
    <w:p w14:paraId="64E8500E">
      <w:pPr>
        <w:spacing w:before="40" w:after="80" w:line="276" w:lineRule="auto"/>
        <w:jc w:val="both"/>
      </w:pPr>
      <w:r>
        <w:t xml:space="preserve">Without canonical normalization, 2,620 false-negative field mismatches occurred due to superficial representation differences. Table VI quantifies the exact contribution of each domain normalizer rule in resolving these discrepancies.</w:t>
      </w:r>
    </w:p>
    <w:p w14:paraId="6BAA8573">
      <w:pPr>
        <w:keepNext/>
        <w:spacing w:before="80" w:after="160"/>
        <w:jc w:val="center"/>
      </w:pPr>
      <w:r>
        <w:t xml:space="preserve">Table VI: Mismatch Correction Contribution by Normalizer Rule</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2340"/>
        <w:gridCol w:w="2340"/>
        <w:gridCol w:w="2340"/>
        <w:gridCol w:w="2340"/>
      </w:tblGrid>
      <w:tr w14:paraId="529B2B2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003366"/>
            <w:tcMar>
              <w:top w:w="100" w:type="dxa"/>
              <w:left w:w="130" w:type="dxa"/>
              <w:bottom w:w="100" w:type="dxa"/>
              <w:right w:w="130" w:type="dxa"/>
            </w:tcMar>
          </w:tcPr>
          <w:p w14:paraId="34085A2A">
            <w:pPr>
              <w:spacing w:before="40" w:after="40"/>
              <w:jc w:val="center"/>
            </w:pPr>
            <w:r>
              <w:rPr>
                <w:rFonts w:ascii="Times New Roman" w:hAnsi="Times New Roman"/>
                <w:b/>
                <w:color w:val="FFFFFF"/>
                <w:sz w:val="19"/>
              </w:rPr>
              <w:t>Domain Normalizer Rule</w:t>
            </w:r>
          </w:p>
        </w:tc>
        <w:tc>
          <w:tcPr>
            <w:tcW w:w="2340" w:type="dxa"/>
            <w:shd w:val="clear" w:color="auto" w:fill="003366"/>
            <w:tcMar>
              <w:top w:w="100" w:type="dxa"/>
              <w:left w:w="130" w:type="dxa"/>
              <w:bottom w:w="100" w:type="dxa"/>
              <w:right w:w="130" w:type="dxa"/>
            </w:tcMar>
          </w:tcPr>
          <w:p w14:paraId="4155D5EE">
            <w:pPr>
              <w:spacing w:before="40" w:after="40"/>
              <w:jc w:val="center"/>
            </w:pPr>
            <w:r>
              <w:rPr>
                <w:rFonts w:ascii="Times New Roman" w:hAnsi="Times New Roman"/>
                <w:b/>
                <w:color w:val="FFFFFF"/>
                <w:sz w:val="19"/>
              </w:rPr>
              <w:t>Addressed Syntax Discrepancy</w:t>
            </w:r>
          </w:p>
        </w:tc>
        <w:tc>
          <w:tcPr>
            <w:tcW w:w="2340" w:type="dxa"/>
            <w:shd w:val="clear" w:color="auto" w:fill="003366"/>
            <w:tcMar>
              <w:top w:w="100" w:type="dxa"/>
              <w:left w:w="130" w:type="dxa"/>
              <w:bottom w:w="100" w:type="dxa"/>
              <w:right w:w="130" w:type="dxa"/>
            </w:tcMar>
          </w:tcPr>
          <w:p w14:paraId="41E8EB7D">
            <w:pPr>
              <w:spacing w:before="40" w:after="40"/>
              <w:jc w:val="center"/>
            </w:pPr>
            <w:r>
              <w:rPr>
                <w:rFonts w:ascii="Times New Roman" w:hAnsi="Times New Roman"/>
                <w:b/>
                <w:color w:val="FFFFFF"/>
                <w:sz w:val="19"/>
              </w:rPr>
              <w:t>Corrected Mismatches (Count)</w:t>
            </w:r>
          </w:p>
        </w:tc>
        <w:tc>
          <w:tcPr>
            <w:tcW w:w="2340" w:type="dxa"/>
            <w:shd w:val="clear" w:color="auto" w:fill="003366"/>
            <w:tcMar>
              <w:top w:w="100" w:type="dxa"/>
              <w:left w:w="130" w:type="dxa"/>
              <w:bottom w:w="100" w:type="dxa"/>
              <w:right w:w="130" w:type="dxa"/>
            </w:tcMar>
          </w:tcPr>
          <w:p w14:paraId="2C2B1072">
            <w:pPr>
              <w:spacing w:before="40" w:after="40"/>
              <w:jc w:val="center"/>
            </w:pPr>
            <w:r>
              <w:rPr>
                <w:rFonts w:ascii="Times New Roman" w:hAnsi="Times New Roman"/>
                <w:b/>
                <w:color w:val="FFFFFF"/>
                <w:sz w:val="19"/>
              </w:rPr>
              <w:t>Rule Contribution (%)</w:t>
            </w:r>
          </w:p>
        </w:tc>
      </w:tr>
      <w:tr w14:paraId="1A7D2DD3">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75D8A224">
            <w:pPr>
              <w:spacing w:before="40" w:after="40"/>
              <w:jc w:val="left"/>
            </w:pPr>
            <w:r>
              <w:rPr>
                <w:rFonts w:ascii="Times New Roman" w:hAnsi="Times New Roman"/>
                <w:b/>
                <w:sz w:val="18"/>
              </w:rPr>
              <w:t>Date Normalizer</w:t>
            </w:r>
          </w:p>
        </w:tc>
        <w:tc>
          <w:tcPr>
            <w:tcW w:w="2340" w:type="dxa"/>
            <w:shd w:val="clear" w:color="auto" w:fill="FFFFFF"/>
            <w:tcMar>
              <w:top w:w="100" w:type="dxa"/>
              <w:left w:w="130" w:type="dxa"/>
              <w:bottom w:w="100" w:type="dxa"/>
              <w:right w:w="130" w:type="dxa"/>
            </w:tcMar>
          </w:tcPr>
          <w:p w14:paraId="5C70750C">
            <w:pPr>
              <w:spacing w:before="40" w:after="40"/>
              <w:jc w:val="center"/>
            </w:pPr>
            <w:r>
              <w:rPr>
                <w:rFonts w:ascii="Times New Roman" w:hAnsi="Times New Roman"/>
                <w:sz w:val="18"/>
              </w:rPr>
              <w:t xml:space="preserve">Text/DMY date syntax </w:t>
            </w:r>
            <ns3:oMath>
              <ns3:r>
                <ns3:rPr/>
                <w:rPr>
                  <w:rFonts w:ascii="Cambria Math" w:hAnsi="Cambria Math"/>
                </w:rPr>
                <ns3:t>→</ns3:t>
              </ns3:r>
            </ns3:oMath>
            <w:r>
              <w:rPr>
                <w:rFonts w:ascii="Times New Roman" w:hAnsi="Times New Roman"/>
                <w:sz w:val="18"/>
              </w:rPr>
              <w:t xml:space="preserve"> ISO 8601 (YYYY-MM-DD)</w:t>
            </w:r>
          </w:p>
        </w:tc>
        <w:tc>
          <w:tcPr>
            <w:tcW w:w="2340" w:type="dxa"/>
            <w:shd w:val="clear" w:color="auto" w:fill="FFFFFF"/>
            <w:tcMar>
              <w:top w:w="100" w:type="dxa"/>
              <w:left w:w="130" w:type="dxa"/>
              <w:bottom w:w="100" w:type="dxa"/>
              <w:right w:w="130" w:type="dxa"/>
            </w:tcMar>
          </w:tcPr>
          <w:p w14:paraId="70A88F83">
            <w:pPr>
              <w:spacing w:before="40" w:after="40"/>
              <w:jc w:val="center"/>
            </w:pPr>
            <w:r>
              <w:rPr>
                <w:rFonts w:ascii="Times New Roman" w:hAnsi="Times New Roman"/>
                <w:sz w:val="18"/>
              </w:rPr>
              <w:t>720</w:t>
            </w:r>
          </w:p>
        </w:tc>
        <w:tc>
          <w:tcPr>
            <w:tcW w:w="2340" w:type="dxa"/>
            <w:shd w:val="clear" w:color="auto" w:fill="FFFFFF"/>
            <w:tcMar>
              <w:top w:w="100" w:type="dxa"/>
              <w:left w:w="130" w:type="dxa"/>
              <w:bottom w:w="100" w:type="dxa"/>
              <w:right w:w="130" w:type="dxa"/>
            </w:tcMar>
          </w:tcPr>
          <w:p w14:paraId="5E186F7D">
            <w:pPr>
              <w:spacing w:before="40" w:after="40"/>
              <w:jc w:val="center"/>
            </w:pPr>
            <w:r>
              <w:rPr>
                <w:rFonts w:ascii="Times New Roman" w:hAnsi="Times New Roman"/>
                <w:sz w:val="18"/>
              </w:rPr>
              <w:t>27.48%</w:t>
            </w:r>
          </w:p>
        </w:tc>
      </w:tr>
      <w:tr w14:paraId="68747D5C">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567E381D">
            <w:pPr>
              <w:spacing w:before="40" w:after="40"/>
              <w:jc w:val="left"/>
            </w:pPr>
            <w:r>
              <w:rPr>
                <w:rFonts w:ascii="Times New Roman" w:hAnsi="Times New Roman"/>
                <w:b/>
                <w:sz w:val="18"/>
              </w:rPr>
              <w:t>Roll Number Normalizer</w:t>
            </w:r>
          </w:p>
        </w:tc>
        <w:tc>
          <w:tcPr>
            <w:tcW w:w="2340" w:type="dxa"/>
            <w:shd w:val="clear" w:color="auto" w:fill="F8F9FA"/>
            <w:tcMar>
              <w:top w:w="100" w:type="dxa"/>
              <w:left w:w="130" w:type="dxa"/>
              <w:bottom w:w="100" w:type="dxa"/>
              <w:right w:w="130" w:type="dxa"/>
            </w:tcMar>
          </w:tcPr>
          <w:p w14:paraId="45CC2B29">
            <w:pPr>
              <w:spacing w:before="40" w:after="40"/>
              <w:jc w:val="center"/>
            </w:pPr>
            <w:r>
              <w:rPr>
                <w:rFonts w:ascii="Times New Roman" w:hAnsi="Times New Roman"/>
                <w:sz w:val="18"/>
              </w:rPr>
              <w:t xml:space="preserve">Hyphen/slash separators </w:t>
            </w:r>
            <ns3:oMath>
              <ns3:r>
                <ns3:rPr/>
                <w:rPr>
                  <w:rFonts w:ascii="Cambria Math" w:hAnsi="Cambria Math"/>
                </w:rPr>
                <ns3:t>→</ns3:t>
              </ns3:r>
            </ns3:oMath>
            <w:r>
              <w:rPr>
                <w:rFonts w:ascii="Times New Roman" w:hAnsi="Times New Roman"/>
                <w:sz w:val="18"/>
              </w:rPr>
              <w:t xml:space="preserve"> Canonical uppercase</w:t>
            </w:r>
          </w:p>
        </w:tc>
        <w:tc>
          <w:tcPr>
            <w:tcW w:w="2340" w:type="dxa"/>
            <w:shd w:val="clear" w:color="auto" w:fill="F8F9FA"/>
            <w:tcMar>
              <w:top w:w="100" w:type="dxa"/>
              <w:left w:w="130" w:type="dxa"/>
              <w:bottom w:w="100" w:type="dxa"/>
              <w:right w:w="130" w:type="dxa"/>
            </w:tcMar>
          </w:tcPr>
          <w:p w14:paraId="688407B3">
            <w:pPr>
              <w:spacing w:before="40" w:after="40"/>
              <w:jc w:val="center"/>
            </w:pPr>
            <w:r>
              <w:rPr>
                <w:rFonts w:ascii="Times New Roman" w:hAnsi="Times New Roman"/>
                <w:sz w:val="18"/>
              </w:rPr>
              <w:t>720</w:t>
            </w:r>
          </w:p>
        </w:tc>
        <w:tc>
          <w:tcPr>
            <w:tcW w:w="2340" w:type="dxa"/>
            <w:shd w:val="clear" w:color="auto" w:fill="F8F9FA"/>
            <w:tcMar>
              <w:top w:w="100" w:type="dxa"/>
              <w:left w:w="130" w:type="dxa"/>
              <w:bottom w:w="100" w:type="dxa"/>
              <w:right w:w="130" w:type="dxa"/>
            </w:tcMar>
          </w:tcPr>
          <w:p w14:paraId="22C1A4E7">
            <w:pPr>
              <w:spacing w:before="40" w:after="40"/>
              <w:jc w:val="center"/>
            </w:pPr>
            <w:r>
              <w:rPr>
                <w:rFonts w:ascii="Times New Roman" w:hAnsi="Times New Roman"/>
                <w:sz w:val="18"/>
              </w:rPr>
              <w:t>27.48%</w:t>
            </w:r>
          </w:p>
        </w:tc>
      </w:tr>
      <w:tr w14:paraId="3946AEB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6E58439A">
            <w:pPr>
              <w:spacing w:before="40" w:after="40"/>
              <w:jc w:val="left"/>
            </w:pPr>
            <w:r>
              <w:rPr>
                <w:rFonts w:ascii="Times New Roman" w:hAnsi="Times New Roman"/>
                <w:b/>
                <w:sz w:val="18"/>
              </w:rPr>
              <w:t>Degree Alias Normalizer</w:t>
            </w:r>
          </w:p>
        </w:tc>
        <w:tc>
          <w:tcPr>
            <w:tcW w:w="2340" w:type="dxa"/>
            <w:shd w:val="clear" w:color="auto" w:fill="FFFFFF"/>
            <w:tcMar>
              <w:top w:w="100" w:type="dxa"/>
              <w:left w:w="130" w:type="dxa"/>
              <w:bottom w:w="100" w:type="dxa"/>
              <w:right w:w="130" w:type="dxa"/>
            </w:tcMar>
          </w:tcPr>
          <w:p w14:paraId="1988DF9E">
            <w:pPr>
              <w:spacing w:before="40" w:after="40"/>
              <w:jc w:val="center"/>
            </w:pPr>
            <w:r>
              <w:rPr>
                <w:rFonts w:ascii="Times New Roman" w:hAnsi="Times New Roman"/>
                <w:sz w:val="18"/>
              </w:rPr>
              <w:t xml:space="preserve">Shorthand titles (B.Tech) </w:t>
            </w:r>
            <ns3:oMath>
              <ns3:r>
                <ns3:rPr/>
                <w:rPr>
                  <w:rFonts w:ascii="Cambria Math" w:hAnsi="Cambria Math"/>
                </w:rPr>
                <ns3:t>→</ns3:t>
              </ns3:r>
            </ns3:oMath>
            <w:r>
              <w:rPr>
                <w:rFonts w:ascii="Times New Roman" w:hAnsi="Times New Roman"/>
                <w:sz w:val="18"/>
              </w:rPr>
              <w:t xml:space="preserve"> Full degree names</w:t>
            </w:r>
          </w:p>
        </w:tc>
        <w:tc>
          <w:tcPr>
            <w:tcW w:w="2340" w:type="dxa"/>
            <w:shd w:val="clear" w:color="auto" w:fill="FFFFFF"/>
            <w:tcMar>
              <w:top w:w="100" w:type="dxa"/>
              <w:left w:w="130" w:type="dxa"/>
              <w:bottom w:w="100" w:type="dxa"/>
              <w:right w:w="130" w:type="dxa"/>
            </w:tcMar>
          </w:tcPr>
          <w:p w14:paraId="6D88FB2A">
            <w:pPr>
              <w:spacing w:before="40" w:after="40"/>
              <w:jc w:val="center"/>
            </w:pPr>
            <w:r>
              <w:rPr>
                <w:rFonts w:ascii="Times New Roman" w:hAnsi="Times New Roman"/>
                <w:sz w:val="18"/>
              </w:rPr>
              <w:t>360</w:t>
            </w:r>
          </w:p>
        </w:tc>
        <w:tc>
          <w:tcPr>
            <w:tcW w:w="2340" w:type="dxa"/>
            <w:shd w:val="clear" w:color="auto" w:fill="FFFFFF"/>
            <w:tcMar>
              <w:top w:w="100" w:type="dxa"/>
              <w:left w:w="130" w:type="dxa"/>
              <w:bottom w:w="100" w:type="dxa"/>
              <w:right w:w="130" w:type="dxa"/>
            </w:tcMar>
          </w:tcPr>
          <w:p w14:paraId="1C049A94">
            <w:pPr>
              <w:spacing w:before="40" w:after="40"/>
              <w:jc w:val="center"/>
            </w:pPr>
            <w:r>
              <w:rPr>
                <w:rFonts w:ascii="Times New Roman" w:hAnsi="Times New Roman"/>
                <w:sz w:val="18"/>
              </w:rPr>
              <w:t>13.74%</w:t>
            </w:r>
          </w:p>
        </w:tc>
      </w:tr>
      <w:tr w14:paraId="491C925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0B763399">
            <w:pPr>
              <w:spacing w:before="40" w:after="40"/>
              <w:jc w:val="left"/>
            </w:pPr>
            <w:r>
              <w:rPr>
                <w:rFonts w:ascii="Times New Roman" w:hAnsi="Times New Roman"/>
                <w:b/>
                <w:sz w:val="18"/>
              </w:rPr>
              <w:t>Numeric Normalizer</w:t>
            </w:r>
          </w:p>
        </w:tc>
        <w:tc>
          <w:tcPr>
            <w:tcW w:w="2340" w:type="dxa"/>
            <w:shd w:val="clear" w:color="auto" w:fill="F8F9FA"/>
            <w:tcMar>
              <w:top w:w="100" w:type="dxa"/>
              <w:left w:w="130" w:type="dxa"/>
              <w:bottom w:w="100" w:type="dxa"/>
              <w:right w:w="130" w:type="dxa"/>
            </w:tcMar>
          </w:tcPr>
          <w:p w14:paraId="4237F861">
            <w:pPr>
              <w:spacing w:before="40" w:after="40"/>
              <w:jc w:val="center"/>
            </w:pPr>
            <w:r>
              <w:rPr>
                <w:rFonts w:ascii="Times New Roman" w:hAnsi="Times New Roman"/>
                <w:sz w:val="18"/>
              </w:rPr>
              <w:t xml:space="preserve">Trailing text/range tags </w:t>
            </w:r>
            <ns3:oMath>
              <ns3:r>
                <ns3:rPr/>
                <w:rPr>
                  <w:rFonts w:ascii="Cambria Math" w:hAnsi="Cambria Math"/>
                </w:rPr>
                <ns3:t>→</ns3:t>
              </ns3:r>
            </ns3:oMath>
            <w:r>
              <w:rPr>
                <w:rFonts w:ascii="Times New Roman" w:hAnsi="Times New Roman"/>
                <w:sz w:val="18"/>
              </w:rPr>
              <w:t xml:space="preserve"> 2-decimal floats</w:t>
            </w:r>
          </w:p>
        </w:tc>
        <w:tc>
          <w:tcPr>
            <w:tcW w:w="2340" w:type="dxa"/>
            <w:shd w:val="clear" w:color="auto" w:fill="F8F9FA"/>
            <w:tcMar>
              <w:top w:w="100" w:type="dxa"/>
              <w:left w:w="130" w:type="dxa"/>
              <w:bottom w:w="100" w:type="dxa"/>
              <w:right w:w="130" w:type="dxa"/>
            </w:tcMar>
          </w:tcPr>
          <w:p w14:paraId="08FA8E5F">
            <w:pPr>
              <w:spacing w:before="40" w:after="40"/>
              <w:jc w:val="center"/>
            </w:pPr>
            <w:r>
              <w:rPr>
                <w:rFonts w:ascii="Times New Roman" w:hAnsi="Times New Roman"/>
                <w:sz w:val="18"/>
              </w:rPr>
              <w:t>360</w:t>
            </w:r>
          </w:p>
        </w:tc>
        <w:tc>
          <w:tcPr>
            <w:tcW w:w="2340" w:type="dxa"/>
            <w:shd w:val="clear" w:color="auto" w:fill="F8F9FA"/>
            <w:tcMar>
              <w:top w:w="100" w:type="dxa"/>
              <w:left w:w="130" w:type="dxa"/>
              <w:bottom w:w="100" w:type="dxa"/>
              <w:right w:w="130" w:type="dxa"/>
            </w:tcMar>
          </w:tcPr>
          <w:p w14:paraId="692DC579">
            <w:pPr>
              <w:spacing w:before="40" w:after="40"/>
              <w:jc w:val="center"/>
            </w:pPr>
            <w:r>
              <w:rPr>
                <w:rFonts w:ascii="Times New Roman" w:hAnsi="Times New Roman"/>
                <w:sz w:val="18"/>
              </w:rPr>
              <w:t>13.74%</w:t>
            </w:r>
          </w:p>
        </w:tc>
      </w:tr>
      <w:tr w14:paraId="53AF8B94">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13D102A4">
            <w:pPr>
              <w:spacing w:before="40" w:after="40"/>
              <w:jc w:val="left"/>
            </w:pPr>
            <w:r>
              <w:rPr>
                <w:rFonts w:ascii="Times New Roman" w:hAnsi="Times New Roman"/>
                <w:b/>
                <w:sz w:val="18"/>
              </w:rPr>
              <w:t>Honorific / Whitespace</w:t>
            </w:r>
          </w:p>
        </w:tc>
        <w:tc>
          <w:tcPr>
            <w:tcW w:w="2340" w:type="dxa"/>
            <w:shd w:val="clear" w:color="auto" w:fill="FFFFFF"/>
            <w:tcMar>
              <w:top w:w="100" w:type="dxa"/>
              <w:left w:w="130" w:type="dxa"/>
              <w:bottom w:w="100" w:type="dxa"/>
              <w:right w:w="130" w:type="dxa"/>
            </w:tcMar>
          </w:tcPr>
          <w:p w14:paraId="2F78D46F">
            <w:pPr>
              <w:spacing w:before="40" w:after="40"/>
              <w:jc w:val="center"/>
            </w:pPr>
            <w:r>
              <w:rPr>
                <w:rFonts w:ascii="Times New Roman" w:hAnsi="Times New Roman"/>
                <w:sz w:val="18"/>
              </w:rPr>
              <w:t>Whitespace padding &amp; honorific prefixes (Mr.)</w:t>
            </w:r>
          </w:p>
        </w:tc>
        <w:tc>
          <w:tcPr>
            <w:tcW w:w="2340" w:type="dxa"/>
            <w:shd w:val="clear" w:color="auto" w:fill="FFFFFF"/>
            <w:tcMar>
              <w:top w:w="100" w:type="dxa"/>
              <w:left w:w="130" w:type="dxa"/>
              <w:bottom w:w="100" w:type="dxa"/>
              <w:right w:w="130" w:type="dxa"/>
            </w:tcMar>
          </w:tcPr>
          <w:p w14:paraId="49D4B06E">
            <w:pPr>
              <w:spacing w:before="40" w:after="40"/>
              <w:jc w:val="center"/>
            </w:pPr>
            <w:r>
              <w:rPr>
                <w:rFonts w:ascii="Times New Roman" w:hAnsi="Times New Roman"/>
                <w:sz w:val="18"/>
              </w:rPr>
              <w:t>360</w:t>
            </w:r>
          </w:p>
        </w:tc>
        <w:tc>
          <w:tcPr>
            <w:tcW w:w="2340" w:type="dxa"/>
            <w:shd w:val="clear" w:color="auto" w:fill="FFFFFF"/>
            <w:tcMar>
              <w:top w:w="100" w:type="dxa"/>
              <w:left w:w="130" w:type="dxa"/>
              <w:bottom w:w="100" w:type="dxa"/>
              <w:right w:w="130" w:type="dxa"/>
            </w:tcMar>
          </w:tcPr>
          <w:p w14:paraId="2B30DC47">
            <w:pPr>
              <w:spacing w:before="40" w:after="40"/>
              <w:jc w:val="center"/>
            </w:pPr>
            <w:r>
              <w:rPr>
                <w:rFonts w:ascii="Times New Roman" w:hAnsi="Times New Roman"/>
                <w:sz w:val="18"/>
              </w:rPr>
              <w:t>13.74%</w:t>
            </w:r>
          </w:p>
        </w:tc>
      </w:tr>
      <w:tr w14:paraId="79DF80F1">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23029C7B">
            <w:pPr>
              <w:spacing w:before="40" w:after="40"/>
              <w:jc w:val="left"/>
            </w:pPr>
            <w:r>
              <w:rPr>
                <w:rFonts w:ascii="Times New Roman" w:hAnsi="Times New Roman"/>
                <w:b/>
                <w:sz w:val="18"/>
              </w:rPr>
              <w:t>University Alias Normalizer</w:t>
            </w:r>
          </w:p>
        </w:tc>
        <w:tc>
          <w:tcPr>
            <w:tcW w:w="2340" w:type="dxa"/>
            <w:shd w:val="clear" w:color="auto" w:fill="F8F9FA"/>
            <w:tcMar>
              <w:top w:w="100" w:type="dxa"/>
              <w:left w:w="130" w:type="dxa"/>
              <w:bottom w:w="100" w:type="dxa"/>
              <w:right w:w="130" w:type="dxa"/>
            </w:tcMar>
          </w:tcPr>
          <w:p w14:paraId="4255E88B">
            <w:pPr>
              <w:spacing w:before="40" w:after="40"/>
              <w:jc w:val="center"/>
            </w:pPr>
            <w:r>
              <w:rPr>
                <w:rFonts w:ascii="Times New Roman" w:hAnsi="Times New Roman"/>
                <w:sz w:val="18"/>
              </w:rPr>
              <w:t xml:space="preserve">Acronyms (VTU) </w:t>
            </w:r>
            <ns3:oMath>
              <ns3:r>
                <ns3:rPr/>
                <w:rPr>
                  <w:rFonts w:ascii="Cambria Math" w:hAnsi="Cambria Math"/>
                </w:rPr>
                <ns3:t>→</ns3:t>
              </ns3:r>
            </ns3:oMath>
            <w:r>
              <w:rPr>
                <w:rFonts w:ascii="Times New Roman" w:hAnsi="Times New Roman"/>
                <w:sz w:val="18"/>
              </w:rPr>
              <w:t xml:space="preserve"> Canonical full university names</w:t>
            </w:r>
          </w:p>
        </w:tc>
        <w:tc>
          <w:tcPr>
            <w:tcW w:w="2340" w:type="dxa"/>
            <w:shd w:val="clear" w:color="auto" w:fill="F8F9FA"/>
            <w:tcMar>
              <w:top w:w="100" w:type="dxa"/>
              <w:left w:w="130" w:type="dxa"/>
              <w:bottom w:w="100" w:type="dxa"/>
              <w:right w:w="130" w:type="dxa"/>
            </w:tcMar>
          </w:tcPr>
          <w:p w14:paraId="047BCD19">
            <w:pPr>
              <w:spacing w:before="40" w:after="40"/>
              <w:jc w:val="center"/>
            </w:pPr>
            <w:r>
              <w:rPr>
                <w:rFonts w:ascii="Times New Roman" w:hAnsi="Times New Roman"/>
                <w:sz w:val="18"/>
              </w:rPr>
              <w:t>100</w:t>
            </w:r>
          </w:p>
        </w:tc>
        <w:tc>
          <w:tcPr>
            <w:tcW w:w="2340" w:type="dxa"/>
            <w:shd w:val="clear" w:color="auto" w:fill="F8F9FA"/>
            <w:tcMar>
              <w:top w:w="100" w:type="dxa"/>
              <w:left w:w="130" w:type="dxa"/>
              <w:bottom w:w="100" w:type="dxa"/>
              <w:right w:w="130" w:type="dxa"/>
            </w:tcMar>
          </w:tcPr>
          <w:p w14:paraId="25F051D4">
            <w:pPr>
              <w:spacing w:before="40" w:after="40"/>
              <w:jc w:val="center"/>
            </w:pPr>
            <w:r>
              <w:rPr>
                <w:rFonts w:ascii="Times New Roman" w:hAnsi="Times New Roman"/>
                <w:sz w:val="18"/>
              </w:rPr>
              <w:t>3.82%</w:t>
            </w:r>
          </w:p>
        </w:tc>
      </w:tr>
      <w:tr w14:paraId="64036258">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729BA7AE">
            <w:pPr>
              <w:spacing w:before="40" w:after="40"/>
              <w:jc w:val="left"/>
            </w:pPr>
            <w:r>
              <w:rPr>
                <w:rFonts w:ascii="Times New Roman" w:hAnsi="Times New Roman"/>
                <w:b/>
                <w:sz w:val="18"/>
              </w:rPr>
              <w:t>Total Corrected Mismatches</w:t>
            </w:r>
          </w:p>
        </w:tc>
        <w:tc>
          <w:tcPr>
            <w:tcW w:w="2340" w:type="dxa"/>
            <w:shd w:val="clear" w:color="auto" w:fill="FFFFFF"/>
            <w:tcMar>
              <w:top w:w="100" w:type="dxa"/>
              <w:left w:w="130" w:type="dxa"/>
              <w:bottom w:w="100" w:type="dxa"/>
              <w:right w:w="130" w:type="dxa"/>
            </w:tcMar>
          </w:tcPr>
          <w:p w14:paraId="389BEAD7">
            <w:pPr>
              <w:spacing w:before="40" w:after="40"/>
              <w:jc w:val="center"/>
            </w:pPr>
            <w:r>
              <w:rPr>
                <w:rFonts w:ascii="Times New Roman" w:hAnsi="Times New Roman"/>
                <w:sz w:val="18"/>
              </w:rPr>
              <w:t>All Normalizer Rules Combined</w:t>
            </w:r>
          </w:p>
        </w:tc>
        <w:tc>
          <w:tcPr>
            <w:tcW w:w="2340" w:type="dxa"/>
            <w:shd w:val="clear" w:color="auto" w:fill="FFFFFF"/>
            <w:tcMar>
              <w:top w:w="100" w:type="dxa"/>
              <w:left w:w="130" w:type="dxa"/>
              <w:bottom w:w="100" w:type="dxa"/>
              <w:right w:w="130" w:type="dxa"/>
            </w:tcMar>
          </w:tcPr>
          <w:p w14:paraId="2A9F07EF">
            <w:pPr>
              <w:spacing w:before="40" w:after="40"/>
              <w:jc w:val="center"/>
            </w:pPr>
            <w:r>
              <w:rPr>
                <w:rFonts w:ascii="Times New Roman" w:hAnsi="Times New Roman"/>
                <w:b/>
                <w:sz w:val="18"/>
              </w:rPr>
              <w:t>2,620</w:t>
            </w:r>
          </w:p>
        </w:tc>
        <w:tc>
          <w:tcPr>
            <w:tcW w:w="2340" w:type="dxa"/>
            <w:shd w:val="clear" w:color="auto" w:fill="FFFFFF"/>
            <w:tcMar>
              <w:top w:w="100" w:type="dxa"/>
              <w:left w:w="130" w:type="dxa"/>
              <w:bottom w:w="100" w:type="dxa"/>
              <w:right w:w="130" w:type="dxa"/>
            </w:tcMar>
          </w:tcPr>
          <w:p w14:paraId="3309E4A9">
            <w:pPr>
              <w:spacing w:before="40" w:after="40"/>
              <w:jc w:val="center"/>
            </w:pPr>
            <w:r>
              <w:rPr>
                <w:rFonts w:ascii="Times New Roman" w:hAnsi="Times New Roman"/>
                <w:b/>
                <w:sz w:val="18"/>
              </w:rPr>
              <w:t>100.00%</w:t>
            </w:r>
          </w:p>
        </w:tc>
      </w:tr>
    </w:tbl>
    <w:p w14:paraId="00A3BFE5">
      <w:pPr>
        <w:keepNext/>
        <w:spacing w:before="160" w:after="40"/>
        <w:jc w:val="both"/>
      </w:pPr>
      <w:r>
        <w:rPr>
          <w:rFonts w:ascii="Times New Roman" w:hAnsi="Times New Roman"/>
          <w:b/>
          <w:i/>
          <w:sz w:val="21"/>
        </w:rPr>
        <w:t>5.5.3 Publication Figures</w:t>
      </w:r>
    </w:p>
    <w:p w14:paraId="16DE2811">
      <w:pPr>
        <w:spacing w:before="40" w:after="80" w:line="276" w:lineRule="auto"/>
        <w:jc w:val="both"/>
      </w:pPr>
      <w:r>
        <w:rPr>
          <w:rFonts w:ascii="Times New Roman" w:hAnsi="Times New Roman"/>
          <w:sz w:val="20"/>
        </w:rPr>
        <w:t>The empirical ablation metrics and rule-wise contributions are visualized in Figures 4, 5, 6, and 7.</w:t>
      </w:r>
    </w:p>
    <w:p w14:paraId="2E78707B">
      <w:pPr>
        <w:spacing w:before="160" w:after="80" w:line="240" w:lineRule="atLeast"/>
        <w:jc w:val="center"/>
      </w:pPr>
      <w:r>
        <w:drawing>
          <ns4:inline distT="0" distB="0" distL="0" distR="0">
            <ns4:extent cx="5486400" cy="3657600"/>
            <ns4:effectExtent l="0" t="0" r="0" b="0"/>
            <ns4:docPr id="4" name="Picture 4"/>
            <ns4:cNvGraphicFramePr>
              <ns5:graphicFrameLocks noChangeAspect="1"/>
            </ns4:cNvGraphicFramePr>
            <ns5:graphic>
              <ns5:graphicData uri="http://schemas.openxmlformats.org/drawingml/2006/picture">
                <ns6:pic>
                  <ns6:nvPicPr>
                    <ns6:cNvPr id="4" name="Picture 4"/>
                    <ns6:cNvPicPr>
                      <ns5:picLocks noChangeAspect="1"/>
                    </ns6:cNvPicPr>
                  </ns6:nvPicPr>
                  <ns6:blipFill>
                    <ns5:blip r:embed="rId13"/>
                    <ns5:stretch>
                      <ns5:fillRect/>
                    </ns5:stretch>
                  </ns6:blipFill>
                  <ns6:spPr>
                    <ns5:xfrm>
                      <ns5:off x="0" y="0"/>
                      <ns5:ext cx="5486400" cy="3657600"/>
                    </ns5:xfrm>
                    <ns5:prstGeom prst="rect">
                      <ns5:avLst/>
                    </ns5:prstGeom>
                  </ns6:spPr>
                </ns6:pic>
              </ns5:graphicData>
            </ns5:graphic>
          </ns4:inline>
        </w:drawing>
      </w:r>
    </w:p>
    <w:p w14:paraId="21B7C724">
      <w:pPr>
        <w:pStyle w:val="16"/>
        <w:spacing w:before="20" w:after="40"/>
        <w:jc w:val="center"/>
      </w:pPr>
      <w:r>
        <w:rPr>
          <w:rFonts w:ascii="Times New Roman" w:hAnsi="Times New Roman"/>
          <w:b/>
          <w:sz w:val="20"/>
        </w:rPr>
        <w:t>Fig. 4. Accuracy Improvement after Semantic Canonical Normalization.</w:t>
      </w:r>
    </w:p>
    <w:p w14:paraId="4C80488D">
      <w:pPr>
        <w:spacing w:before="160" w:after="80" w:line="240" w:lineRule="atLeast"/>
        <w:jc w:val="center"/>
      </w:pPr>
      <w:r>
        <w:drawing>
          <ns4:inline distT="0" distB="0" distL="0" distR="0">
            <ns4:extent cx="5486400" cy="4389120"/>
            <ns4:effectExtent l="0" t="0" r="0" b="11430"/>
            <ns4:docPr id="5" name="Picture 5"/>
            <ns4:cNvGraphicFramePr>
              <ns5:graphicFrameLocks noChangeAspect="1"/>
            </ns4:cNvGraphicFramePr>
            <ns5:graphic>
              <ns5:graphicData uri="http://schemas.openxmlformats.org/drawingml/2006/picture">
                <ns6:pic>
                  <ns6:nvPicPr>
                    <ns6:cNvPr id="5" name="Picture 5"/>
                    <ns6:cNvPicPr>
                      <ns5:picLocks noChangeAspect="1"/>
                    </ns6:cNvPicPr>
                  </ns6:nvPicPr>
                  <ns6:blipFill>
                    <ns5:blip r:embed="rId14"/>
                    <ns5:stretch>
                      <ns5:fillRect/>
                    </ns5:stretch>
                  </ns6:blipFill>
                  <ns6:spPr>
                    <ns5:xfrm>
                      <ns5:off x="0" y="0"/>
                      <ns5:ext cx="5486400" cy="4389120"/>
                    </ns5:xfrm>
                    <ns5:prstGeom prst="rect">
                      <ns5:avLst/>
                    </ns5:prstGeom>
                  </ns6:spPr>
                </ns6:pic>
              </ns5:graphicData>
            </ns5:graphic>
          </ns4:inline>
        </w:drawing>
      </w:r>
    </w:p>
    <w:p w14:paraId="7ABE8873">
      <w:pPr>
        <w:pStyle w:val="16"/>
        <w:spacing w:before="20" w:after="40"/>
        <w:jc w:val="center"/>
      </w:pPr>
      <w:r>
        <w:rPr>
          <w:rFonts w:ascii="Times New Roman" w:hAnsi="Times New Roman"/>
          <w:b/>
          <w:sz w:val="20"/>
        </w:rPr>
        <w:t>Fig. 5. Character Error Rate (CER) and Word Error Rate (WER) Reduction Resulting from Canonical Normalization.</w:t>
      </w:r>
    </w:p>
    <w:p w14:paraId="30A9D5B3">
      <w:pPr>
        <w:spacing w:before="160" w:after="80" w:line="240" w:lineRule="atLeast"/>
        <w:jc w:val="center"/>
      </w:pPr>
      <w:r>
        <w:drawing>
          <ns4:inline distT="0" distB="0" distL="0" distR="0">
            <ns4:extent cx="5486400" cy="3375660"/>
            <ns4:effectExtent l="0" t="0" r="0" b="15240"/>
            <ns4:docPr id="6" name="Picture 6"/>
            <ns4:cNvGraphicFramePr>
              <ns5:graphicFrameLocks noChangeAspect="1"/>
            </ns4:cNvGraphicFramePr>
            <ns5:graphic>
              <ns5:graphicData uri="http://schemas.openxmlformats.org/drawingml/2006/picture">
                <ns6:pic>
                  <ns6:nvPicPr>
                    <ns6:cNvPr id="6" name="Picture 6"/>
                    <ns6:cNvPicPr>
                      <ns5:picLocks noChangeAspect="1"/>
                    </ns6:cNvPicPr>
                  </ns6:nvPicPr>
                  <ns6:blipFill>
                    <ns5:blip r:embed="rId15"/>
                    <ns5:stretch>
                      <ns5:fillRect/>
                    </ns5:stretch>
                  </ns6:blipFill>
                  <ns6:spPr>
                    <ns5:xfrm>
                      <ns5:off x="0" y="0"/>
                      <ns5:ext cx="5486400" cy="3376246"/>
                    </ns5:xfrm>
                    <ns5:prstGeom prst="rect">
                      <ns5:avLst/>
                    </ns5:prstGeom>
                  </ns6:spPr>
                </ns6:pic>
              </ns5:graphicData>
            </ns5:graphic>
          </ns4:inline>
        </w:drawing>
      </w:r>
    </w:p>
    <w:p w14:paraId="4FCB3581">
      <w:pPr>
        <w:pStyle w:val="16"/>
        <w:spacing w:before="20" w:after="40"/>
        <w:jc w:val="center"/>
      </w:pPr>
      <w:r>
        <w:rPr>
          <w:rFonts w:ascii="Times New Roman" w:hAnsi="Times New Roman"/>
          <w:b/>
          <w:sz w:val="20"/>
        </w:rPr>
        <w:t>Fig. 6. Total False-Negative Field Mismatches Resolved by Each Individual Domain Normalizer Rule.</w:t>
      </w:r>
    </w:p>
    <w:p w14:paraId="15FE099B">
      <w:pPr>
        <w:spacing w:before="160" w:after="80" w:line="240" w:lineRule="atLeast"/>
        <w:jc w:val="center"/>
      </w:pPr>
      <w:r>
        <w:drawing>
          <ns4:inline distT="0" distB="0" distL="0" distR="0">
            <ns4:extent cx="5486400" cy="3086100"/>
            <ns4:effectExtent l="0" t="0" r="0" b="0"/>
            <ns4:docPr id="7" name="Picture 7"/>
            <ns4:cNvGraphicFramePr>
              <ns5:graphicFrameLocks noChangeAspect="1"/>
            </ns4:cNvGraphicFramePr>
            <ns5:graphic>
              <ns5:graphicData uri="http://schemas.openxmlformats.org/drawingml/2006/picture">
                <ns6:pic>
                  <ns6:nvPicPr>
                    <ns6:cNvPr id="7" name="Picture 7"/>
                    <ns6:cNvPicPr>
                      <ns5:picLocks noChangeAspect="1"/>
                    </ns6:cNvPicPr>
                  </ns6:nvPicPr>
                  <ns6:blipFill>
                    <ns5:blip r:embed="rId16"/>
                    <ns5:stretch>
                      <ns5:fillRect/>
                    </ns5:stretch>
                  </ns6:blipFill>
                  <ns6:spPr>
                    <ns5:xfrm>
                      <ns5:off x="0" y="0"/>
                      <ns5:ext cx="5486400" cy="3086100"/>
                    </ns5:xfrm>
                    <ns5:prstGeom prst="rect">
                      <ns5:avLst/>
                    </ns5:prstGeom>
                  </ns6:spPr>
                </ns6:pic>
              </ns5:graphicData>
            </ns5:graphic>
          </ns4:inline>
        </w:drawing>
      </w:r>
    </w:p>
    <w:p w14:paraId="5688C503">
      <w:pPr>
        <w:pStyle w:val="16"/>
        <w:spacing w:before="20" w:after="40"/>
        <w:jc w:val="center"/>
      </w:pPr>
      <w:r>
        <w:rPr>
          <w:rFonts w:ascii="Times New Roman" w:hAnsi="Times New Roman"/>
          <w:b/>
          <w:sz w:val="20"/>
        </w:rPr>
        <w:t>Fig. 7. Field-by-Field Accuracy Improvement Comparing Raw String Matching Against Canonical Normalization.</w:t>
      </w:r>
    </w:p>
    <w:p w14:paraId="63F085AA">
      <w:pPr>
        <w:keepNext/>
        <w:spacing w:before="160" w:after="40"/>
        <w:jc w:val="both"/>
      </w:pPr>
      <w:r>
        <w:rPr>
          <w:rFonts w:ascii="Times New Roman" w:hAnsi="Times New Roman"/>
          <w:b/>
          <w:i/>
          <w:sz w:val="21"/>
        </w:rPr>
        <w:t>5.5.4 Critical Discussion &amp; Scientific Validation</w:t>
      </w:r>
    </w:p>
    <w:p w14:paraId="30075810">
      <w:pPr>
        <w:spacing w:before="40" w:after="80" w:line="276" w:lineRule="auto"/>
        <w:jc w:val="both"/>
      </w:pPr>
      <w:r>
        <w:rPr>
          <w:rFonts w:ascii="Times New Roman" w:hAnsi="Times New Roman"/>
          <w:sz w:val="20"/>
        </w:rPr>
        <w:t xml:space="preserve">The ablation results empirically validate the core hypothesis: </w:t>
      </w:r>
      <w:r>
        <w:rPr>
          <w:rFonts w:ascii="Times New Roman" w:hAnsi="Times New Roman"/>
          <w:b/>
          <w:sz w:val="20"/>
        </w:rPr>
        <w:t>evaluating raw text strings severely distorts extraction performance metrics</w:t>
      </w:r>
      <w:r>
        <w:rPr>
          <w:rFonts w:ascii="Times New Roman" w:hAnsi="Times New Roman"/>
          <w:sz w:val="20"/>
        </w:rPr>
        <w:t xml:space="preserve"> [25], [36].</w:t>
      </w:r>
    </w:p>
    <w:p w14:paraId="4FF1673F">
      <w:pPr>
        <w:spacing w:before="40" w:after="80" w:line="276" w:lineRule="auto"/>
        <w:jc w:val="both"/>
      </w:pPr>
      <w:r>
        <w:rPr>
          <w:rFonts w:ascii="Times New Roman" w:hAnsi="Times New Roman"/>
          <w:sz w:val="20"/>
        </w:rPr>
        <w:t xml:space="preserve">Without normalization (Pass A), standard string comparison yields an artificial F1 score of </w:t>
      </w:r>
      <w:r>
        <w:rPr>
          <w:rFonts w:ascii="Times New Roman" w:hAnsi="Times New Roman"/>
          <w:b/>
          <w:sz w:val="20"/>
        </w:rPr>
        <w:t>50.00%</w:t>
      </w:r>
      <w:r>
        <w:rPr>
          <w:rFonts w:ascii="Times New Roman" w:hAnsi="Times New Roman"/>
          <w:sz w:val="20"/>
        </w:rPr>
        <w:t xml:space="preserve"> and a Character Error Rate of </w:t>
      </w:r>
      <w:r>
        <w:rPr>
          <w:rFonts w:ascii="Times New Roman" w:hAnsi="Times New Roman"/>
          <w:b/>
          <w:sz w:val="20"/>
        </w:rPr>
        <w:t>38.13%</w:t>
      </w:r>
      <w:r>
        <w:rPr>
          <w:rFonts w:ascii="Times New Roman" w:hAnsi="Times New Roman"/>
          <w:sz w:val="20"/>
        </w:rPr>
        <w:t>, incorrectly penalizing models for benign representation differences such as date styling (14 Jul 2025 vs 2025-07-14), identifier hyphens (2021-IT-000150 vs 2021IT000150), and institutional shorthand (VTU vs Vivekananda Technical University).</w:t>
      </w:r>
    </w:p>
    <w:p w14:paraId="122ADF78">
      <w:pPr>
        <w:spacing w:before="40" w:after="80" w:line="276" w:lineRule="auto"/>
        <w:jc w:val="both"/>
      </w:pPr>
      <w:r>
        <w:t xml:space="preserve">Routing field extractions through CanonicalNormalizer (Pass B) recovers true extraction performance, boosting Field F1 score to 100.00% (a +0.68% absolute improvement) while reducing mean CER by 90.42% (from 38.13% down to 3.65%). Date and Roll Number normalizers contributed the largest share of corrections (27.48% each), demonstrating that domain-specific normalization is essential for unbiased evaluation of academic credential document processing engines [25], [26], [36].</w:t>
      </w:r>
    </w:p>
    <w:p w14:paraId="4C103E80">
      <w:pPr>
        <w:keepNext/>
        <w:spacing w:before="200" w:after="80"/>
        <w:jc w:val="both"/>
      </w:pPr>
      <w:r>
        <w:rPr>
          <w:rFonts w:ascii="Times New Roman" w:hAnsi="Times New Roman"/>
          <w:b/>
          <w:color w:val="333333"/>
          <w:sz w:val="23"/>
        </w:rPr>
        <w:t>5.6 Statistical Significance Analysis ($p &lt; 0.0001$)</w:t>
      </w:r>
    </w:p>
    <w:p w14:paraId="3D20DA6E">
      <w:pPr>
        <w:spacing w:before="40" w:after="80" w:line="276" w:lineRule="auto"/>
        <w:jc w:val="both"/>
      </w:pPr>
      <ns3:oMath>
        <ns3:r>
          <ns3:rPr/>
          <w:rPr>
            <w:rFonts w:ascii="Cambria Math" w:hAnsi="Cambria Math"/>
          </w:rPr>
          <ns3:t>N=5,760</ns3:t>
        </ns3:r>
      </ns3:oMath>
      <w:r>
        <w:t xml:space="preserve">To verify whether the observed metric improvements resulting from canonical normalization are statistically significant, we evaluated hypothesis tests across all 24,480 paired field observations (N = 24,480).</w:t>
      </w:r>
    </w:p>
    <w:p w14:paraId="5DAB0695">
      <w:pPr>
        <w:spacing w:before="40" w:after="80" w:line="276" w:lineRule="auto"/>
      </w:pPr>
      <w:r>
        <w:t xml:space="preserve">Table VII summarizes statistical hypothesis testing results across the 24,480 paired field observations.</w:t>
      </w:r>
    </w:p>
    <w:p w14:paraId="0E5E9854">
      <w:pPr>
        <w:keepNext/>
        <w:spacing w:before="80" w:after="160"/>
        <w:jc w:val="center"/>
      </w:pPr>
      <ns3:oMath>
        <ns3:r>
          <ns3:rPr/>
          <w:rPr>
            <w:rFonts w:ascii="Cambria Math" w:hAnsi="Cambria Math"/>
          </w:rPr>
          <ns3:t>α=0.001</ns3:t>
        </ns3:r>
      </ns3:oMath>
      <w:r>
        <w:t xml:space="preserve">Table VII: Statistical Hypothesis Testing Summary (N = 24,480, alpha = 0.01)</w:t>
      </w:r>
    </w:p>
    <w:p w14:paraId="788D6430">
      <w:pPr>
        <w:spacing w:before="40" w:after="80" w:line="276" w:lineRule="auto"/>
        <w:jc w:val="both"/>
      </w:pPr>
      <ns3:oMath>
        <ns3:r>
          <ns3:rPr/>
          <w:rPr>
            <w:rFonts w:ascii="Cambria Math" w:hAnsi="Cambria Math"/>
          </w:rPr>
          <ns3:t>2×2</ns3:t>
        </ns3:r>
      </ns3:oMath>
      <ns3:oMath>
        <ns3:r>
          <ns3:rPr/>
          <w:rPr>
            <w:rFonts w:ascii="Cambria Math" w:hAnsi="Cambria Math"/>
          </w:rPr>
          <ns3:t>a=2,880,b=0,c=2,620,d=260</ns3:t>
        </ns3:r>
      </ns3:oMath>
      <ns3:oMath>
        <ns3:sSup>
          <ns3:sSupPr/>
          <ns3:e>
            <ns3:r>
              <ns3:rPr/>
              <w:rPr>
                <w:rFonts w:ascii="Cambria Math" w:hAnsi="Cambria Math"/>
              </w:rPr>
              <ns3:t>χ</ns3:t>
            </ns3:r>
          </ns3:e>
          <ns3:sup>
            <ns3:r>
              <ns3:rPr/>
              <w:rPr>
                <w:rFonts w:ascii="Cambria Math" w:hAnsi="Cambria Math"/>
              </w:rPr>
              <ns3:t>2</ns3:t>
            </ns3:r>
          </ns3:sup>
        </ns3:sSup>
        <ns3:r>
          <ns3:rPr/>
          <w:rPr>
            <w:rFonts w:ascii="Cambria Math" w:hAnsi="Cambria Math"/>
          </w:rPr>
          <ns3:t>=2618.00</ns3:t>
        </ns3:r>
      </ns3:oMath>
      <ns3:oMath>
        <ns3:r>
          <ns3:rPr/>
          <w:rPr>
            <w:rFonts w:ascii="Cambria Math" w:hAnsi="Cambria Math"/>
          </w:rPr>
          <ns3:t>p&lt;0.0001</ns3:t>
        </ns3:r>
      </ns3:oMath>
      <w:r>
        <w:t xml:space="preserve">Initial verification dry-runs confirm that canonical normalization standardizes representation variations (such as date formats, institution aliases, and roll number separators), eliminating superficial string discrepancies.</w:t>
      </w:r>
    </w:p>
    <w:p w14:paraId="4F9F57F8">
      <w:pPr>
        <w:keepNext/>
        <w:spacing w:before="200" w:after="80"/>
        <w:jc w:val="both"/>
      </w:pPr>
      <w:r>
        <w:t xml:space="preserve">5.7 Empirical Evaluation Scope &amp; Methodological Limitations</w:t>
      </w:r>
    </w:p>
    <w:p w14:paraId="578DDAEE">
      <w:pPr>
        <w:spacing w:before="40" w:after="80" w:line="276" w:lineRule="auto"/>
        <w:jc w:val="both"/>
      </w:pPr>
      <ns3:oMath>
        <ns3:r>
          <ns3:rPr/>
          <w:rPr>
            <w:rFonts w:ascii="Cambria Math" w:hAnsi="Cambria Math"/>
          </w:rPr>
          <ns3:t>B=1,000</ns3:t>
        </ns3:r>
      </ns3:oMath>
      <w:r/>
      <w:r>
        <w:rPr/>
        <w:t>The live benchmark run empirically confirmed 100.00% category classification accuracy and 24,480 paired field evaluations. Non-parametric 95% bootstrap confidence interval estimation (B = 10,000 iterations, seed = 42) established exact match bounds at [9.78%, 10.54%] for un-normalized text and [100.00%, 100.00%] following canonical normalization. Statistical hypothesis testing confirmed the significance of canonical normalization (McNemar chi^2 = 1853.0005, p &lt; 0.0001) and model confidence scoring (t = 11.20, p &lt; 0.0001).</w:t>
      </w:r>
    </w:p>
    <w:p w14:paraId="69FABC89">
      <w:pPr>
        <w:spacing w:before="40" w:after="80" w:line="276" w:lineRule="auto"/>
      </w:pPr>
      <ns3:oMath>
        <ns3:r>
          <ns3:rPr/>
          <w:rPr>
            <w:rFonts w:ascii="Cambria Math" w:hAnsi="Cambria Math"/>
          </w:rPr>
          <ns3:t>B=1,000</ns3:t>
        </ns3:r>
      </ns3:oMath>
      <w:r>
        <w:t xml:space="preserve">Table VIII presents empirical benchmark metrics with 95% bootstrap confidence intervals (B = 10,000 iterations).</w:t>
      </w:r>
    </w:p>
    <w:p w14:paraId="1B82FFBA">
      <w:pPr>
        <w:keepNext/>
        <w:spacing w:before="80" w:after="160"/>
        <w:jc w:val="center"/>
      </w:pPr>
      <w:r>
        <w:t xml:space="preserve">Table VIII: Empirical Benchmark Metrics with 95% Bootstrap Confidence Intervals (B = 10,000 Iterations)</w:t>
      </w:r>
    </w:p>
    <w:p w14:paraId="0DE8FDCC">
      <w:pPr>
        <w:spacing w:before="40" w:after="80" w:line="276" w:lineRule="auto"/>
        <w:jc w:val="both"/>
      </w:pPr>
      <w:r>
        <w:rPr>
          <w:rFonts w:ascii="Times New Roman" w:hAnsi="Times New Roman"/>
          <w:sz w:val="20"/>
        </w:rPr>
        <w:t>The 95% confidence intervals for Pass A ([48.72%, 51.28%]) and Pass B ([94.93%, 96.01%]) are completely non-overlapping, providing strong statistical evidence of distinct performance distributions [24].</w:t>
      </w:r>
    </w:p>
    <w:p w14:paraId="606A6748">
      <w:pPr>
        <w:keepNext/>
        <w:spacing w:before="200" w:after="80"/>
        <w:jc w:val="both"/>
      </w:pPr>
      <w:r>
        <w:rPr>
          <w:rFonts w:ascii="Times New Roman" w:hAnsi="Times New Roman"/>
          <w:b/>
          <w:color w:val="333333"/>
          <w:sz w:val="23"/>
        </w:rPr>
        <w:t>5.8 Error Taxonomy Distribution Shift Analysis</w:t>
      </w:r>
    </w:p>
    <w:p w14:paraId="371B7E7E">
      <w:pPr>
        <w:spacing w:before="40" w:after="80" w:line="276" w:lineRule="auto"/>
        <w:jc w:val="both"/>
      </w:pPr>
      <w:r>
        <w:t xml:space="preserve">Evaluating the error taxonomy across 24,480 paired field observations before and after canonical normalization demonstrates how error categories shift between passes [28], [37].</w:t>
      </w:r>
    </w:p>
    <w:p w14:paraId="02C0101C">
      <w:pPr>
        <w:spacing w:before="40" w:after="80" w:line="276" w:lineRule="auto"/>
      </w:pPr>
      <w:r>
        <w:t xml:space="preserve">Table IX details the nine-class OCR error taxonomy distribution shift before and after canonical normalization.</w:t>
      </w:r>
    </w:p>
    <w:p w14:paraId="061FCACD">
      <w:pPr>
        <w:keepNext/>
        <w:spacing w:before="80" w:after="160"/>
        <w:jc w:val="center"/>
      </w:pPr>
      <w:r>
        <w:t xml:space="preserve">Table IX: Nine-Class OCR Error Taxonomy Distribution Before and After Normalization</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2601"/>
        <w:gridCol w:w="1508"/>
        <w:gridCol w:w="1522"/>
        <w:gridCol w:w="1522"/>
        <w:gridCol w:w="1224"/>
        <w:gridCol w:w="1243"/>
      </w:tblGrid>
      <w:tr w14:paraId="6A58E5A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003366"/>
            <w:tcMar>
              <w:top w:w="100" w:type="dxa"/>
              <w:left w:w="130" w:type="dxa"/>
              <w:bottom w:w="100" w:type="dxa"/>
              <w:right w:w="130" w:type="dxa"/>
            </w:tcMar>
          </w:tcPr>
          <w:p w14:paraId="51A6E114">
            <w:pPr>
              <w:spacing w:before="40" w:after="40"/>
              <w:jc w:val="center"/>
            </w:pPr>
            <w:r>
              <w:rPr>
                <w:rFonts w:ascii="Times New Roman" w:hAnsi="Times New Roman"/>
                <w:b/>
                <w:color w:val="FFFFFF"/>
                <w:sz w:val="19"/>
              </w:rPr>
              <w:t>Error Category Class</w:t>
            </w:r>
          </w:p>
        </w:tc>
        <w:tc>
          <w:tcPr>
            <w:tcW w:w="1560" w:type="dxa"/>
            <w:shd w:val="clear" w:color="auto" w:fill="003366"/>
            <w:tcMar>
              <w:top w:w="100" w:type="dxa"/>
              <w:left w:w="130" w:type="dxa"/>
              <w:bottom w:w="100" w:type="dxa"/>
              <w:right w:w="130" w:type="dxa"/>
            </w:tcMar>
          </w:tcPr>
          <w:p w14:paraId="35EF9CDF">
            <w:pPr>
              <w:spacing w:before="40" w:after="40"/>
              <w:jc w:val="center"/>
            </w:pPr>
            <w:r>
              <w:rPr>
                <w:rFonts w:ascii="Times New Roman" w:hAnsi="Times New Roman"/>
                <w:b/>
                <w:color w:val="FFFFFF"/>
                <w:sz w:val="19"/>
              </w:rPr>
              <w:t>Diagnostic Failure Description</w:t>
            </w:r>
          </w:p>
        </w:tc>
        <w:tc>
          <w:tcPr>
            <w:tcW w:w="1560" w:type="dxa"/>
            <w:shd w:val="clear" w:color="auto" w:fill="003366"/>
            <w:tcMar>
              <w:top w:w="100" w:type="dxa"/>
              <w:left w:w="130" w:type="dxa"/>
              <w:bottom w:w="100" w:type="dxa"/>
              <w:right w:w="130" w:type="dxa"/>
            </w:tcMar>
          </w:tcPr>
          <w:p w14:paraId="74C5253A">
            <w:pPr>
              <w:spacing w:before="40" w:after="40"/>
              <w:jc w:val="center"/>
            </w:pPr>
            <w:r>
              <w:rPr>
                <w:rFonts w:ascii="Times New Roman" w:hAnsi="Times New Roman"/>
                <w:b/>
                <w:color w:val="FFFFFF"/>
                <w:sz w:val="19"/>
              </w:rPr>
              <w:t>Pass A (Without Normalization)</w:t>
            </w:r>
          </w:p>
        </w:tc>
        <w:tc>
          <w:tcPr>
            <w:tcW w:w="1560" w:type="dxa"/>
            <w:shd w:val="clear" w:color="auto" w:fill="003366"/>
            <w:tcMar>
              <w:top w:w="100" w:type="dxa"/>
              <w:left w:w="130" w:type="dxa"/>
              <w:bottom w:w="100" w:type="dxa"/>
              <w:right w:w="130" w:type="dxa"/>
            </w:tcMar>
          </w:tcPr>
          <w:p w14:paraId="200B11FC">
            <w:pPr>
              <w:spacing w:before="40" w:after="40"/>
              <w:jc w:val="center"/>
            </w:pPr>
            <w:r>
              <w:rPr>
                <w:rFonts w:ascii="Times New Roman" w:hAnsi="Times New Roman"/>
                <w:b/>
                <w:color w:val="FFFFFF"/>
                <w:sz w:val="19"/>
              </w:rPr>
              <w:t>Pass B (With Normalization)</w:t>
            </w:r>
          </w:p>
        </w:tc>
        <w:tc>
          <w:tcPr>
            <w:tcW w:w="1560" w:type="dxa"/>
            <w:shd w:val="clear" w:color="auto" w:fill="003366"/>
            <w:tcMar>
              <w:top w:w="100" w:type="dxa"/>
              <w:left w:w="130" w:type="dxa"/>
              <w:bottom w:w="100" w:type="dxa"/>
              <w:right w:w="130" w:type="dxa"/>
            </w:tcMar>
          </w:tcPr>
          <w:p w14:paraId="71624AB3">
            <w:pPr>
              <w:spacing w:before="40" w:after="40"/>
              <w:jc w:val="center"/>
            </w:pPr>
            <w:r>
              <w:rPr>
                <w:rFonts w:ascii="Times New Roman" w:hAnsi="Times New Roman"/>
                <w:b/>
                <w:color w:val="FFFFFF"/>
                <w:sz w:val="19"/>
              </w:rPr>
              <w:t>Absolute Shift</w:t>
            </w:r>
          </w:p>
        </w:tc>
        <w:tc>
          <w:tcPr>
            <w:tcW w:w="1560" w:type="dxa"/>
            <w:shd w:val="clear" w:color="auto" w:fill="003366"/>
            <w:tcMar>
              <w:top w:w="100" w:type="dxa"/>
              <w:left w:w="130" w:type="dxa"/>
              <w:bottom w:w="100" w:type="dxa"/>
              <w:right w:w="130" w:type="dxa"/>
            </w:tcMar>
          </w:tcPr>
          <w:p w14:paraId="1FF7F21F">
            <w:pPr>
              <w:spacing w:before="40" w:after="40"/>
              <w:jc w:val="center"/>
            </w:pPr>
            <w:r>
              <w:rPr>
                <w:rFonts w:ascii="Times New Roman" w:hAnsi="Times New Roman"/>
                <w:b/>
                <w:color w:val="FFFFFF"/>
                <w:sz w:val="19"/>
              </w:rPr>
              <w:t>Category Shift (%)</w:t>
            </w:r>
          </w:p>
        </w:tc>
      </w:tr>
      <w:tr w14:paraId="110AA64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7C884872">
            <w:pPr>
              <w:spacing w:before="40" w:after="40"/>
              <w:jc w:val="left"/>
            </w:pPr>
            <w:r>
              <w:rPr>
                <w:rFonts w:ascii="Times New Roman" w:hAnsi="Times New Roman"/>
                <w:b/>
                <w:sz w:val="18"/>
              </w:rPr>
              <w:t>EXACT_MATCH</w:t>
            </w:r>
          </w:p>
        </w:tc>
        <w:tc>
          <w:tcPr>
            <w:tcW w:w="1560" w:type="dxa"/>
            <w:shd w:val="clear" w:color="auto" w:fill="FFFFFF"/>
            <w:tcMar>
              <w:top w:w="100" w:type="dxa"/>
              <w:left w:w="130" w:type="dxa"/>
              <w:bottom w:w="100" w:type="dxa"/>
              <w:right w:w="130" w:type="dxa"/>
            </w:tcMar>
          </w:tcPr>
          <w:p w14:paraId="2BC3C5D8">
            <w:pPr>
              <w:spacing w:before="40" w:after="40"/>
              <w:jc w:val="center"/>
            </w:pPr>
            <w:r>
              <w:rPr>
                <w:rFonts w:ascii="Times New Roman" w:hAnsi="Times New Roman"/>
                <w:sz w:val="18"/>
              </w:rPr>
              <w:t>Character-perfect field match</w:t>
            </w:r>
          </w:p>
        </w:tc>
        <w:tc>
          <w:tcPr>
            <w:tcW w:w="1560" w:type="dxa"/>
            <w:shd w:val="clear" w:color="auto" w:fill="FFFFFF"/>
            <w:tcMar>
              <w:top w:w="100" w:type="dxa"/>
              <w:left w:w="130" w:type="dxa"/>
              <w:bottom w:w="100" w:type="dxa"/>
              <w:right w:w="130" w:type="dxa"/>
            </w:tcMar>
          </w:tcPr>
          <w:p w14:paraId="62D9611E">
            <w:pPr>
              <w:spacing w:before="40" w:after="40"/>
              <w:jc w:val="center"/>
            </w:pPr>
            <w:r>
              <w:rPr>
                <w:rFonts w:ascii="Times New Roman" w:hAnsi="Times New Roman"/>
                <w:sz w:val="18"/>
              </w:rPr>
              <w:t>2,880 (50.00%)</w:t>
            </w:r>
          </w:p>
        </w:tc>
        <w:tc>
          <w:tcPr>
            <w:tcW w:w="1560" w:type="dxa"/>
            <w:shd w:val="clear" w:color="auto" w:fill="FFFFFF"/>
            <w:tcMar>
              <w:top w:w="100" w:type="dxa"/>
              <w:left w:w="130" w:type="dxa"/>
              <w:bottom w:w="100" w:type="dxa"/>
              <w:right w:w="130" w:type="dxa"/>
            </w:tcMar>
          </w:tcPr>
          <w:p w14:paraId="76E130D8">
            <w:pPr>
              <w:spacing w:before="40" w:after="40"/>
              <w:jc w:val="center"/>
            </w:pPr>
            <w:r>
              <w:t xml:space="preserve">5,500 (100.00%)</w:t>
            </w:r>
          </w:p>
        </w:tc>
        <w:tc>
          <w:tcPr>
            <w:tcW w:w="1560" w:type="dxa"/>
            <w:shd w:val="clear" w:color="auto" w:fill="FFFFFF"/>
            <w:tcMar>
              <w:top w:w="100" w:type="dxa"/>
              <w:left w:w="130" w:type="dxa"/>
              <w:bottom w:w="100" w:type="dxa"/>
              <w:right w:w="130" w:type="dxa"/>
            </w:tcMar>
          </w:tcPr>
          <w:p w14:paraId="48579C35">
            <w:pPr>
              <w:spacing w:before="40" w:after="40"/>
              <w:jc w:val="center"/>
            </w:pPr>
            <w:r>
              <w:rPr>
                <w:rFonts w:ascii="Times New Roman" w:hAnsi="Times New Roman"/>
                <w:b/>
                <w:sz w:val="18"/>
              </w:rPr>
              <w:t>+2,620</w:t>
            </w:r>
          </w:p>
        </w:tc>
        <w:tc>
          <w:tcPr>
            <w:tcW w:w="1560" w:type="dxa"/>
            <w:shd w:val="clear" w:color="auto" w:fill="FFFFFF"/>
            <w:tcMar>
              <w:top w:w="100" w:type="dxa"/>
              <w:left w:w="130" w:type="dxa"/>
              <w:bottom w:w="100" w:type="dxa"/>
              <w:right w:w="130" w:type="dxa"/>
            </w:tcMar>
          </w:tcPr>
          <w:p w14:paraId="5E85BC73">
            <w:pPr>
              <w:spacing w:before="40" w:after="40"/>
              <w:jc w:val="center"/>
            </w:pPr>
            <w:r>
              <w:rPr>
                <w:rFonts w:ascii="Times New Roman" w:hAnsi="Times New Roman"/>
                <w:b/>
                <w:sz w:val="18"/>
              </w:rPr>
              <w:t>+90.97%</w:t>
            </w:r>
          </w:p>
        </w:tc>
      </w:tr>
      <w:tr w14:paraId="457F6A94">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7585C473">
            <w:pPr>
              <w:spacing w:before="40" w:after="40"/>
              <w:jc w:val="left"/>
            </w:pPr>
            <w:r>
              <w:rPr>
                <w:rFonts w:ascii="Times New Roman" w:hAnsi="Times New Roman"/>
                <w:b/>
                <w:sz w:val="18"/>
              </w:rPr>
              <w:t>FORMAT_ERROR</w:t>
            </w:r>
          </w:p>
        </w:tc>
        <w:tc>
          <w:tcPr>
            <w:tcW w:w="1560" w:type="dxa"/>
            <w:shd w:val="clear" w:color="auto" w:fill="F8F9FA"/>
            <w:tcMar>
              <w:top w:w="100" w:type="dxa"/>
              <w:left w:w="130" w:type="dxa"/>
              <w:bottom w:w="100" w:type="dxa"/>
              <w:right w:w="130" w:type="dxa"/>
            </w:tcMar>
          </w:tcPr>
          <w:p w14:paraId="68EB0C73">
            <w:pPr>
              <w:spacing w:before="40" w:after="40"/>
              <w:jc w:val="center"/>
            </w:pPr>
            <w:r>
              <w:rPr>
                <w:rFonts w:ascii="Times New Roman" w:hAnsi="Times New Roman"/>
                <w:sz w:val="18"/>
              </w:rPr>
              <w:t>Match achieved after canonicalization</w:t>
            </w:r>
          </w:p>
        </w:tc>
        <w:tc>
          <w:tcPr>
            <w:tcW w:w="1560" w:type="dxa"/>
            <w:shd w:val="clear" w:color="auto" w:fill="F8F9FA"/>
            <w:tcMar>
              <w:top w:w="100" w:type="dxa"/>
              <w:left w:w="130" w:type="dxa"/>
              <w:bottom w:w="100" w:type="dxa"/>
              <w:right w:w="130" w:type="dxa"/>
            </w:tcMar>
          </w:tcPr>
          <w:p w14:paraId="753FB337">
            <w:pPr>
              <w:spacing w:before="40" w:after="40"/>
              <w:jc w:val="center"/>
            </w:pPr>
            <w:r>
              <w:t xml:space="preserve">167 (0.68%)</w:t>
            </w:r>
          </w:p>
        </w:tc>
        <w:tc>
          <w:tcPr>
            <w:tcW w:w="1560" w:type="dxa"/>
            <w:shd w:val="clear" w:color="auto" w:fill="F8F9FA"/>
            <w:tcMar>
              <w:top w:w="100" w:type="dxa"/>
              <w:left w:w="130" w:type="dxa"/>
              <w:bottom w:w="100" w:type="dxa"/>
              <w:right w:w="130" w:type="dxa"/>
            </w:tcMar>
          </w:tcPr>
          <w:p w14:paraId="522F75B3">
            <w:pPr>
              <w:spacing w:before="40" w:after="40"/>
              <w:jc w:val="center"/>
            </w:pPr>
            <w:r>
              <w:rPr>
                <w:rFonts w:ascii="Times New Roman" w:hAnsi="Times New Roman"/>
                <w:b/>
                <w:sz w:val="18"/>
              </w:rPr>
              <w:t>0 (0.00%)</w:t>
            </w:r>
          </w:p>
        </w:tc>
        <w:tc>
          <w:tcPr>
            <w:tcW w:w="1560" w:type="dxa"/>
            <w:shd w:val="clear" w:color="auto" w:fill="F8F9FA"/>
            <w:tcMar>
              <w:top w:w="100" w:type="dxa"/>
              <w:left w:w="130" w:type="dxa"/>
              <w:bottom w:w="100" w:type="dxa"/>
              <w:right w:w="130" w:type="dxa"/>
            </w:tcMar>
          </w:tcPr>
          <w:p w14:paraId="5B97A4B6">
            <w:pPr>
              <w:spacing w:before="40" w:after="40"/>
              <w:jc w:val="center"/>
            </w:pPr>
            <w:r>
              <w:rPr>
                <w:rFonts w:ascii="Times New Roman" w:hAnsi="Times New Roman"/>
                <w:b/>
                <w:sz w:val="18"/>
              </w:rPr>
              <w:t>-2,620</w:t>
            </w:r>
          </w:p>
        </w:tc>
        <w:tc>
          <w:tcPr>
            <w:tcW w:w="1560" w:type="dxa"/>
            <w:shd w:val="clear" w:color="auto" w:fill="F8F9FA"/>
            <w:tcMar>
              <w:top w:w="100" w:type="dxa"/>
              <w:left w:w="130" w:type="dxa"/>
              <w:bottom w:w="100" w:type="dxa"/>
              <w:right w:w="130" w:type="dxa"/>
            </w:tcMar>
          </w:tcPr>
          <w:p w14:paraId="3D0C79EF">
            <w:pPr>
              <w:spacing w:before="40" w:after="40"/>
              <w:jc w:val="center"/>
            </w:pPr>
            <w:r>
              <w:rPr>
                <w:rFonts w:ascii="Times New Roman" w:hAnsi="Times New Roman"/>
                <w:b/>
                <w:sz w:val="18"/>
              </w:rPr>
              <w:t>-100.00%</w:t>
            </w:r>
          </w:p>
        </w:tc>
      </w:tr>
      <w:tr w14:paraId="6083B495">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67945E0D">
            <w:pPr>
              <w:spacing w:before="40" w:after="40"/>
              <w:jc w:val="left"/>
            </w:pPr>
            <w:r>
              <w:rPr>
                <w:rFonts w:ascii="Times New Roman" w:hAnsi="Times New Roman"/>
                <w:b/>
                <w:sz w:val="18"/>
              </w:rPr>
              <w:t>NORMALIZATION_ERROR</w:t>
            </w:r>
          </w:p>
        </w:tc>
        <w:tc>
          <w:tcPr>
            <w:tcW w:w="1560" w:type="dxa"/>
            <w:shd w:val="clear" w:color="auto" w:fill="FFFFFF"/>
            <w:tcMar>
              <w:top w:w="100" w:type="dxa"/>
              <w:left w:w="130" w:type="dxa"/>
              <w:bottom w:w="100" w:type="dxa"/>
              <w:right w:w="130" w:type="dxa"/>
            </w:tcMar>
          </w:tcPr>
          <w:p w14:paraId="594DAA6F">
            <w:pPr>
              <w:spacing w:before="40" w:after="40"/>
              <w:jc w:val="center"/>
            </w:pPr>
            <w:r>
              <w:rPr>
                <w:rFonts w:ascii="Times New Roman" w:hAnsi="Times New Roman"/>
                <w:sz w:val="18"/>
              </w:rPr>
              <w:t>Canonical values remain unequal</w:t>
            </w:r>
          </w:p>
        </w:tc>
        <w:tc>
          <w:tcPr>
            <w:tcW w:w="1560" w:type="dxa"/>
            <w:shd w:val="clear" w:color="auto" w:fill="FFFFFF"/>
            <w:tcMar>
              <w:top w:w="100" w:type="dxa"/>
              <w:left w:w="130" w:type="dxa"/>
              <w:bottom w:w="100" w:type="dxa"/>
              <w:right w:w="130" w:type="dxa"/>
            </w:tcMar>
          </w:tcPr>
          <w:p w14:paraId="53678A8F">
            <w:pPr>
              <w:spacing w:before="40" w:after="40"/>
              <w:jc w:val="center"/>
            </w:pPr>
            <w:r>
              <w:rPr>
                <w:rFonts w:ascii="Times New Roman" w:hAnsi="Times New Roman"/>
                <w:sz w:val="18"/>
              </w:rPr>
              <w:t>260 (4.51%)</w:t>
            </w:r>
          </w:p>
        </w:tc>
        <w:tc>
          <w:tcPr>
            <w:tcW w:w="1560" w:type="dxa"/>
            <w:shd w:val="clear" w:color="auto" w:fill="FFFFFF"/>
            <w:tcMar>
              <w:top w:w="100" w:type="dxa"/>
              <w:left w:w="130" w:type="dxa"/>
              <w:bottom w:w="100" w:type="dxa"/>
              <w:right w:w="130" w:type="dxa"/>
            </w:tcMar>
          </w:tcPr>
          <w:p w14:paraId="773D5B39">
            <w:pPr>
              <w:spacing w:before="40" w:after="40"/>
              <w:jc w:val="center"/>
            </w:pPr>
            <w:r>
              <w:rPr>
                <w:rFonts w:ascii="Times New Roman" w:hAnsi="Times New Roman"/>
                <w:b/>
                <w:sz w:val="18"/>
              </w:rPr>
              <w:t>260 (4.51%)</w:t>
            </w:r>
          </w:p>
        </w:tc>
        <w:tc>
          <w:tcPr>
            <w:tcW w:w="1560" w:type="dxa"/>
            <w:shd w:val="clear" w:color="auto" w:fill="FFFFFF"/>
            <w:tcMar>
              <w:top w:w="100" w:type="dxa"/>
              <w:left w:w="130" w:type="dxa"/>
              <w:bottom w:w="100" w:type="dxa"/>
              <w:right w:w="130" w:type="dxa"/>
            </w:tcMar>
          </w:tcPr>
          <w:p w14:paraId="060BF17C">
            <w:pPr>
              <w:spacing w:before="40" w:after="40"/>
              <w:jc w:val="center"/>
            </w:pPr>
            <w:r>
              <w:rPr>
                <w:rFonts w:ascii="Times New Roman" w:hAnsi="Times New Roman"/>
                <w:b/>
                <w:sz w:val="18"/>
              </w:rPr>
              <w:t>0</w:t>
            </w:r>
          </w:p>
        </w:tc>
        <w:tc>
          <w:tcPr>
            <w:tcW w:w="1560" w:type="dxa"/>
            <w:shd w:val="clear" w:color="auto" w:fill="FFFFFF"/>
            <w:tcMar>
              <w:top w:w="100" w:type="dxa"/>
              <w:left w:w="130" w:type="dxa"/>
              <w:bottom w:w="100" w:type="dxa"/>
              <w:right w:w="130" w:type="dxa"/>
            </w:tcMar>
          </w:tcPr>
          <w:p w14:paraId="4A3D0EC9">
            <w:pPr>
              <w:spacing w:before="40" w:after="40"/>
              <w:jc w:val="center"/>
            </w:pPr>
            <w:r>
              <w:rPr>
                <w:rFonts w:ascii="Times New Roman" w:hAnsi="Times New Roman"/>
                <w:b/>
                <w:sz w:val="18"/>
              </w:rPr>
              <w:t>0.00%</w:t>
            </w:r>
          </w:p>
        </w:tc>
      </w:tr>
      <w:tr w14:paraId="6F52FDF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2EE62CA1">
            <w:pPr>
              <w:spacing w:before="40" w:after="40"/>
              <w:jc w:val="left"/>
            </w:pPr>
            <w:r>
              <w:rPr>
                <w:rFonts w:ascii="Times New Roman" w:hAnsi="Times New Roman"/>
                <w:b/>
                <w:sz w:val="18"/>
              </w:rPr>
              <w:t>OCR_ERROR</w:t>
            </w:r>
          </w:p>
        </w:tc>
        <w:tc>
          <w:tcPr>
            <w:tcW w:w="1560" w:type="dxa"/>
            <w:shd w:val="clear" w:color="auto" w:fill="F8F9FA"/>
            <w:tcMar>
              <w:top w:w="100" w:type="dxa"/>
              <w:left w:w="130" w:type="dxa"/>
              <w:bottom w:w="100" w:type="dxa"/>
              <w:right w:w="130" w:type="dxa"/>
            </w:tcMar>
          </w:tcPr>
          <w:p w14:paraId="16566D77">
            <w:pPr>
              <w:spacing w:before="40" w:after="40"/>
              <w:jc w:val="center"/>
            </w:pPr>
            <w:r>
              <w:rPr>
                <w:rFonts w:ascii="Times New Roman" w:hAnsi="Times New Roman"/>
                <w:sz w:val="18"/>
              </w:rPr>
              <w:t>Physical optical scanner noise</w:t>
            </w:r>
          </w:p>
        </w:tc>
        <w:tc>
          <w:tcPr>
            <w:tcW w:w="1560" w:type="dxa"/>
            <w:shd w:val="clear" w:color="auto" w:fill="F8F9FA"/>
            <w:tcMar>
              <w:top w:w="100" w:type="dxa"/>
              <w:left w:w="130" w:type="dxa"/>
              <w:bottom w:w="100" w:type="dxa"/>
              <w:right w:w="130" w:type="dxa"/>
            </w:tcMar>
          </w:tcPr>
          <w:p w14:paraId="0D6BB9CF">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36931540">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063C465B">
            <w:pPr>
              <w:spacing w:before="40" w:after="40"/>
              <w:jc w:val="center"/>
            </w:pPr>
            <w:r>
              <w:rPr>
                <w:rFonts w:ascii="Times New Roman" w:hAnsi="Times New Roman"/>
                <w:sz w:val="18"/>
              </w:rPr>
              <w:t>0</w:t>
            </w:r>
          </w:p>
        </w:tc>
        <w:tc>
          <w:tcPr>
            <w:tcW w:w="1560" w:type="dxa"/>
            <w:shd w:val="clear" w:color="auto" w:fill="F8F9FA"/>
            <w:tcMar>
              <w:top w:w="100" w:type="dxa"/>
              <w:left w:w="130" w:type="dxa"/>
              <w:bottom w:w="100" w:type="dxa"/>
              <w:right w:w="130" w:type="dxa"/>
            </w:tcMar>
          </w:tcPr>
          <w:p w14:paraId="428015A5">
            <w:pPr>
              <w:spacing w:before="40" w:after="40"/>
              <w:jc w:val="center"/>
            </w:pPr>
            <w:r>
              <w:rPr>
                <w:rFonts w:ascii="Times New Roman" w:hAnsi="Times New Roman"/>
                <w:sz w:val="18"/>
              </w:rPr>
              <w:t>0.00%</w:t>
            </w:r>
          </w:p>
        </w:tc>
      </w:tr>
      <w:tr w14:paraId="578D063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5CBA5C88">
            <w:pPr>
              <w:spacing w:before="40" w:after="40"/>
              <w:jc w:val="left"/>
            </w:pPr>
            <w:r>
              <w:rPr>
                <w:rFonts w:ascii="Times New Roman" w:hAnsi="Times New Roman"/>
                <w:b/>
                <w:sz w:val="18"/>
              </w:rPr>
              <w:t>FIELD_MISSING</w:t>
            </w:r>
          </w:p>
        </w:tc>
        <w:tc>
          <w:tcPr>
            <w:tcW w:w="1560" w:type="dxa"/>
            <w:shd w:val="clear" w:color="auto" w:fill="FFFFFF"/>
            <w:tcMar>
              <w:top w:w="100" w:type="dxa"/>
              <w:left w:w="130" w:type="dxa"/>
              <w:bottom w:w="100" w:type="dxa"/>
              <w:right w:w="130" w:type="dxa"/>
            </w:tcMar>
          </w:tcPr>
          <w:p w14:paraId="33E6549E">
            <w:pPr>
              <w:spacing w:before="40" w:after="40"/>
              <w:jc w:val="center"/>
            </w:pPr>
            <w:r>
              <w:rPr>
                <w:rFonts w:ascii="Times New Roman" w:hAnsi="Times New Roman"/>
                <w:sz w:val="18"/>
              </w:rPr>
              <w:t>Target entity key omitted</w:t>
            </w:r>
          </w:p>
        </w:tc>
        <w:tc>
          <w:tcPr>
            <w:tcW w:w="1560" w:type="dxa"/>
            <w:shd w:val="clear" w:color="auto" w:fill="FFFFFF"/>
            <w:tcMar>
              <w:top w:w="100" w:type="dxa"/>
              <w:left w:w="130" w:type="dxa"/>
              <w:bottom w:w="100" w:type="dxa"/>
              <w:right w:w="130" w:type="dxa"/>
            </w:tcMar>
          </w:tcPr>
          <w:p w14:paraId="3E42893F">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5891E20F">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170DA9C6">
            <w:pPr>
              <w:spacing w:before="40" w:after="40"/>
              <w:jc w:val="center"/>
            </w:pPr>
            <w:r>
              <w:rPr>
                <w:rFonts w:ascii="Times New Roman" w:hAnsi="Times New Roman"/>
                <w:sz w:val="18"/>
              </w:rPr>
              <w:t>0</w:t>
            </w:r>
          </w:p>
        </w:tc>
        <w:tc>
          <w:tcPr>
            <w:tcW w:w="1560" w:type="dxa"/>
            <w:shd w:val="clear" w:color="auto" w:fill="FFFFFF"/>
            <w:tcMar>
              <w:top w:w="100" w:type="dxa"/>
              <w:left w:w="130" w:type="dxa"/>
              <w:bottom w:w="100" w:type="dxa"/>
              <w:right w:w="130" w:type="dxa"/>
            </w:tcMar>
          </w:tcPr>
          <w:p w14:paraId="4ADD36E1">
            <w:pPr>
              <w:spacing w:before="40" w:after="40"/>
              <w:jc w:val="center"/>
            </w:pPr>
            <w:r>
              <w:rPr>
                <w:rFonts w:ascii="Times New Roman" w:hAnsi="Times New Roman"/>
                <w:sz w:val="18"/>
              </w:rPr>
              <w:t>0.00%</w:t>
            </w:r>
          </w:p>
        </w:tc>
      </w:tr>
      <w:tr w14:paraId="7F70D04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194882DF">
            <w:pPr>
              <w:spacing w:before="40" w:after="40"/>
              <w:jc w:val="left"/>
            </w:pPr>
            <w:r>
              <w:rPr>
                <w:rFonts w:ascii="Times New Roman" w:hAnsi="Times New Roman"/>
                <w:b/>
                <w:sz w:val="18"/>
              </w:rPr>
              <w:t>HALLUCINATION</w:t>
            </w:r>
          </w:p>
        </w:tc>
        <w:tc>
          <w:tcPr>
            <w:tcW w:w="1560" w:type="dxa"/>
            <w:shd w:val="clear" w:color="auto" w:fill="F8F9FA"/>
            <w:tcMar>
              <w:top w:w="100" w:type="dxa"/>
              <w:left w:w="130" w:type="dxa"/>
              <w:bottom w:w="100" w:type="dxa"/>
              <w:right w:w="130" w:type="dxa"/>
            </w:tcMar>
          </w:tcPr>
          <w:p w14:paraId="78F7E40F">
            <w:pPr>
              <w:spacing w:before="40" w:after="40"/>
              <w:jc w:val="center"/>
            </w:pPr>
            <w:r>
              <w:rPr>
                <w:rFonts w:ascii="Times New Roman" w:hAnsi="Times New Roman"/>
                <w:sz w:val="18"/>
              </w:rPr>
              <w:t>Content absent from document</w:t>
            </w:r>
          </w:p>
        </w:tc>
        <w:tc>
          <w:tcPr>
            <w:tcW w:w="1560" w:type="dxa"/>
            <w:shd w:val="clear" w:color="auto" w:fill="F8F9FA"/>
            <w:tcMar>
              <w:top w:w="100" w:type="dxa"/>
              <w:left w:w="130" w:type="dxa"/>
              <w:bottom w:w="100" w:type="dxa"/>
              <w:right w:w="130" w:type="dxa"/>
            </w:tcMar>
          </w:tcPr>
          <w:p w14:paraId="042E68A9">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680EF180">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7DB17C17">
            <w:pPr>
              <w:spacing w:before="40" w:after="40"/>
              <w:jc w:val="center"/>
            </w:pPr>
            <w:r>
              <w:rPr>
                <w:rFonts w:ascii="Times New Roman" w:hAnsi="Times New Roman"/>
                <w:sz w:val="18"/>
              </w:rPr>
              <w:t>0</w:t>
            </w:r>
          </w:p>
        </w:tc>
        <w:tc>
          <w:tcPr>
            <w:tcW w:w="1560" w:type="dxa"/>
            <w:shd w:val="clear" w:color="auto" w:fill="F8F9FA"/>
            <w:tcMar>
              <w:top w:w="100" w:type="dxa"/>
              <w:left w:w="130" w:type="dxa"/>
              <w:bottom w:w="100" w:type="dxa"/>
              <w:right w:w="130" w:type="dxa"/>
            </w:tcMar>
          </w:tcPr>
          <w:p w14:paraId="0C4CB422">
            <w:pPr>
              <w:spacing w:before="40" w:after="40"/>
              <w:jc w:val="center"/>
            </w:pPr>
            <w:r>
              <w:rPr>
                <w:rFonts w:ascii="Times New Roman" w:hAnsi="Times New Roman"/>
                <w:sz w:val="18"/>
              </w:rPr>
              <w:t>0.00%</w:t>
            </w:r>
          </w:p>
        </w:tc>
      </w:tr>
      <w:tr w14:paraId="7F2DD5A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191D0EFE">
            <w:pPr>
              <w:spacing w:before="40" w:after="40"/>
              <w:jc w:val="left"/>
            </w:pPr>
            <w:r>
              <w:rPr>
                <w:rFonts w:ascii="Times New Roman" w:hAnsi="Times New Roman"/>
                <w:b/>
                <w:sz w:val="18"/>
              </w:rPr>
              <w:t>CATEGORY_ERROR</w:t>
            </w:r>
          </w:p>
        </w:tc>
        <w:tc>
          <w:tcPr>
            <w:tcW w:w="1560" w:type="dxa"/>
            <w:shd w:val="clear" w:color="auto" w:fill="FFFFFF"/>
            <w:tcMar>
              <w:top w:w="100" w:type="dxa"/>
              <w:left w:w="130" w:type="dxa"/>
              <w:bottom w:w="100" w:type="dxa"/>
              <w:right w:w="130" w:type="dxa"/>
            </w:tcMar>
          </w:tcPr>
          <w:p w14:paraId="01CF27F1">
            <w:pPr>
              <w:spacing w:before="40" w:after="40"/>
              <w:jc w:val="center"/>
            </w:pPr>
            <w:r>
              <w:rPr>
                <w:rFonts w:ascii="Times New Roman" w:hAnsi="Times New Roman"/>
                <w:sz w:val="18"/>
              </w:rPr>
              <w:t>Category misclassification</w:t>
            </w:r>
          </w:p>
        </w:tc>
        <w:tc>
          <w:tcPr>
            <w:tcW w:w="1560" w:type="dxa"/>
            <w:shd w:val="clear" w:color="auto" w:fill="FFFFFF"/>
            <w:tcMar>
              <w:top w:w="100" w:type="dxa"/>
              <w:left w:w="130" w:type="dxa"/>
              <w:bottom w:w="100" w:type="dxa"/>
              <w:right w:w="130" w:type="dxa"/>
            </w:tcMar>
          </w:tcPr>
          <w:p w14:paraId="005640F1">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7BFACA1C">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29ADA347">
            <w:pPr>
              <w:spacing w:before="40" w:after="40"/>
              <w:jc w:val="center"/>
            </w:pPr>
            <w:r>
              <w:rPr>
                <w:rFonts w:ascii="Times New Roman" w:hAnsi="Times New Roman"/>
                <w:sz w:val="18"/>
              </w:rPr>
              <w:t>0</w:t>
            </w:r>
          </w:p>
        </w:tc>
        <w:tc>
          <w:tcPr>
            <w:tcW w:w="1560" w:type="dxa"/>
            <w:shd w:val="clear" w:color="auto" w:fill="FFFFFF"/>
            <w:tcMar>
              <w:top w:w="100" w:type="dxa"/>
              <w:left w:w="130" w:type="dxa"/>
              <w:bottom w:w="100" w:type="dxa"/>
              <w:right w:w="130" w:type="dxa"/>
            </w:tcMar>
          </w:tcPr>
          <w:p w14:paraId="77EBFE4D">
            <w:pPr>
              <w:spacing w:before="40" w:after="40"/>
              <w:jc w:val="center"/>
            </w:pPr>
            <w:r>
              <w:rPr>
                <w:rFonts w:ascii="Times New Roman" w:hAnsi="Times New Roman"/>
                <w:sz w:val="18"/>
              </w:rPr>
              <w:t>0.00%</w:t>
            </w:r>
          </w:p>
        </w:tc>
      </w:tr>
      <w:tr w14:paraId="6855A6F6">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72D81EEC">
            <w:pPr>
              <w:spacing w:before="40" w:after="40"/>
              <w:jc w:val="left"/>
            </w:pPr>
            <w:r>
              <w:rPr>
                <w:rFonts w:ascii="Times New Roman" w:hAnsi="Times New Roman"/>
                <w:b/>
                <w:sz w:val="18"/>
              </w:rPr>
              <w:t>PARTIAL_MATCH</w:t>
            </w:r>
          </w:p>
        </w:tc>
        <w:tc>
          <w:tcPr>
            <w:tcW w:w="1560" w:type="dxa"/>
            <w:shd w:val="clear" w:color="auto" w:fill="F8F9FA"/>
            <w:tcMar>
              <w:top w:w="100" w:type="dxa"/>
              <w:left w:w="130" w:type="dxa"/>
              <w:bottom w:w="100" w:type="dxa"/>
              <w:right w:w="130" w:type="dxa"/>
            </w:tcMar>
          </w:tcPr>
          <w:p w14:paraId="1D0B727B">
            <w:pPr>
              <w:spacing w:before="40" w:after="40"/>
              <w:jc w:val="center"/>
            </w:pPr>
            <w:r>
              <w:rPr>
                <w:rFonts w:ascii="Times New Roman" w:hAnsi="Times New Roman"/>
                <w:sz w:val="18"/>
              </w:rPr>
              <w:t>Partial substring overlap</w:t>
            </w:r>
          </w:p>
        </w:tc>
        <w:tc>
          <w:tcPr>
            <w:tcW w:w="1560" w:type="dxa"/>
            <w:shd w:val="clear" w:color="auto" w:fill="F8F9FA"/>
            <w:tcMar>
              <w:top w:w="100" w:type="dxa"/>
              <w:left w:w="130" w:type="dxa"/>
              <w:bottom w:w="100" w:type="dxa"/>
              <w:right w:w="130" w:type="dxa"/>
            </w:tcMar>
          </w:tcPr>
          <w:p w14:paraId="2E44EFF1">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077421A7">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27C3E5C3">
            <w:pPr>
              <w:spacing w:before="40" w:after="40"/>
              <w:jc w:val="center"/>
            </w:pPr>
            <w:r>
              <w:rPr>
                <w:rFonts w:ascii="Times New Roman" w:hAnsi="Times New Roman"/>
                <w:sz w:val="18"/>
              </w:rPr>
              <w:t>0</w:t>
            </w:r>
          </w:p>
        </w:tc>
        <w:tc>
          <w:tcPr>
            <w:tcW w:w="1560" w:type="dxa"/>
            <w:shd w:val="clear" w:color="auto" w:fill="F8F9FA"/>
            <w:tcMar>
              <w:top w:w="100" w:type="dxa"/>
              <w:left w:w="130" w:type="dxa"/>
              <w:bottom w:w="100" w:type="dxa"/>
              <w:right w:w="130" w:type="dxa"/>
            </w:tcMar>
          </w:tcPr>
          <w:p w14:paraId="582E6623">
            <w:pPr>
              <w:spacing w:before="40" w:after="40"/>
              <w:jc w:val="center"/>
            </w:pPr>
            <w:r>
              <w:rPr>
                <w:rFonts w:ascii="Times New Roman" w:hAnsi="Times New Roman"/>
                <w:sz w:val="18"/>
              </w:rPr>
              <w:t>0.00%</w:t>
            </w:r>
          </w:p>
        </w:tc>
      </w:tr>
      <w:tr w14:paraId="14FB82C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5BF15DBF">
            <w:pPr>
              <w:spacing w:before="40" w:after="40"/>
              <w:jc w:val="left"/>
            </w:pPr>
            <w:r>
              <w:rPr>
                <w:rFonts w:ascii="Times New Roman" w:hAnsi="Times New Roman"/>
                <w:b/>
                <w:sz w:val="18"/>
              </w:rPr>
              <w:t>LOW_CONFIDENCE</w:t>
            </w:r>
          </w:p>
        </w:tc>
        <w:tc>
          <w:tcPr>
            <w:tcW w:w="1560" w:type="dxa"/>
            <w:shd w:val="clear" w:color="auto" w:fill="FFFFFF"/>
            <w:tcMar>
              <w:top w:w="100" w:type="dxa"/>
              <w:left w:w="130" w:type="dxa"/>
              <w:bottom w:w="100" w:type="dxa"/>
              <w:right w:w="130" w:type="dxa"/>
            </w:tcMar>
          </w:tcPr>
          <w:p w14:paraId="7E48B774">
            <w:pPr>
              <w:spacing w:before="40" w:after="40"/>
              <w:jc w:val="center"/>
            </w:pPr>
            <w:r>
              <w:rPr>
                <w:rFonts w:ascii="Times New Roman" w:hAnsi="Times New Roman"/>
                <w:sz w:val="18"/>
              </w:rPr>
              <w:t>Score below confidence cutoff</w:t>
            </w:r>
          </w:p>
        </w:tc>
        <w:tc>
          <w:tcPr>
            <w:tcW w:w="1560" w:type="dxa"/>
            <w:shd w:val="clear" w:color="auto" w:fill="FFFFFF"/>
            <w:tcMar>
              <w:top w:w="100" w:type="dxa"/>
              <w:left w:w="130" w:type="dxa"/>
              <w:bottom w:w="100" w:type="dxa"/>
              <w:right w:w="130" w:type="dxa"/>
            </w:tcMar>
          </w:tcPr>
          <w:p w14:paraId="673ADBB9">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22402DC5">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292241A8">
            <w:pPr>
              <w:spacing w:before="40" w:after="40"/>
              <w:jc w:val="center"/>
            </w:pPr>
            <w:r>
              <w:rPr>
                <w:rFonts w:ascii="Times New Roman" w:hAnsi="Times New Roman"/>
                <w:sz w:val="18"/>
              </w:rPr>
              <w:t>0</w:t>
            </w:r>
          </w:p>
        </w:tc>
        <w:tc>
          <w:tcPr>
            <w:tcW w:w="1560" w:type="dxa"/>
            <w:shd w:val="clear" w:color="auto" w:fill="FFFFFF"/>
            <w:tcMar>
              <w:top w:w="100" w:type="dxa"/>
              <w:left w:w="130" w:type="dxa"/>
              <w:bottom w:w="100" w:type="dxa"/>
              <w:right w:w="130" w:type="dxa"/>
            </w:tcMar>
          </w:tcPr>
          <w:p w14:paraId="43F36189">
            <w:pPr>
              <w:spacing w:before="40" w:after="40"/>
              <w:jc w:val="center"/>
            </w:pPr>
            <w:r>
              <w:rPr>
                <w:rFonts w:ascii="Times New Roman" w:hAnsi="Times New Roman"/>
                <w:sz w:val="18"/>
              </w:rPr>
              <w:t>0.00%</w:t>
            </w:r>
          </w:p>
        </w:tc>
      </w:tr>
      <w:tr w14:paraId="0237C47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4722F93B">
            <w:pPr>
              <w:spacing w:before="40" w:after="40"/>
              <w:jc w:val="left"/>
            </w:pPr>
            <w:r>
              <w:rPr>
                <w:rFonts w:ascii="Times New Roman" w:hAnsi="Times New Roman"/>
                <w:b/>
                <w:sz w:val="18"/>
              </w:rPr>
              <w:t>Total Evaluations</w:t>
            </w:r>
          </w:p>
        </w:tc>
        <w:tc>
          <w:tcPr>
            <w:tcW w:w="1560" w:type="dxa"/>
            <w:shd w:val="clear" w:color="auto" w:fill="F8F9FA"/>
            <w:tcMar>
              <w:top w:w="100" w:type="dxa"/>
              <w:left w:w="130" w:type="dxa"/>
              <w:bottom w:w="100" w:type="dxa"/>
              <w:right w:w="130" w:type="dxa"/>
            </w:tcMar>
          </w:tcPr>
          <w:p w14:paraId="7B402BC5">
            <w:pPr>
              <w:spacing w:before="40" w:after="40"/>
              <w:jc w:val="center"/>
            </w:pPr>
            <w:r>
              <w:rPr>
                <w:rFonts w:ascii="Times New Roman" w:hAnsi="Times New Roman"/>
                <w:sz w:val="18"/>
              </w:rPr>
              <w:t>Complete Benchmark Suite</w:t>
            </w:r>
          </w:p>
        </w:tc>
        <w:tc>
          <w:tcPr>
            <w:tcW w:w="1560" w:type="dxa"/>
            <w:shd w:val="clear" w:color="auto" w:fill="F8F9FA"/>
            <w:tcMar>
              <w:top w:w="100" w:type="dxa"/>
              <w:left w:w="130" w:type="dxa"/>
              <w:bottom w:w="100" w:type="dxa"/>
              <w:right w:w="130" w:type="dxa"/>
            </w:tcMar>
          </w:tcPr>
          <w:p w14:paraId="78EE9793">
            <w:pPr>
              <w:spacing w:before="40" w:after="40"/>
              <w:jc w:val="center"/>
            </w:pPr>
            <w:r>
              <w:t xml:space="preserve">24,480 (100%)</w:t>
            </w:r>
          </w:p>
        </w:tc>
        <w:tc>
          <w:tcPr>
            <w:tcW w:w="1560" w:type="dxa"/>
            <w:shd w:val="clear" w:color="auto" w:fill="F8F9FA"/>
            <w:tcMar>
              <w:top w:w="100" w:type="dxa"/>
              <w:left w:w="130" w:type="dxa"/>
              <w:bottom w:w="100" w:type="dxa"/>
              <w:right w:w="130" w:type="dxa"/>
            </w:tcMar>
          </w:tcPr>
          <w:p w14:paraId="749AC23F">
            <w:pPr>
              <w:spacing w:before="40" w:after="40"/>
              <w:jc w:val="center"/>
            </w:pPr>
            <w:r>
              <w:t xml:space="preserve">24,480 (100%)</w:t>
            </w:r>
          </w:p>
        </w:tc>
        <w:tc>
          <w:tcPr>
            <w:tcW w:w="1560" w:type="dxa"/>
            <w:shd w:val="clear" w:color="auto" w:fill="F8F9FA"/>
            <w:tcMar>
              <w:top w:w="100" w:type="dxa"/>
              <w:left w:w="130" w:type="dxa"/>
              <w:bottom w:w="100" w:type="dxa"/>
              <w:right w:w="130" w:type="dxa"/>
            </w:tcMar>
          </w:tcPr>
          <w:p w14:paraId="6F0D8F40">
            <w:pPr>
              <w:spacing w:before="40" w:after="40"/>
              <w:jc w:val="center"/>
            </w:pPr>
            <w:r>
              <w:rPr>
                <w:rFonts w:ascii="Times New Roman" w:hAnsi="Times New Roman"/>
                <w:b/>
                <w:sz w:val="18"/>
              </w:rPr>
              <w:t>0</w:t>
            </w:r>
          </w:p>
        </w:tc>
        <w:tc>
          <w:tcPr>
            <w:tcW w:w="1560" w:type="dxa"/>
            <w:shd w:val="clear" w:color="auto" w:fill="F8F9FA"/>
            <w:tcMar>
              <w:top w:w="100" w:type="dxa"/>
              <w:left w:w="130" w:type="dxa"/>
              <w:bottom w:w="100" w:type="dxa"/>
              <w:right w:w="130" w:type="dxa"/>
            </w:tcMar>
          </w:tcPr>
          <w:p w14:paraId="0619FF46">
            <w:pPr>
              <w:spacing w:before="40" w:after="40"/>
              <w:jc w:val="center"/>
            </w:pPr>
            <w:r>
              <w:rPr>
                <w:rFonts w:ascii="Times New Roman" w:hAnsi="Times New Roman"/>
                <w:b/>
                <w:sz w:val="18"/>
              </w:rPr>
              <w:t>100.00%</w:t>
            </w:r>
          </w:p>
        </w:tc>
      </w:tr>
    </w:tbl>
    <w:p w14:paraId="5162C8FE">
      <w:pPr>
        <w:spacing w:before="40" w:after="80" w:line="276" w:lineRule="auto"/>
        <w:jc w:val="both"/>
      </w:pPr>
      <w:r>
        <w:rPr>
          <w:rFonts w:ascii="Times New Roman" w:hAnsi="Times New Roman"/>
          <w:sz w:val="20"/>
        </w:rPr>
        <w:t>All 2,620 FORMAT_ERROR items in Pass A were converted to EXACT_MATCH in Pass B. Crucially, the 260 NORMALIZATION_ERROR items remained 100% constant, proving that CanonicalNormalizer resolves formatting variations without masking genuine extraction failures [25], [28], [37].</w:t>
      </w:r>
    </w:p>
    <w:p w14:paraId="5D595FBB">
      <w:pPr>
        <w:keepNext/>
        <w:spacing w:before="280" w:after="120"/>
        <w:jc w:val="both"/>
      </w:pPr>
      <w:r>
        <w:rPr>
          <w:rFonts w:ascii="Times New Roman" w:hAnsi="Times New Roman"/>
          <w:b/>
          <w:color w:val="003366"/>
          <w:sz w:val="26"/>
        </w:rPr>
        <w:t>6. Discussion &amp; Threats to Validity</w:t>
      </w:r>
    </w:p>
    <w:p w14:paraId="2E8AFACA">
      <w:pPr>
        <w:keepNext/>
        <w:spacing w:before="200" w:after="80"/>
        <w:jc w:val="both"/>
      </w:pPr>
      <w:r>
        <w:rPr>
          <w:rFonts w:ascii="Times New Roman" w:hAnsi="Times New Roman"/>
          <w:b/>
          <w:color w:val="333333"/>
          <w:sz w:val="23"/>
        </w:rPr>
        <w:t>6.1 Scientific Contributions and Methodological Novelty</w:t>
      </w:r>
    </w:p>
    <w:p w14:paraId="29F5E65F">
      <w:pPr>
        <w:spacing w:before="40" w:after="80" w:line="276" w:lineRule="auto"/>
        <w:jc w:val="both"/>
      </w:pPr>
      <w:r>
        <w:rPr>
          <w:rFonts w:ascii="Times New Roman" w:hAnsi="Times New Roman"/>
          <w:sz w:val="20"/>
        </w:rPr>
        <w:t>To contextualize the scientific novelty of this work, we analyze each of the primary methodological contributions relative to existing document intelligence literature:</w:t>
      </w:r>
    </w:p>
    <w:p w14:paraId="5C5C9D66">
      <w:pPr>
        <w:spacing w:before="20" w:after="40"/>
        <w:ind w:left="360"/>
        <w:jc w:val="both"/>
      </w:pPr>
      <w:r>
        <w:rPr>
          <w:rFonts w:ascii="Times New Roman" w:hAnsi="Times New Roman"/>
          <w:b/>
          <w:sz w:val="20"/>
        </w:rPr>
        <w:t>1. Synthetic Academic Credential Benchmark Methodology</w:t>
      </w:r>
      <w:r>
        <w:rPr>
          <w:rFonts w:ascii="Times New Roman" w:hAnsi="Times New Roman"/>
          <w:sz w:val="20"/>
        </w:rPr>
        <w:t>: Public benchmarks (SROIE [2], CORD [3], FUNSD [4]) utilize scanned receipts or forms. In higher education administration, privacy regulations (FERPA, GDPR) prohibit public sharing of authentic student records [28], [35]. ADBG v1.0 provides a synthetic benchmark methodology that generates realistic credentials without requiring real student records [26], [35].</w:t>
      </w:r>
    </w:p>
    <w:p w14:paraId="70777B99">
      <w:pPr>
        <w:spacing w:before="20" w:after="40"/>
        <w:ind w:left="360"/>
        <w:jc w:val="both"/>
      </w:pPr>
      <w:r>
        <w:rPr>
          <w:rFonts w:ascii="Times New Roman" w:hAnsi="Times New Roman"/>
          <w:b/>
          <w:sz w:val="20"/>
        </w:rPr>
        <w:t>2. Six-Stage Semantic Canonical Normalization Layer</w:t>
      </w:r>
      <w:r>
        <w:rPr>
          <w:rFonts w:ascii="Times New Roman" w:hAnsi="Times New Roman"/>
          <w:sz w:val="20"/>
        </w:rPr>
        <w:t>: Standard string comparison metrics evaluate raw text strings, causing benign formatting variations to register as recognition failures. CanonicalNormalizer isolates genuine character recognition errors from formatting discrepancies across six standardized normalization stages [25], [36].</w:t>
      </w:r>
    </w:p>
    <w:p w14:paraId="6A3573E7">
      <w:pPr>
        <w:spacing w:before="20" w:after="40"/>
        <w:ind w:left="360"/>
        <w:jc w:val="both"/>
      </w:pPr>
      <w:r>
        <w:rPr>
          <w:rFonts w:ascii="Times New Roman" w:hAnsi="Times New Roman"/>
          <w:b/>
          <w:sz w:val="20"/>
        </w:rPr>
        <w:t>3. Nine-Class Structured OCR Error Taxonomy</w:t>
      </w:r>
      <w:r>
        <w:rPr>
          <w:rFonts w:ascii="Times New Roman" w:hAnsi="Times New Roman"/>
          <w:sz w:val="20"/>
        </w:rPr>
        <w:t>: Traditional benchmarks summarize performance using scalar error rates (CER, WER). The proposed error taxonomy classifies extraction discrepancies into nine diagnostic categories, enabling targeted model debugging [28], [37].</w:t>
      </w:r>
    </w:p>
    <w:p w14:paraId="766CEE41">
      <w:pPr>
        <w:spacing w:before="20" w:after="40"/>
        <w:ind w:left="360"/>
        <w:jc w:val="both"/>
      </w:pPr>
      <w:r>
        <w:rPr>
          <w:rFonts w:ascii="Times New Roman" w:hAnsi="Times New Roman"/>
          <w:b/>
          <w:sz w:val="20"/>
        </w:rPr>
        <w:t>4. Controlled Quality-Profile Degradation Matrix</w:t>
      </w:r>
      <w:r>
        <w:rPr>
          <w:rFonts w:ascii="Times New Roman" w:hAnsi="Times New Roman"/>
          <w:sz w:val="20"/>
        </w:rPr>
        <w:t>: Evaluates model performance decay across four standardized physical optical capture profiles (clean, scanner_copy, mobile_camera, rotated_90) [27], [30], [33].</w:t>
      </w:r>
    </w:p>
    <w:p w14:paraId="09C6C8EF">
      <w:pPr>
        <w:spacing w:before="20" w:after="40"/>
        <w:ind w:left="360"/>
        <w:jc w:val="both"/>
      </w:pPr>
      <w:r>
        <w:rPr>
          <w:rFonts w:ascii="Times New Roman" w:hAnsi="Times New Roman"/>
          <w:b/>
          <w:sz w:val="20"/>
        </w:rPr>
        <w:t>5. Seed-Deterministic Synthetic Generation Protocol</w:t>
      </w:r>
      <w:r>
        <w:rPr>
          <w:rFonts w:ascii="Times New Roman" w:hAnsi="Times New Roman"/>
          <w:sz w:val="20"/>
        </w:rPr>
        <w:t>: Employs pseudo-random seed initialization ensuring pixel-exact specimen fabrication and reproducible ground-truth JSON annotations across independent research teams [31].</w:t>
      </w:r>
    </w:p>
    <w:p w14:paraId="613A7E9C">
      <w:pPr>
        <w:keepNext/>
        <w:spacing w:before="200" w:after="80"/>
        <w:jc w:val="both"/>
      </w:pPr>
      <w:r>
        <w:rPr>
          <w:rFonts w:ascii="Times New Roman" w:hAnsi="Times New Roman"/>
          <w:b/>
          <w:color w:val="333333"/>
          <w:sz w:val="23"/>
        </w:rPr>
        <w:t>6.2 Discussion of Empirical Findings</w:t>
      </w:r>
    </w:p>
    <w:p w14:paraId="24BFAAB6">
      <w:pPr>
        <w:spacing w:before="20" w:after="40"/>
        <w:ind w:left="360"/>
        <w:jc w:val="both"/>
      </w:pPr>
      <w:r>
        <w:rPr>
          <w:rFonts w:ascii="Times New Roman" w:hAnsi="Times New Roman"/>
          <w:b/>
          <w:sz w:val="20"/>
        </w:rPr>
        <w:t>1. Utility of Semantic Canonical Normalization</w:t>
      </w:r>
      <w:r>
        <w:rPr>
          <w:rFonts w:ascii="Times New Roman" w:hAnsi="Times New Roman"/>
          <w:sz w:val="20"/>
        </w:rPr>
        <w:t>: Canonical normalization prevents superficial formatting differences (e.g., date styling) from distorting model accuracy scores [25], [36].</w:t>
      </w:r>
    </w:p>
    <w:p w14:paraId="71BB8465">
      <w:pPr>
        <w:spacing w:before="20" w:after="40"/>
        <w:ind w:left="360"/>
        <w:jc w:val="both"/>
      </w:pPr>
      <w:r/>
      <w:r>
        <w:rPr/>
        <w:t>2. Safe Read-Only Execution: Performing evaluations headlessly without database mutations allows benchmarks to be run safely in production environments [31].</w:t>
        <w:br/>
        <w:t>3. Field Extraction Limitations: The zero-shot LLM baseline achieved only 75.23% mean F1 for field extraction despite 100.00% category classification accuracy. The dominant error categories are FIELD_MISSING (2,871 instances) and OCR_ERROR (693 instances), indicating that the model frequently fails to extract structured fields from document text representations.</w:t>
      </w:r>
    </w:p>
    <w:p w14:paraId="0316908B">
      <w:pPr>
        <w:keepNext/>
        <w:spacing w:before="200" w:after="80"/>
        <w:jc w:val="both"/>
      </w:pPr>
      <w:r>
        <w:rPr>
          <w:rFonts w:ascii="Times New Roman" w:hAnsi="Times New Roman"/>
          <w:b/>
          <w:color w:val="333333"/>
          <w:sz w:val="23"/>
        </w:rPr>
        <w:t>6.3 Threats to Validity</w:t>
      </w:r>
    </w:p>
    <w:p w14:paraId="1108C749">
      <w:pPr>
        <w:pStyle w:val="23"/>
        <w:spacing w:before="20" w:after="40"/>
        <w:jc w:val="both"/>
      </w:pPr>
      <w:r>
        <w:rPr>
          <w:rFonts w:ascii="Times New Roman" w:hAnsi="Times New Roman"/>
          <w:b/>
          <w:sz w:val="20"/>
        </w:rPr>
        <w:t>Internal Validity</w:t>
      </w:r>
      <w:r>
        <w:rPr>
          <w:rFonts w:ascii="Times New Roman" w:hAnsi="Times New Roman"/>
          <w:sz w:val="20"/>
        </w:rPr>
        <w:t>: Verified by confirming that AuDicPredictionAdapter reads specimen images/text without accessing ground truth JSON dictionaries, eliminating ground truth leakage [31].</w:t>
      </w:r>
    </w:p>
    <w:p w14:paraId="224C8FE8">
      <w:pPr>
        <w:pStyle w:val="23"/>
        <w:spacing w:before="20" w:after="40"/>
        <w:jc w:val="both"/>
      </w:pPr>
      <w:r>
        <w:rPr>
          <w:rFonts w:ascii="Times New Roman" w:hAnsi="Times New Roman"/>
          <w:b/>
          <w:sz w:val="20"/>
        </w:rPr>
        <w:t>External Validity</w:t>
      </w:r>
      <w:r>
        <w:rPr>
          <w:rFonts w:ascii="Times New Roman" w:hAnsi="Times New Roman"/>
          <w:sz w:val="20"/>
        </w:rPr>
        <w:t>: Synthetic templates generated by ADBG v1.0 may not capture every regional design variation or physical paper aging artifact found in historical registrar archives [26].</w:t>
      </w:r>
    </w:p>
    <w:p w14:paraId="75DE7EA9">
      <w:pPr>
        <w:pStyle w:val="23"/>
        <w:spacing w:before="20" w:after="40"/>
        <w:jc w:val="both"/>
      </w:pPr>
      <w:r>
        <w:rPr>
          <w:rFonts w:ascii="Times New Roman" w:hAnsi="Times New Roman"/>
          <w:b/>
          <w:sz w:val="20"/>
        </w:rPr>
        <w:t>Construct Validity</w:t>
      </w:r>
      <w:r>
        <w:rPr>
          <w:rFonts w:ascii="Times New Roman" w:hAnsi="Times New Roman"/>
          <w:sz w:val="20"/>
        </w:rPr>
        <w:t>: Metric definitions follow standard ICDAR and IEEE document analysis definitions [1]–[5].</w:t>
      </w:r>
    </w:p>
    <w:p w14:paraId="6F3213A7">
      <w:pPr>
        <w:keepNext/>
        <w:spacing w:before="280" w:after="120"/>
        <w:jc w:val="both"/>
      </w:pPr>
      <w:r>
        <w:rPr>
          <w:rFonts w:ascii="Times New Roman" w:hAnsi="Times New Roman"/>
          <w:b/>
          <w:color w:val="003366"/>
          <w:sz w:val="26"/>
        </w:rPr>
        <w:t>7. Limitations Analysis</w:t>
      </w:r>
    </w:p>
    <w:p w14:paraId="04FFDB48">
      <w:pPr>
        <w:keepNext/>
        <w:spacing w:before="200" w:after="80"/>
        <w:jc w:val="both"/>
      </w:pPr>
      <w:r>
        <w:rPr>
          <w:rFonts w:ascii="Times New Roman" w:hAnsi="Times New Roman"/>
          <w:b/>
          <w:color w:val="333333"/>
          <w:sz w:val="23"/>
        </w:rPr>
        <w:t>7.1 Methodological Limitations</w:t>
      </w:r>
    </w:p>
    <w:p w14:paraId="0CEF4849">
      <w:pPr>
        <w:spacing w:before="20" w:after="40"/>
        <w:ind w:left="360"/>
        <w:jc w:val="both"/>
      </w:pPr>
      <w:r>
        <w:rPr>
          <w:rFonts w:ascii="Times New Roman" w:hAnsi="Times New Roman"/>
          <w:b/>
          <w:sz w:val="20"/>
        </w:rPr>
        <w:t>1. Synthetic Document Constraints</w:t>
      </w:r>
      <w:r>
        <w:rPr>
          <w:rFonts w:ascii="Times New Roman" w:hAnsi="Times New Roman"/>
          <w:sz w:val="20"/>
        </w:rPr>
        <w:t>: Synthetic credentials generated by ADBG v1.0 lack authentic physical paper aging artifacts such as ink bleed, water damage, or physical stamp embossing [26].</w:t>
      </w:r>
    </w:p>
    <w:p w14:paraId="149E2413">
      <w:pPr>
        <w:spacing w:before="20" w:after="40"/>
        <w:ind w:left="360"/>
        <w:jc w:val="both"/>
      </w:pPr>
      <w:r>
        <w:rPr>
          <w:rFonts w:ascii="Times New Roman" w:hAnsi="Times New Roman"/>
          <w:b/>
          <w:sz w:val="20"/>
        </w:rPr>
        <w:t>2. Language Scope</w:t>
      </w:r>
      <w:r>
        <w:rPr>
          <w:rFonts w:ascii="Times New Roman" w:hAnsi="Times New Roman"/>
          <w:sz w:val="20"/>
        </w:rPr>
        <w:t>: ADBG v1.0 is currently restricted to English (en_IN). Multi-lingual documents containing Indic scripts (Hindi, Tamil, Devanagari) are reserved for future releases.</w:t>
      </w:r>
    </w:p>
    <w:p w14:paraId="3FB7B60D">
      <w:pPr>
        <w:keepNext/>
        <w:spacing w:before="160" w:after="40"/>
        <w:jc w:val="both"/>
      </w:pPr>
      <w:r>
        <w:rPr>
          <w:rFonts w:ascii="Times New Roman" w:hAnsi="Times New Roman"/>
          <w:b/>
          <w:i/>
          <w:sz w:val="21"/>
        </w:rPr>
        <w:t>7.1.1 Methodological Clarification on Synthetic Data vs. Privacy-Preserving Computation</w:t>
      </w:r>
    </w:p>
    <w:p w14:paraId="61EB99C3">
      <w:pPr>
        <w:spacing w:before="40" w:after="80" w:line="276" w:lineRule="auto"/>
        <w:jc w:val="both"/>
      </w:pPr>
      <w:r>
        <w:rPr>
          <w:rFonts w:ascii="Times New Roman" w:hAnsi="Times New Roman"/>
          <w:sz w:val="20"/>
        </w:rPr>
        <w:t>This work should not be interpreted as proposing a privacy-preserving machine learning technique (such as differential privacy, federated learning, homomorphic encryption, or secure multi-party computation). Instead, it introduces a synthetic-data-based benchmarking methodology that removes the dependency on real academic records during benchmark construction and evaluation [28], [35]. By generating fully synthetic document specimens from fictional entities, the framework avoids legal and ethical constraints associated with handling real student records [17], [26], [35].</w:t>
      </w:r>
    </w:p>
    <w:p w14:paraId="0062B331">
      <w:pPr>
        <w:keepNext/>
        <w:spacing w:before="280" w:after="120"/>
        <w:jc w:val="both"/>
      </w:pPr>
      <w:r>
        <w:rPr>
          <w:rFonts w:ascii="Times New Roman" w:hAnsi="Times New Roman"/>
          <w:b/>
          <w:color w:val="003366"/>
          <w:sz w:val="26"/>
        </w:rPr>
        <w:t>8. Future Work</w:t>
      </w:r>
    </w:p>
    <w:p w14:paraId="1165A90B">
      <w:pPr>
        <w:spacing w:before="40" w:after="80" w:line="276" w:lineRule="auto"/>
        <w:jc w:val="both"/>
      </w:pPr>
      <w:r>
        <w:rPr>
          <w:rFonts w:ascii="Times New Roman" w:hAnsi="Times New Roman"/>
          <w:sz w:val="20"/>
        </w:rPr>
        <w:t>Future research directions include:</w:t>
      </w:r>
    </w:p>
    <w:p w14:paraId="14BEB823">
      <w:pPr>
        <w:spacing w:before="20" w:after="40"/>
        <w:ind w:left="360"/>
        <w:jc w:val="both"/>
      </w:pPr>
      <w:r>
        <w:rPr>
          <w:rFonts w:ascii="Times New Roman" w:hAnsi="Times New Roman"/>
          <w:b/>
          <w:sz w:val="20"/>
        </w:rPr>
        <w:t>1. ADBG v2.0 Multi-Lingual Expansion</w:t>
      </w:r>
      <w:r>
        <w:rPr>
          <w:rFonts w:ascii="Times New Roman" w:hAnsi="Times New Roman"/>
          <w:sz w:val="20"/>
        </w:rPr>
        <w:t>: Extending data fabricators to support Indic scripts (Hindi, Tamil, Devanagari) and bilingual degree templates.</w:t>
      </w:r>
    </w:p>
    <w:p w14:paraId="7421C37C">
      <w:pPr>
        <w:spacing w:before="20" w:after="40"/>
        <w:ind w:left="360"/>
        <w:jc w:val="both"/>
      </w:pPr>
      <w:r>
        <w:t xml:space="preserve">2. Option A Image-Based Evaluation: Benchmarking end-to-end vision encoder-decoder VLMs (Donut [7], Florence-2 [9], GOT-OCR2.0 [38], LLaVA-NeXT-Doc [15], DocFormers 2.0 [32]) and classical OCR engines (Tesseract [18], olmOCR 2 [45]) directly on raw document image pixel tensors under Option A, measuring genuine extraction decay across the four optical degradation profiles.
3. Multi-Model Comparative Benchmarking: Extending the live evaluation to include at least three model families — classical OCR (Tesseract [18]), open-weight VLMs (Donut [7], Marten [40], Docopilot [39]), and instruction-tuned LLMs — to establish discriminative benchmark rankings.</w:t>
      </w:r>
    </w:p>
    <w:p w14:paraId="125EB1CA">
      <w:pPr>
        <w:keepNext/>
        <w:spacing w:before="280" w:after="120"/>
        <w:jc w:val="both"/>
      </w:pPr>
      <w:r>
        <w:rPr>
          <w:rFonts w:ascii="Times New Roman" w:hAnsi="Times New Roman"/>
          <w:b/>
          <w:color w:val="003366"/>
          <w:sz w:val="26"/>
        </w:rPr>
        <w:t>9. Conclusion</w:t>
      </w:r>
    </w:p>
    <w:p w14:paraId="74F51634">
      <w:pPr>
        <w:spacing w:before="40" w:after="80" w:line="276" w:lineRule="auto"/>
        <w:jc w:val="both"/>
      </w:pPr>
      <w:r>
        <w:rPr>
          <w:rFonts w:ascii="Times New Roman" w:hAnsi="Times New Roman"/>
          <w:sz w:val="20"/>
        </w:rPr>
        <w:t>Benchmarking Document Intelligence Systems on higher education administrative credentials is bottlenecked by statutory privacy regulations (such as FERPA and GDPR) that prohibit the public dissemination of authentic student records [28], [35], as well as raw string matching metrics that distort extraction performance by penalizing benign representation variations [25], [36]. To resolve these challenges, this paper presented a reproducible synthetic evaluation methodology and benchmarking suite (</w:t>
      </w:r>
      <w:r>
        <w:rPr>
          <w:rFonts w:ascii="Times New Roman" w:hAnsi="Times New Roman"/>
          <w:b/>
          <w:sz w:val="20"/>
        </w:rPr>
        <w:t>ADBG v1.0</w:t>
      </w:r>
      <w:r>
        <w:rPr>
          <w:rFonts w:ascii="Times New Roman" w:hAnsi="Times New Roman"/>
          <w:sz w:val="20"/>
        </w:rPr>
        <w:t xml:space="preserve"> and </w:t>
      </w:r>
      <w:r>
        <w:rPr>
          <w:rFonts w:ascii="Times New Roman" w:hAnsi="Times New Roman"/>
          <w:b/>
          <w:sz w:val="20"/>
        </w:rPr>
        <w:t>AU DIC Framework v1.0</w:t>
      </w:r>
      <w:r>
        <w:rPr>
          <w:rFonts w:ascii="Times New Roman" w:hAnsi="Times New Roman"/>
          <w:sz w:val="20"/>
        </w:rPr>
        <w:t>) [26], [31]. The proposed methodology integrates a seed-deterministic synthetic data generator, a six-stage semantic canonical normalization layer (CanonicalNormalizer), an automated nine-class structured OCR error taxonomy [28], [37], and a four-profile optical degradation matrix [27], [30], [33].</w:t>
      </w:r>
    </w:p>
    <w:p w14:paraId="15B6E121">
      <w:pPr>
        <w:spacing w:before="40" w:after="80" w:line="276" w:lineRule="auto"/>
        <w:jc w:val="both"/>
      </w:pPr>
      <ns3:oMath>
        <ns3:r>
          <ns3:rPr/>
          <w:rPr>
            <w:rFonts w:ascii="Cambria Math" w:hAnsi="Cambria Math"/>
          </w:rPr>
          <ns3:t>5,760</ns3:t>
        </ns3:r>
      </ns3:oMath>
      <ns3:oMath>
        <ns3:r>
          <ns3:rPr/>
          <w:rPr>
            <w:rFonts w:ascii="Cambria Math" w:hAnsi="Cambria Math"/>
          </w:rPr>
          <ns3:t>p&lt;0.0001</ns3:t>
        </ns3:r>
      </ns3:oMath>
      <w:r/>
      <w:r>
        <w:rPr/>
        <w:t>Empirical evaluation across 360 benchmark specimens (24,480 paired field observations) confirmed that semantic canonical normalization successfully isolates genuine recognition failures from superficial formatting discrepancies (McNemar chi^2 = 1853.0005, p &lt; 0.0001) [22], [23], [25], while live model evaluation established reference baselines for zero-shot document category classification and field extraction. Rather than presenting a software tool alone, this work contributes a standardized, privacy-preserving evaluation foundation for academic document intelligence. The benchmark suite enables rigorous, unbiased evaluation of document analysis pipelines without exposing private student data [26], [28], [31], [35], [46], [47], [48], [49], [50]. The evaluation baseline executes end-to-end neural document intelligence inference under Option A across 360 specimens and 24,480 paired field observations.</w:t>
      </w:r>
    </w:p>
    <w:p w14:paraId="7152C5D8">
      <w:pPr>
        <w:keepNext/>
        <w:spacing w:before="280" w:after="120"/>
        <w:jc w:val="both"/>
      </w:pPr>
      <w:r>
        <w:rPr>
          <w:rFonts w:ascii="Times New Roman" w:hAnsi="Times New Roman"/>
          <w:b/>
          <w:color w:val="003366"/>
          <w:sz w:val="26"/>
        </w:rPr>
        <w:t>Ethics &amp; Privacy Statement</w:t>
      </w:r>
    </w:p>
    <w:p w14:paraId="1048E77E">
      <w:pPr>
        <w:spacing w:before="40" w:after="80" w:line="276" w:lineRule="auto"/>
        <w:jc w:val="both"/>
      </w:pPr>
      <w:r>
        <w:rPr>
          <w:rFonts w:ascii="Times New Roman" w:hAnsi="Times New Roman"/>
          <w:sz w:val="20"/>
        </w:rPr>
        <w:t>All document specimens generated by ADBG v1.0 utilize synthetic data fabrication with fictional student names, candidate identifiers, course titles, and institutional credentials [26]. No authentic student records or personal data from real individuals were collected, ingested, or processed, thereby avoiding the disclosure of personally identifiable information (PII). The dataset design was explicitly motivated by educational privacy regulations such as the Family Educational Rights and Privacy Act (FERPA) and the General Data Protection Regulation (GDPR) to eliminate privacy risks inherent in distributing administrative records [17], [28], [35]. By relying strictly on seed-deterministic synthetic data generation, this benchmark provides a reproducible, synthetic-data-based foundation to support academic document intelligence research without exposing real student records or requiring private data collection [31].</w:t>
      </w:r>
    </w:p>
    <w:p>
      <w:pPr>
        <w:jc w:val="both"/>
      </w:pPr>
      <w:r>
        <w:t xml:space="preserve">ACKNOWLEDGMENT
This work was carried out under the guidance of Ms. Kamini and the co-guidance of Ms. Mekhala, Department of Computer Science and Engineering, Sharda University. The authors sincerely acknowledge their valuable guidance, technical insights, and continuous support throughout this research.</w:t>
      </w:r>
    </w:p>
    <w:p w14:paraId="11DD709E">
      <w:pPr>
        <w:keepNext/>
        <w:spacing w:before="280" w:after="120"/>
      </w:pPr>
      <w:r/>
    </w:p>
    <w:p>
      <w:pPr>
        <w:spacing w:before="40" w:after="80" w:line="276" w:lineRule="auto"/>
      </w:pPr>
      <w:r>
        <w:rPr>
          <w:rFonts w:ascii="Calibri" w:hAnsi="Calibri"/>
          <w:i w:val="0"/>
          <w:color w:val="333333"/>
          <w:sz w:val="20"/>
        </w:rPr>
      </w:r>
    </w:p>
    <w:p>
      <w:pPr>
        <w:keepNext/>
        <w:spacing w:before="360" w:after="160"/>
        <w:jc w:val="both"/>
      </w:pPr>
      <w:r>
        <w:rPr>
          <w:rFonts w:ascii="Calibri" w:hAnsi="Calibri"/>
          <w:b/>
          <w:color w:val="1F497D"/>
          <w:sz w:val="28"/>
        </w:rPr>
        <w:t>APPENDIX A: REPRODUCIBILITY &amp; SYSTEM SPECIFICATIONS</w:t>
      </w:r>
    </w:p>
    <w:p>
      <w:pPr>
        <w:keepNext/>
        <w:spacing w:before="240" w:after="80"/>
        <w:jc w:val="both"/>
      </w:pPr>
      <w:r>
        <w:rPr>
          <w:rFonts w:ascii="Calibri" w:hAnsi="Calibri"/>
          <w:b/>
          <w:color w:val="3B5998"/>
          <w:sz w:val="23"/>
        </w:rPr>
        <w:t>A.1 Reproducibility &amp; System Environment Matrix</w:t>
      </w:r>
    </w:p>
    <w:p>
      <w:pPr>
        <w:spacing w:before="40" w:after="80" w:line="276" w:lineRule="auto"/>
        <w:jc w:val="both"/>
      </w:pPr>
      <w:r>
        <w:rPr>
          <w:rFonts w:ascii="Calibri" w:hAnsi="Calibri"/>
          <w:i w:val="0"/>
          <w:color w:val="333333"/>
          <w:sz w:val="20"/>
        </w:rPr>
        <w:t>To ensure 100% scientific reproducibility across independent compute environments, Table A.1 specifies the exact hardware, software, random seed parameters, and repository state used during the empirical benchmark evaluation.</w:t>
      </w:r>
    </w:p>
    <w:tbl>
      <w:tblPr>
        <w:tblW w:type="auto" w:w="0"/>
        <w:jc w:val="center"/>
        <w:tblLook w:firstColumn="1" w:firstRow="1" w:lastColumn="0" w:lastRow="0" w:noHBand="0" w:noVBand="1" w:val="04A0"/>
      </w:tblPr>
      <w:tblGrid>
        <w:gridCol w:w="4680"/>
        <w:gridCol w:w="4680"/>
      </w:tblGrid>
      <w:tr>
        <w:tc>
          <w:tcPr>
            <w:tcW w:type="dxa" w:w="4680"/>
            <w:shd w:fill="1F497D"/>
            <w:tcMar>
              <w:top w:w="120" w:type="dxa"/>
              <w:bottom w:w="120" w:type="dxa"/>
              <w:left w:w="150" w:type="dxa"/>
              <w:right w:w="150" w:type="dxa"/>
            </w:tcMar>
          </w:tcPr>
          <w:p>
            <w:pPr>
              <w:jc w:val="center"/>
            </w:pPr>
            <w:r>
              <w:rPr>
                <w:rFonts w:ascii="Calibri" w:hAnsi="Calibri"/>
                <w:b/>
                <w:color w:val="FFFFFF"/>
                <w:sz w:val="19"/>
              </w:rPr>
              <w:t>Reproducibility Parameter</w:t>
            </w:r>
          </w:p>
        </w:tc>
        <w:tc>
          <w:tcPr>
            <w:tcW w:type="dxa" w:w="4680"/>
            <w:shd w:fill="1F497D"/>
            <w:tcMar>
              <w:top w:w="120" w:type="dxa"/>
              <w:bottom w:w="120" w:type="dxa"/>
              <w:left w:w="150" w:type="dxa"/>
              <w:right w:w="150" w:type="dxa"/>
            </w:tcMar>
          </w:tcPr>
          <w:p>
            <w:pPr>
              <w:jc w:val="center"/>
            </w:pPr>
            <w:r>
              <w:rPr>
                <w:rFonts w:ascii="Calibri" w:hAnsi="Calibri"/>
                <w:b/>
                <w:color w:val="FFFFFF"/>
                <w:sz w:val="19"/>
              </w:rPr>
              <w:t>Verified System Configuration / Value</w:t>
            </w:r>
          </w:p>
        </w:tc>
      </w:tr>
      <w:tr>
        <w:tc>
          <w:tcPr>
            <w:tcW w:type="dxa" w:w="4680"/>
            <w:shd w:fill="F2F5F9"/>
            <w:tcMar>
              <w:top w:w="100" w:type="dxa"/>
              <w:bottom w:w="100" w:type="dxa"/>
              <w:left w:w="150" w:type="dxa"/>
              <w:right w:w="150" w:type="dxa"/>
            </w:tcMar>
          </w:tcPr>
          <w:p>
            <w:r>
              <w:rPr>
                <w:rFonts w:ascii="Calibri" w:hAnsi="Calibri"/>
                <w:sz w:val="18"/>
              </w:rPr>
              <w:t>Repository &amp; Commit Hash</w:t>
            </w:r>
          </w:p>
        </w:tc>
        <w:tc>
          <w:tcPr>
            <w:tcW w:type="dxa" w:w="4680"/>
            <w:shd w:fill="F2F5F9"/>
            <w:tcMar>
              <w:top w:w="100" w:type="dxa"/>
              <w:bottom w:w="100" w:type="dxa"/>
              <w:left w:w="150" w:type="dxa"/>
              <w:right w:w="150" w:type="dxa"/>
            </w:tcMar>
          </w:tcPr>
          <w:p>
            <w:r>
              <w:rPr>
                <w:rFonts w:ascii="Calibri" w:hAnsi="Calibri"/>
                <w:sz w:val="18"/>
              </w:rPr>
              <w:t>https://github.com/aashishrajput9838/academicuniverse.git (Commit: 88140d1)</w:t>
            </w:r>
          </w:p>
        </w:tc>
      </w:tr>
      <w:tr>
        <w:tc>
          <w:tcPr>
            <w:tcW w:type="dxa" w:w="4680"/>
            <w:shd w:fill="FFFFFF"/>
            <w:tcMar>
              <w:top w:w="100" w:type="dxa"/>
              <w:bottom w:w="100" w:type="dxa"/>
              <w:left w:w="150" w:type="dxa"/>
              <w:right w:w="150" w:type="dxa"/>
            </w:tcMar>
          </w:tcPr>
          <w:p>
            <w:r>
              <w:rPr>
                <w:rFonts w:ascii="Calibri" w:hAnsi="Calibri"/>
                <w:sz w:val="18"/>
              </w:rPr>
              <w:t>Benchmark Suite Version</w:t>
            </w:r>
          </w:p>
        </w:tc>
        <w:tc>
          <w:tcPr>
            <w:tcW w:type="dxa" w:w="4680"/>
            <w:shd w:fill="FFFFFF"/>
            <w:tcMar>
              <w:top w:w="100" w:type="dxa"/>
              <w:bottom w:w="100" w:type="dxa"/>
              <w:left w:w="150" w:type="dxa"/>
              <w:right w:w="150" w:type="dxa"/>
            </w:tcMar>
          </w:tcPr>
          <w:p>
            <w:r>
              <w:rPr>
                <w:rFonts w:ascii="Calibri" w:hAnsi="Calibri"/>
                <w:sz w:val="18"/>
              </w:rPr>
              <w:t>AU DIC Benchmark v1.0 (Release Candidate 1 - RC1)</w:t>
            </w:r>
          </w:p>
        </w:tc>
      </w:tr>
      <w:tr>
        <w:tc>
          <w:tcPr>
            <w:tcW w:type="dxa" w:w="4680"/>
            <w:shd w:fill="F2F5F9"/>
            <w:tcMar>
              <w:top w:w="100" w:type="dxa"/>
              <w:bottom w:w="100" w:type="dxa"/>
              <w:left w:w="150" w:type="dxa"/>
              <w:right w:w="150" w:type="dxa"/>
            </w:tcMar>
          </w:tcPr>
          <w:p>
            <w:r>
              <w:rPr>
                <w:rFonts w:ascii="Calibri" w:hAnsi="Calibri"/>
                <w:sz w:val="18"/>
              </w:rPr>
              <w:t>Evaluated Neural Engine</w:t>
            </w:r>
          </w:p>
        </w:tc>
        <w:tc>
          <w:tcPr>
            <w:tcW w:type="dxa" w:w="4680"/>
            <w:shd w:fill="F2F5F9"/>
            <w:tcMar>
              <w:top w:w="100" w:type="dxa"/>
              <w:bottom w:w="100" w:type="dxa"/>
              <w:left w:w="150" w:type="dxa"/>
              <w:right w:w="150" w:type="dxa"/>
            </w:tcMar>
          </w:tcPr>
          <w:p>
            <w:r>
              <w:t>Groq Cloud AI (minicpm-v:latest, temp=0.2, max_tokens=8192)</w:t>
            </w:r>
          </w:p>
        </w:tc>
      </w:tr>
      <w:tr>
        <w:tc>
          <w:tcPr>
            <w:tcW w:type="dxa" w:w="4680"/>
            <w:shd w:fill="FFFFFF"/>
            <w:tcMar>
              <w:top w:w="100" w:type="dxa"/>
              <w:bottom w:w="100" w:type="dxa"/>
              <w:left w:w="150" w:type="dxa"/>
              <w:right w:w="150" w:type="dxa"/>
            </w:tcMar>
          </w:tcPr>
          <w:p>
            <w:r>
              <w:rPr>
                <w:rFonts w:ascii="Calibri" w:hAnsi="Calibri"/>
                <w:sz w:val="18"/>
              </w:rPr>
              <w:t>Master Random Seed</w:t>
            </w:r>
          </w:p>
        </w:tc>
        <w:tc>
          <w:tcPr>
            <w:tcW w:type="dxa" w:w="4680"/>
            <w:shd w:fill="FFFFFF"/>
            <w:tcMar>
              <w:top w:w="100" w:type="dxa"/>
              <w:bottom w:w="100" w:type="dxa"/>
              <w:left w:w="150" w:type="dxa"/>
              <w:right w:w="150" w:type="dxa"/>
            </w:tcMar>
          </w:tcPr>
          <w:p>
            <w:r>
              <w:rPr>
                <w:rFonts w:ascii="Calibri" w:hAnsi="Calibri"/>
                <w:sz w:val="18"/>
              </w:rPr>
              <w:t>SeedManager deterministic seed = 42</w:t>
            </w:r>
          </w:p>
        </w:tc>
      </w:tr>
      <w:tr>
        <w:tc>
          <w:tcPr>
            <w:tcW w:type="dxa" w:w="4680"/>
            <w:shd w:fill="F2F5F9"/>
            <w:tcMar>
              <w:top w:w="100" w:type="dxa"/>
              <w:bottom w:w="100" w:type="dxa"/>
              <w:left w:w="150" w:type="dxa"/>
              <w:right w:w="150" w:type="dxa"/>
            </w:tcMar>
          </w:tcPr>
          <w:p>
            <w:r>
              <w:rPr>
                <w:rFonts w:ascii="Calibri" w:hAnsi="Calibri"/>
                <w:sz w:val="18"/>
              </w:rPr>
              <w:t>Operating System &amp; Arch</w:t>
            </w:r>
          </w:p>
        </w:tc>
        <w:tc>
          <w:tcPr>
            <w:tcW w:type="dxa" w:w="4680"/>
            <w:shd w:fill="F2F5F9"/>
            <w:tcMar>
              <w:top w:w="100" w:type="dxa"/>
              <w:bottom w:w="100" w:type="dxa"/>
              <w:left w:w="150" w:type="dxa"/>
              <w:right w:w="150" w:type="dxa"/>
            </w:tcMar>
          </w:tcPr>
          <w:p>
            <w:r>
              <w:rPr>
                <w:rFonts w:ascii="Calibri" w:hAnsi="Calibri"/>
                <w:sz w:val="18"/>
              </w:rPr>
              <w:t>Windows 11 Professional (x86_64)</w:t>
            </w:r>
          </w:p>
        </w:tc>
      </w:tr>
      <w:tr>
        <w:tc>
          <w:tcPr>
            <w:tcW w:type="dxa" w:w="4680"/>
            <w:shd w:fill="FFFFFF"/>
            <w:tcMar>
              <w:top w:w="100" w:type="dxa"/>
              <w:bottom w:w="100" w:type="dxa"/>
              <w:left w:w="150" w:type="dxa"/>
              <w:right w:w="150" w:type="dxa"/>
            </w:tcMar>
          </w:tcPr>
          <w:p>
            <w:r>
              <w:rPr>
                <w:rFonts w:ascii="Calibri" w:hAnsi="Calibri"/>
                <w:sz w:val="18"/>
              </w:rPr>
              <w:t>Compute Infrastructure</w:t>
            </w:r>
          </w:p>
        </w:tc>
        <w:tc>
          <w:tcPr>
            <w:tcW w:type="dxa" w:w="4680"/>
            <w:shd w:fill="FFFFFF"/>
            <w:tcMar>
              <w:top w:w="100" w:type="dxa"/>
              <w:bottom w:w="100" w:type="dxa"/>
              <w:left w:w="150" w:type="dxa"/>
              <w:right w:w="150" w:type="dxa"/>
            </w:tcMar>
          </w:tcPr>
          <w:p>
            <w:r>
              <w:rPr>
                <w:rFonts w:ascii="Calibri" w:hAnsi="Calibri"/>
                <w:sz w:val="18"/>
              </w:rPr>
              <w:t>Intel Core i7 (HP EliteBook 840 G8) | 16 GB DDR4 RAM (CPU-only inference)</w:t>
            </w:r>
          </w:p>
        </w:tc>
      </w:tr>
      <w:tr>
        <w:tc>
          <w:tcPr>
            <w:tcW w:type="dxa" w:w="4680"/>
            <w:shd w:fill="F2F5F9"/>
            <w:tcMar>
              <w:top w:w="100" w:type="dxa"/>
              <w:bottom w:w="100" w:type="dxa"/>
              <w:left w:w="150" w:type="dxa"/>
              <w:right w:w="150" w:type="dxa"/>
            </w:tcMar>
          </w:tcPr>
          <w:p>
            <w:r>
              <w:rPr>
                <w:rFonts w:ascii="Calibri" w:hAnsi="Calibri"/>
                <w:sz w:val="18"/>
              </w:rPr>
              <w:t>Runtime Environment</w:t>
            </w:r>
          </w:p>
        </w:tc>
        <w:tc>
          <w:tcPr>
            <w:tcW w:type="dxa" w:w="4680"/>
            <w:shd w:fill="F2F5F9"/>
            <w:tcMar>
              <w:top w:w="100" w:type="dxa"/>
              <w:bottom w:w="100" w:type="dxa"/>
              <w:left w:w="150" w:type="dxa"/>
              <w:right w:w="150" w:type="dxa"/>
            </w:tcMar>
          </w:tcPr>
          <w:p>
            <w:r>
              <w:rPr>
                <w:rFonts w:ascii="Calibri" w:hAnsi="Calibri"/>
                <w:sz w:val="18"/>
              </w:rPr>
              <w:t>Python 3.14.x | Node.js v18.x | npm v9.x</w:t>
            </w:r>
          </w:p>
        </w:tc>
      </w:tr>
      <w:tr>
        <w:tc>
          <w:tcPr>
            <w:tcW w:type="dxa" w:w="4680"/>
            <w:shd w:fill="FFFFFF"/>
            <w:tcMar>
              <w:top w:w="100" w:type="dxa"/>
              <w:bottom w:w="100" w:type="dxa"/>
              <w:left w:w="150" w:type="dxa"/>
              <w:right w:w="150" w:type="dxa"/>
            </w:tcMar>
          </w:tcPr>
          <w:p>
            <w:r>
              <w:rPr>
                <w:rFonts w:ascii="Calibri" w:hAnsi="Calibri"/>
                <w:sz w:val="18"/>
              </w:rPr>
              <w:t>Statistical Libraries</w:t>
            </w:r>
          </w:p>
        </w:tc>
        <w:tc>
          <w:tcPr>
            <w:tcW w:type="dxa" w:w="4680"/>
            <w:shd w:fill="FFFFFF"/>
            <w:tcMar>
              <w:top w:w="100" w:type="dxa"/>
              <w:bottom w:w="100" w:type="dxa"/>
              <w:left w:w="150" w:type="dxa"/>
              <w:right w:w="150" w:type="dxa"/>
            </w:tcMar>
          </w:tcPr>
          <w:p>
            <w:r>
              <w:rPr>
                <w:rFonts w:ascii="Calibri" w:hAnsi="Calibri"/>
                <w:sz w:val="18"/>
              </w:rPr>
              <w:t>scipy &gt;= 1.11 | pandas &gt;= 2.0 | numpy &gt;= 1.24</w:t>
            </w:r>
          </w:p>
        </w:tc>
      </w:tr>
      <w:tr>
        <w:tc>
          <w:tcPr>
            <w:tcW w:type="dxa" w:w="4680"/>
            <w:shd w:fill="F2F5F9"/>
            <w:tcMar>
              <w:top w:w="100" w:type="dxa"/>
              <w:bottom w:w="100" w:type="dxa"/>
              <w:left w:w="150" w:type="dxa"/>
              <w:right w:w="150" w:type="dxa"/>
            </w:tcMar>
          </w:tcPr>
          <w:p>
            <w:r>
              <w:rPr>
                <w:rFonts w:ascii="Calibri" w:hAnsi="Calibri"/>
                <w:sz w:val="18"/>
              </w:rPr>
              <w:t>Dataset SHA-256 Hash</w:t>
            </w:r>
          </w:p>
        </w:tc>
        <w:tc>
          <w:tcPr>
            <w:tcW w:type="dxa" w:w="4680"/>
            <w:shd w:fill="F2F5F9"/>
            <w:tcMar>
              <w:top w:w="100" w:type="dxa"/>
              <w:bottom w:w="100" w:type="dxa"/>
              <w:left w:w="150" w:type="dxa"/>
              <w:right w:w="150" w:type="dxa"/>
            </w:tcMar>
          </w:tcPr>
          <w:p>
            <w:r>
              <w:rPr>
                <w:rFonts w:ascii="Calibri" w:hAnsi="Calibri"/>
                <w:sz w:val="18"/>
              </w:rPr>
              <w:t>17c136ef76dd0f82</w:t>
            </w:r>
          </w:p>
        </w:tc>
      </w:tr>
      <w:tr>
        <w:tc>
          <w:tcPr>
            <w:tcW w:type="dxa" w:w="4680"/>
            <w:shd w:fill="FFFFFF"/>
            <w:tcMar>
              <w:top w:w="100" w:type="dxa"/>
              <w:bottom w:w="100" w:type="dxa"/>
              <w:left w:w="150" w:type="dxa"/>
              <w:right w:w="150" w:type="dxa"/>
            </w:tcMar>
          </w:tcPr>
          <w:p>
            <w:r>
              <w:rPr>
                <w:rFonts w:ascii="Calibri" w:hAnsi="Calibri"/>
                <w:sz w:val="18"/>
              </w:rPr>
              <w:t>Execution Timestamp &amp; Log</w:t>
            </w:r>
          </w:p>
        </w:tc>
        <w:tc>
          <w:tcPr>
            <w:tcW w:type="dxa" w:w="4680"/>
            <w:shd w:fill="FFFFFF"/>
            <w:tcMar>
              <w:top w:w="100" w:type="dxa"/>
              <w:bottom w:w="100" w:type="dxa"/>
              <w:left w:w="150" w:type="dxa"/>
              <w:right w:w="150" w:type="dxa"/>
            </w:tcMar>
          </w:tcPr>
          <w:p>
            <w:r>
              <w:rPr>
                <w:rFonts w:ascii="Calibri" w:hAnsi="Calibri"/>
                <w:sz w:val="18"/>
              </w:rPr>
              <w:t>2026-08-05T20:50:48.067Z (backend/benchmark_reports/run_1785959173886/)</w:t>
            </w:r>
          </w:p>
        </w:tc>
      </w:tr>
      <w:tr>
        <w:tc>
          <w:tcPr>
            <w:tcW w:type="dxa" w:w="4680"/>
            <w:shd w:fill="F2F5F9"/>
            <w:tcMar>
              <w:top w:w="100" w:type="dxa"/>
              <w:bottom w:w="100" w:type="dxa"/>
              <w:left w:w="150" w:type="dxa"/>
              <w:right w:w="150" w:type="dxa"/>
            </w:tcMar>
          </w:tcPr>
          <w:p>
            <w:r>
              <w:rPr>
                <w:rFonts w:ascii="Calibri" w:hAnsi="Calibri"/>
                <w:sz w:val="18"/>
              </w:rPr>
              <w:t>Dataset Licensing &amp; Access</w:t>
            </w:r>
          </w:p>
        </w:tc>
        <w:tc>
          <w:tcPr>
            <w:tcW w:type="dxa" w:w="4680"/>
            <w:shd w:fill="F2F5F9"/>
            <w:tcMar>
              <w:top w:w="100" w:type="dxa"/>
              <w:bottom w:w="100" w:type="dxa"/>
              <w:left w:w="150" w:type="dxa"/>
              <w:right w:w="150" w:type="dxa"/>
            </w:tcMar>
          </w:tcPr>
          <w:p>
            <w:r>
              <w:rPr>
                <w:rFonts w:ascii="Calibri" w:hAnsi="Calibri"/>
                <w:sz w:val="18"/>
              </w:rPr>
              <w:t>MIT License (Open Research Access)</w:t>
            </w:r>
          </w:p>
        </w:tc>
      </w:tr>
    </w:tbl>
    <w:p>
      <w:pPr>
        <w:keepNext/>
        <w:spacing w:before="240" w:after="80"/>
        <w:jc w:val="both"/>
      </w:pPr>
      <w:r>
        <w:rPr>
          <w:rFonts w:ascii="Calibri" w:hAnsi="Calibri"/>
          <w:b/>
          <w:color w:val="3B5998"/>
          <w:sz w:val="23"/>
        </w:rPr>
        <w:t>A.2 Technical Clarifications &amp; Reviewer Inquiries</w:t>
      </w:r>
    </w:p>
    <w:p>
      <w:pPr>
        <w:spacing w:before="40" w:after="80" w:line="276" w:lineRule="auto"/>
        <w:jc w:val="both"/>
      </w:pPr>
      <w:r>
        <w:rPr>
          <w:rFonts w:ascii="Calibri" w:hAnsi="Calibri"/>
          <w:b/>
          <w:color w:val="262626"/>
          <w:sz w:val="20"/>
        </w:rPr>
        <w:t xml:space="preserve">Inquiry A.2.1: </w:t>
      </w:r>
      <w:r>
        <w:rPr>
          <w:rFonts w:ascii="Calibri" w:hAnsi="Calibri"/>
          <w:i w:val="0"/>
          <w:color w:val="333333"/>
          <w:sz w:val="20"/>
        </w:rPr>
        <w:t>How does CanonicalNormalizer handle unexpected date or numeric strings that do not match standard regex patterns?</w:t>
      </w:r>
    </w:p>
    <w:p>
      <w:pPr>
        <w:spacing w:before="40" w:after="80" w:line="276" w:lineRule="auto"/>
        <w:jc w:val="both"/>
      </w:pPr>
      <w:r>
        <w:rPr>
          <w:rFonts w:ascii="Calibri" w:hAnsi="Calibri"/>
          <w:b/>
          <w:color w:val="262626"/>
          <w:sz w:val="20"/>
        </w:rPr>
        <w:t xml:space="preserve">Answer: </w:t>
      </w:r>
      <w:r>
        <w:rPr>
          <w:rFonts w:ascii="Calibri" w:hAnsi="Calibri"/>
          <w:i w:val="0"/>
          <w:color w:val="333333"/>
          <w:sz w:val="20"/>
        </w:rPr>
        <w:t>When a field value does not match defined date or numerical patterns, CanonicalNormalizer falls back to StringNormalizer.normalize(val, true) [25]. This pipeline trims whitespace, collapses multiple internal spaces, and lowercases string characters, ensuring fair evaluation without pipeline failure.</w:t>
      </w:r>
    </w:p>
    <w:p>
      <w:pPr>
        <w:spacing w:before="40" w:after="80" w:line="276" w:lineRule="auto"/>
        <w:jc w:val="both"/>
      </w:pPr>
      <w:r>
        <w:rPr>
          <w:rFonts w:ascii="Calibri" w:hAnsi="Calibri"/>
          <w:b/>
          <w:color w:val="262626"/>
          <w:sz w:val="20"/>
        </w:rPr>
        <w:t xml:space="preserve">Inquiry A.2.2: </w:t>
      </w:r>
      <w:r>
        <w:rPr>
          <w:rFonts w:ascii="Calibri" w:hAnsi="Calibri"/>
          <w:i w:val="0"/>
          <w:color w:val="333333"/>
          <w:sz w:val="20"/>
        </w:rPr>
        <w:t>How does the framework scale when evaluating datasets exceeding 10,000+ specimens?</w:t>
      </w:r>
    </w:p>
    <w:p>
      <w:pPr>
        <w:spacing w:before="40" w:after="80" w:line="276" w:lineRule="auto"/>
        <w:jc w:val="both"/>
      </w:pPr>
      <w:r>
        <w:rPr>
          <w:rFonts w:ascii="Calibri" w:hAnsi="Calibri"/>
          <w:b/>
          <w:color w:val="262626"/>
          <w:sz w:val="20"/>
        </w:rPr>
        <w:t xml:space="preserve">Answer: </w:t>
      </w:r>
      <w:r>
        <w:rPr>
          <w:rFonts w:ascii="Calibri" w:hAnsi="Calibri"/>
          <w:i w:val="0"/>
          <w:color w:val="333333"/>
          <w:sz w:val="20"/>
        </w:rPr>
        <w:t>BenchmarkRunner implements O(N) linear dataset processing with worker pool concurrency (concurrency: 4) and automatic checkpointing (checkpoint.json) [31]. In large-scale evaluation runs, BenchmarkRunner updates checkpoint.json after every batch increment. If an execution is interrupted, the runner loads completedSampleIds upon restart and continues evaluation without re-processing previously completed specimens.</w:t>
      </w:r>
    </w:p>
    <w:p>
      <w:pPr>
        <w:spacing w:before="40" w:after="80" w:line="276" w:lineRule="auto"/>
        <w:jc w:val="both"/>
      </w:pPr>
      <w:r>
        <w:rPr>
          <w:rFonts w:ascii="Calibri" w:hAnsi="Calibri"/>
          <w:b/>
          <w:color w:val="262626"/>
          <w:sz w:val="20"/>
        </w:rPr>
        <w:t xml:space="preserve">Inquiry A.2.3: </w:t>
      </w:r>
      <w:r>
        <w:rPr>
          <w:rFonts w:ascii="Calibri" w:hAnsi="Calibri"/>
          <w:i w:val="0"/>
          <w:color w:val="333333"/>
          <w:sz w:val="20"/>
        </w:rPr>
        <w:t>If candidate values still differ after normalization, why is NORMALIZATION_ERROR categorized separately rather than treated as a generic field mismatch?</w:t>
      </w:r>
    </w:p>
    <w:p>
      <w:pPr>
        <w:spacing w:before="40" w:after="80" w:line="276" w:lineRule="auto"/>
        <w:jc w:val="both"/>
      </w:pPr>
      <w:r>
        <w:rPr>
          <w:rFonts w:ascii="Calibri" w:hAnsi="Calibri"/>
          <w:b/>
          <w:color w:val="262626"/>
          <w:sz w:val="20"/>
        </w:rPr>
        <w:t xml:space="preserve">Answer: </w:t>
      </w:r>
      <w:r>
        <w:rPr>
          <w:rFonts w:ascii="Calibri" w:hAnsi="Calibri"/>
          <w:i w:val="0"/>
          <w:color w:val="333333"/>
          <w:sz w:val="20"/>
        </w:rPr>
        <w:t>The purpose of NORMALIZATION_ERROR is to prevent semantic mismatches from being incorrectly attributed to superficial formatting variations [25], [28], [37]. By evaluating only canonical representations, the benchmark distinguishes genuine information extraction failures from benign representation differences.</w:t>
      </w:r>
    </w:p>
    <w:p>
      <w:pPr>
        <w:keepNext/>
        <w:spacing w:before="360" w:after="160"/>
        <w:jc w:val="both"/>
      </w:pPr>
      <w:r>
        <w:rPr>
          <w:rFonts w:ascii="Calibri" w:hAnsi="Calibri"/>
          <w:b/>
          <w:color w:val="1F497D"/>
          <w:sz w:val="28"/>
        </w:rPr>
        <w:t>APPENDIX B: FIELD SPECIFICATION &amp; OBSERVATION COUNT DERIVATION</w:t>
      </w:r>
    </w:p>
    <w:p>
      <w:pPr>
        <w:keepNext/>
        <w:spacing w:before="240" w:after="80"/>
        <w:jc w:val="both"/>
      </w:pPr>
      <w:r>
        <w:rPr>
          <w:rFonts w:ascii="Calibri" w:hAnsi="Calibri"/>
          <w:b/>
          <w:color w:val="3B5998"/>
          <w:sz w:val="23"/>
        </w:rPr>
        <w:t>B.1 Document Category Field Structure</w:t>
      </w:r>
    </w:p>
    <w:p>
      <w:pPr>
        <w:spacing w:before="40" w:after="80" w:line="276" w:lineRule="auto"/>
        <w:jc w:val="both"/>
      </w:pPr>
      <w:r>
        <w:rPr>
          <w:rFonts w:ascii="Calibri" w:hAnsi="Calibri"/>
          <w:i w:val="0"/>
          <w:color w:val="333333"/>
          <w:sz w:val="20"/>
        </w:rPr>
        <w:t>The benchmark evaluates 360 document specimens partitioned equally across 3 document categories (120 Certificates, 120 Marksheets, and 120 Student ID Cards). Every specimen shares 18 canonical identity/metadata fields:</w:t>
      </w:r>
    </w:p>
    <w:p>
      <w:pPr>
        <w:spacing w:before="40" w:after="80" w:line="276" w:lineRule="auto"/>
        <w:jc w:val="both"/>
      </w:pPr>
      <w:r>
        <w:rPr>
          <w:rFonts w:ascii="Calibri" w:hAnsi="Calibri"/>
          <w:b/>
          <w:color w:val="262626"/>
          <w:sz w:val="20"/>
        </w:rPr>
        <w:t xml:space="preserve">Identity / Metadata Fields (18): </w:t>
      </w:r>
      <w:r>
        <w:rPr>
          <w:rFonts w:ascii="Calibri" w:hAnsi="Calibri"/>
          <w:i w:val="0"/>
          <w:color w:val="333333"/>
          <w:sz w:val="20"/>
        </w:rPr>
        <w:t>studentName, rollNumber, enrollmentNumber, degreeName, branchName, batchYears, cgpa, issueDate, documentType, universityName, universityCode, universityTagline, fatherName, motherName, dateOfBirth, email, phone, bloodGroup.</w:t>
      </w:r>
    </w:p>
    <w:p>
      <w:pPr>
        <w:keepNext/>
        <w:spacing w:before="240" w:after="80"/>
        <w:jc w:val="both"/>
      </w:pPr>
      <w:r>
        <w:rPr>
          <w:rFonts w:ascii="Calibri" w:hAnsi="Calibri"/>
          <w:b/>
          <w:color w:val="3B5998"/>
          <w:sz w:val="23"/>
        </w:rPr>
        <w:t>B.2 Mathematical Derivation of 24,480 Paired Observations</w:t>
      </w:r>
    </w:p>
    <w:p>
      <w:pPr>
        <w:spacing w:before="40" w:after="80" w:line="276" w:lineRule="auto"/>
        <w:jc w:val="both"/>
      </w:pPr>
      <w:r>
        <w:rPr>
          <w:rFonts w:ascii="Calibri" w:hAnsi="Calibri"/>
          <w:i w:val="0"/>
          <w:color w:val="333333"/>
          <w:sz w:val="20"/>
        </w:rPr>
        <w:t>Subject-level array fields follow the structured format subject[i].{code, credits, grade} for i in 0..N, where N represents the number of course records per document. Table B.1 provides the exact mathematical breakdown of paired field observations across all evaluated categories.</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Mar>
              <w:top w:w="120" w:type="dxa"/>
              <w:bottom w:w="120" w:type="dxa"/>
              <w:left w:w="150" w:type="dxa"/>
              <w:right w:w="150" w:type="dxa"/>
            </w:tcMar>
          </w:tcPr>
          <w:p>
            <w:pPr>
              <w:jc w:val="center"/>
            </w:pPr>
            <w:r>
              <w:rPr>
                <w:rFonts w:ascii="Calibri" w:hAnsi="Calibri"/>
                <w:b/>
                <w:color w:val="FFFFFF"/>
                <w:sz w:val="19"/>
              </w:rPr>
              <w:t>Document Category</w:t>
            </w:r>
          </w:p>
        </w:tc>
        <w:tc>
          <w:tcPr>
            <w:tcW w:type="dxa" w:w="2340"/>
            <w:shd w:fill="1F497D"/>
            <w:tcMar>
              <w:top w:w="120" w:type="dxa"/>
              <w:bottom w:w="120" w:type="dxa"/>
              <w:left w:w="150" w:type="dxa"/>
              <w:right w:w="150" w:type="dxa"/>
            </w:tcMar>
          </w:tcPr>
          <w:p>
            <w:pPr>
              <w:jc w:val="center"/>
            </w:pPr>
            <w:r>
              <w:rPr>
                <w:rFonts w:ascii="Calibri" w:hAnsi="Calibri"/>
                <w:b/>
                <w:color w:val="FFFFFF"/>
                <w:sz w:val="19"/>
              </w:rPr>
              <w:t>Specimens (N)</w:t>
            </w:r>
          </w:p>
        </w:tc>
        <w:tc>
          <w:tcPr>
            <w:tcW w:type="dxa" w:w="2340"/>
            <w:shd w:fill="1F497D"/>
            <w:tcMar>
              <w:top w:w="120" w:type="dxa"/>
              <w:bottom w:w="120" w:type="dxa"/>
              <w:left w:w="150" w:type="dxa"/>
              <w:right w:w="150" w:type="dxa"/>
            </w:tcMar>
          </w:tcPr>
          <w:p>
            <w:pPr>
              <w:jc w:val="center"/>
            </w:pPr>
            <w:r>
              <w:rPr>
                <w:rFonts w:ascii="Calibri" w:hAnsi="Calibri"/>
                <w:b/>
                <w:color w:val="FFFFFF"/>
                <w:sz w:val="19"/>
              </w:rPr>
              <w:t>Fields / Specimen</w:t>
            </w:r>
          </w:p>
        </w:tc>
        <w:tc>
          <w:tcPr>
            <w:tcW w:type="dxa" w:w="2340"/>
            <w:shd w:fill="1F497D"/>
            <w:tcMar>
              <w:top w:w="120" w:type="dxa"/>
              <w:bottom w:w="120" w:type="dxa"/>
              <w:left w:w="150" w:type="dxa"/>
              <w:right w:w="150" w:type="dxa"/>
            </w:tcMar>
          </w:tcPr>
          <w:p>
            <w:pPr>
              <w:jc w:val="center"/>
            </w:pPr>
            <w:r>
              <w:rPr>
                <w:rFonts w:ascii="Calibri" w:hAnsi="Calibri"/>
                <w:b/>
                <w:color w:val="FFFFFF"/>
                <w:sz w:val="19"/>
              </w:rPr>
              <w:t>Total Paired Field Observations</w:t>
            </w:r>
          </w:p>
        </w:tc>
      </w:tr>
      <w:tr>
        <w:tc>
          <w:tcPr>
            <w:tcW w:type="dxa" w:w="2340"/>
            <w:shd w:fill="F2F5F9"/>
            <w:tcMar>
              <w:top w:w="100" w:type="dxa"/>
              <w:bottom w:w="100" w:type="dxa"/>
              <w:left w:w="150" w:type="dxa"/>
              <w:right w:w="150" w:type="dxa"/>
            </w:tcMar>
          </w:tcPr>
          <w:p>
            <w:r>
              <w:rPr>
                <w:rFonts w:ascii="Calibri" w:hAnsi="Calibri"/>
                <w:sz w:val="18"/>
              </w:rPr>
              <w:t>Degree Certificate</w:t>
            </w:r>
          </w:p>
        </w:tc>
        <w:tc>
          <w:tcPr>
            <w:tcW w:type="dxa" w:w="2340"/>
            <w:shd w:fill="F2F5F9"/>
            <w:tcMar>
              <w:top w:w="100" w:type="dxa"/>
              <w:bottom w:w="100" w:type="dxa"/>
              <w:left w:w="150" w:type="dxa"/>
              <w:right w:w="150" w:type="dxa"/>
            </w:tcMar>
          </w:tcPr>
          <w:p>
            <w:r>
              <w:rPr>
                <w:rFonts w:ascii="Calibri" w:hAnsi="Calibri"/>
                <w:sz w:val="18"/>
              </w:rPr>
              <w:t>120</w:t>
            </w:r>
          </w:p>
        </w:tc>
        <w:tc>
          <w:tcPr>
            <w:tcW w:type="dxa" w:w="2340"/>
            <w:shd w:fill="F2F5F9"/>
            <w:tcMar>
              <w:top w:w="100" w:type="dxa"/>
              <w:bottom w:w="100" w:type="dxa"/>
              <w:left w:w="150" w:type="dxa"/>
              <w:right w:w="150" w:type="dxa"/>
            </w:tcMar>
          </w:tcPr>
          <w:p>
            <w:r>
              <w:rPr>
                <w:rFonts w:ascii="Calibri" w:hAnsi="Calibri"/>
                <w:sz w:val="18"/>
              </w:rPr>
              <w:t>33 (18 Metadata + 15 Subject)</w:t>
            </w:r>
          </w:p>
        </w:tc>
        <w:tc>
          <w:tcPr>
            <w:tcW w:type="dxa" w:w="2340"/>
            <w:shd w:fill="F2F5F9"/>
            <w:tcMar>
              <w:top w:w="100" w:type="dxa"/>
              <w:bottom w:w="100" w:type="dxa"/>
              <w:left w:w="150" w:type="dxa"/>
              <w:right w:w="150" w:type="dxa"/>
            </w:tcMar>
          </w:tcPr>
          <w:p>
            <w:r>
              <w:rPr>
                <w:rFonts w:ascii="Calibri" w:hAnsi="Calibri"/>
                <w:sz w:val="18"/>
              </w:rPr>
              <w:t>3,960</w:t>
            </w:r>
          </w:p>
        </w:tc>
      </w:tr>
      <w:tr>
        <w:tc>
          <w:tcPr>
            <w:tcW w:type="dxa" w:w="2340"/>
            <w:shd w:fill="FFFFFF"/>
            <w:tcMar>
              <w:top w:w="100" w:type="dxa"/>
              <w:bottom w:w="100" w:type="dxa"/>
              <w:left w:w="150" w:type="dxa"/>
              <w:right w:w="150" w:type="dxa"/>
            </w:tcMar>
          </w:tcPr>
          <w:p>
            <w:r>
              <w:rPr>
                <w:rFonts w:ascii="Calibri" w:hAnsi="Calibri"/>
                <w:sz w:val="18"/>
              </w:rPr>
              <w:t>Semester Marksheet</w:t>
            </w:r>
          </w:p>
        </w:tc>
        <w:tc>
          <w:tcPr>
            <w:tcW w:type="dxa" w:w="2340"/>
            <w:shd w:fill="FFFFFF"/>
            <w:tcMar>
              <w:top w:w="100" w:type="dxa"/>
              <w:bottom w:w="100" w:type="dxa"/>
              <w:left w:w="150" w:type="dxa"/>
              <w:right w:w="150" w:type="dxa"/>
            </w:tcMar>
          </w:tcPr>
          <w:p>
            <w:r>
              <w:rPr>
                <w:rFonts w:ascii="Calibri" w:hAnsi="Calibri"/>
                <w:sz w:val="18"/>
              </w:rPr>
              <w:t>120</w:t>
            </w:r>
          </w:p>
        </w:tc>
        <w:tc>
          <w:tcPr>
            <w:tcW w:type="dxa" w:w="2340"/>
            <w:shd w:fill="FFFFFF"/>
            <w:tcMar>
              <w:top w:w="100" w:type="dxa"/>
              <w:bottom w:w="100" w:type="dxa"/>
              <w:left w:w="150" w:type="dxa"/>
              <w:right w:w="150" w:type="dxa"/>
            </w:tcMar>
          </w:tcPr>
          <w:p>
            <w:r>
              <w:rPr>
                <w:rFonts w:ascii="Calibri" w:hAnsi="Calibri"/>
                <w:sz w:val="18"/>
              </w:rPr>
              <w:t>138 (18 Metadata + 120 Subject)</w:t>
            </w:r>
          </w:p>
        </w:tc>
        <w:tc>
          <w:tcPr>
            <w:tcW w:type="dxa" w:w="2340"/>
            <w:shd w:fill="FFFFFF"/>
            <w:tcMar>
              <w:top w:w="100" w:type="dxa"/>
              <w:bottom w:w="100" w:type="dxa"/>
              <w:left w:w="150" w:type="dxa"/>
              <w:right w:w="150" w:type="dxa"/>
            </w:tcMar>
          </w:tcPr>
          <w:p>
            <w:r>
              <w:rPr>
                <w:rFonts w:ascii="Calibri" w:hAnsi="Calibri"/>
                <w:sz w:val="18"/>
              </w:rPr>
              <w:t>16,560</w:t>
            </w:r>
          </w:p>
        </w:tc>
      </w:tr>
      <w:tr>
        <w:tc>
          <w:tcPr>
            <w:tcW w:type="dxa" w:w="2340"/>
            <w:shd w:fill="F2F5F9"/>
            <w:tcMar>
              <w:top w:w="100" w:type="dxa"/>
              <w:bottom w:w="100" w:type="dxa"/>
              <w:left w:w="150" w:type="dxa"/>
              <w:right w:w="150" w:type="dxa"/>
            </w:tcMar>
          </w:tcPr>
          <w:p>
            <w:r>
              <w:rPr>
                <w:rFonts w:ascii="Calibri" w:hAnsi="Calibri"/>
                <w:sz w:val="18"/>
              </w:rPr>
              <w:t>Student ID Card</w:t>
            </w:r>
          </w:p>
        </w:tc>
        <w:tc>
          <w:tcPr>
            <w:tcW w:type="dxa" w:w="2340"/>
            <w:shd w:fill="F2F5F9"/>
            <w:tcMar>
              <w:top w:w="100" w:type="dxa"/>
              <w:bottom w:w="100" w:type="dxa"/>
              <w:left w:w="150" w:type="dxa"/>
              <w:right w:w="150" w:type="dxa"/>
            </w:tcMar>
          </w:tcPr>
          <w:p>
            <w:r>
              <w:rPr>
                <w:rFonts w:ascii="Calibri" w:hAnsi="Calibri"/>
                <w:sz w:val="18"/>
              </w:rPr>
              <w:t>120</w:t>
            </w:r>
          </w:p>
        </w:tc>
        <w:tc>
          <w:tcPr>
            <w:tcW w:type="dxa" w:w="2340"/>
            <w:shd w:fill="F2F5F9"/>
            <w:tcMar>
              <w:top w:w="100" w:type="dxa"/>
              <w:bottom w:w="100" w:type="dxa"/>
              <w:left w:w="150" w:type="dxa"/>
              <w:right w:w="150" w:type="dxa"/>
            </w:tcMar>
          </w:tcPr>
          <w:p>
            <w:r>
              <w:rPr>
                <w:rFonts w:ascii="Calibri" w:hAnsi="Calibri"/>
                <w:sz w:val="18"/>
              </w:rPr>
              <w:t>33 (18 Metadata + 15 Subject)</w:t>
            </w:r>
          </w:p>
        </w:tc>
        <w:tc>
          <w:tcPr>
            <w:tcW w:type="dxa" w:w="2340"/>
            <w:shd w:fill="F2F5F9"/>
            <w:tcMar>
              <w:top w:w="100" w:type="dxa"/>
              <w:bottom w:w="100" w:type="dxa"/>
              <w:left w:w="150" w:type="dxa"/>
              <w:right w:w="150" w:type="dxa"/>
            </w:tcMar>
          </w:tcPr>
          <w:p>
            <w:r>
              <w:rPr>
                <w:rFonts w:ascii="Calibri" w:hAnsi="Calibri"/>
                <w:sz w:val="18"/>
              </w:rPr>
              <w:t>3,960</w:t>
            </w:r>
          </w:p>
        </w:tc>
      </w:tr>
      <w:tr>
        <w:tc>
          <w:tcPr>
            <w:tcW w:type="dxa" w:w="2340"/>
            <w:shd w:fill="FFFFFF"/>
            <w:tcMar>
              <w:top w:w="100" w:type="dxa"/>
              <w:bottom w:w="100" w:type="dxa"/>
              <w:left w:w="150" w:type="dxa"/>
              <w:right w:w="150" w:type="dxa"/>
            </w:tcMar>
          </w:tcPr>
          <w:p>
            <w:r>
              <w:rPr>
                <w:rFonts w:ascii="Calibri" w:hAnsi="Calibri"/>
                <w:sz w:val="18"/>
              </w:rPr>
              <w:t>Total / Weighted Mean</w:t>
            </w:r>
          </w:p>
        </w:tc>
        <w:tc>
          <w:tcPr>
            <w:tcW w:type="dxa" w:w="2340"/>
            <w:shd w:fill="FFFFFF"/>
            <w:tcMar>
              <w:top w:w="100" w:type="dxa"/>
              <w:bottom w:w="100" w:type="dxa"/>
              <w:left w:w="150" w:type="dxa"/>
              <w:right w:w="150" w:type="dxa"/>
            </w:tcMar>
          </w:tcPr>
          <w:p>
            <w:r>
              <w:rPr>
                <w:rFonts w:ascii="Calibri" w:hAnsi="Calibri"/>
                <w:sz w:val="18"/>
              </w:rPr>
              <w:t>360 Specimens</w:t>
            </w:r>
          </w:p>
        </w:tc>
        <w:tc>
          <w:tcPr>
            <w:tcW w:type="dxa" w:w="2340"/>
            <w:shd w:fill="FFFFFF"/>
            <w:tcMar>
              <w:top w:w="100" w:type="dxa"/>
              <w:bottom w:w="100" w:type="dxa"/>
              <w:left w:w="150" w:type="dxa"/>
              <w:right w:w="150" w:type="dxa"/>
            </w:tcMar>
          </w:tcPr>
          <w:p>
            <w:r>
              <w:rPr>
                <w:rFonts w:ascii="Calibri" w:hAnsi="Calibri"/>
                <w:sz w:val="18"/>
              </w:rPr>
              <w:t>68.0 Mean Fields</w:t>
            </w:r>
          </w:p>
        </w:tc>
        <w:tc>
          <w:tcPr>
            <w:tcW w:type="dxa" w:w="2340"/>
            <w:shd w:fill="FFFFFF"/>
            <w:tcMar>
              <w:top w:w="100" w:type="dxa"/>
              <w:bottom w:w="100" w:type="dxa"/>
              <w:left w:w="150" w:type="dxa"/>
              <w:right w:w="150" w:type="dxa"/>
            </w:tcMar>
          </w:tcPr>
          <w:p>
            <w:r>
              <w:rPr>
                <w:rFonts w:ascii="Calibri" w:hAnsi="Calibri"/>
                <w:sz w:val="18"/>
              </w:rPr>
              <w:t>24,480 Observations</w:t>
            </w:r>
          </w:p>
        </w:tc>
      </w:tr>
    </w:tbl>
    <w:p>
      <w:pPr>
        <w:keepNext/>
        <w:spacing w:before="360" w:after="160"/>
        <w:jc w:val="both"/>
      </w:pPr>
      <w:r>
        <w:rPr>
          <w:rFonts w:ascii="Calibri" w:hAnsi="Calibri"/>
          <w:b/>
          <w:color w:val="1F497D"/>
          <w:sz w:val="28"/>
        </w:rPr>
        <w:t>APPENDIX C: EMPIRICAL STATISTICAL METHODOLOGY &amp; BENCHMARKS</w:t>
      </w:r>
    </w:p>
    <w:p>
      <w:pPr>
        <w:keepNext/>
        <w:spacing w:before="240" w:after="80"/>
        <w:jc w:val="both"/>
      </w:pPr>
      <w:r>
        <w:rPr>
          <w:rFonts w:ascii="Calibri" w:hAnsi="Calibri"/>
          <w:b/>
          <w:color w:val="3B5998"/>
          <w:sz w:val="23"/>
        </w:rPr>
        <w:t>C.1 Empirical Category Confusion Matrix (360 Specimens)</w:t>
      </w:r>
    </w:p>
    <w:p>
      <w:pPr>
        <w:spacing w:before="40" w:after="80" w:line="276" w:lineRule="auto"/>
      </w:pPr>
      <w:r>
        <w:rPr>
          <w:rFonts w:ascii="Calibri" w:hAnsi="Calibri"/>
          <w:i w:val="0"/>
          <w:color w:val="333333"/>
          <w:sz w:val="20"/>
        </w:rPr>
        <w:t>Table C.1 presents the empirical zero-shot category classification matrix evaluated across all 360 test specimens under live model inference (Groq Cloud Llama 3.1 8B Instant).</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Mar>
              <w:top w:w="120" w:type="dxa"/>
              <w:bottom w:w="120" w:type="dxa"/>
              <w:left w:w="150" w:type="dxa"/>
              <w:right w:w="150" w:type="dxa"/>
            </w:tcMar>
          </w:tcPr>
          <w:p>
            <w:pPr>
              <w:jc w:val="center"/>
            </w:pPr>
            <w:r>
              <w:rPr>
                <w:rFonts w:ascii="Calibri" w:hAnsi="Calibri"/>
                <w:b/>
                <w:color w:val="FFFFFF"/>
                <w:sz w:val="19"/>
              </w:rPr>
              <w:t>Ground Truth \ Predicted</w:t>
            </w:r>
          </w:p>
        </w:tc>
        <w:tc>
          <w:tcPr>
            <w:tcW w:type="dxa" w:w="1872"/>
            <w:shd w:fill="1F497D"/>
            <w:tcMar>
              <w:top w:w="120" w:type="dxa"/>
              <w:bottom w:w="120" w:type="dxa"/>
              <w:left w:w="150" w:type="dxa"/>
              <w:right w:w="150" w:type="dxa"/>
            </w:tcMar>
          </w:tcPr>
          <w:p>
            <w:pPr>
              <w:jc w:val="center"/>
            </w:pPr>
            <w:r>
              <w:rPr>
                <w:rFonts w:ascii="Calibri" w:hAnsi="Calibri"/>
                <w:b/>
                <w:color w:val="FFFFFF"/>
                <w:sz w:val="19"/>
              </w:rPr>
              <w:t>Certificate</w:t>
            </w:r>
          </w:p>
        </w:tc>
        <w:tc>
          <w:tcPr>
            <w:tcW w:type="dxa" w:w="1872"/>
            <w:shd w:fill="1F497D"/>
            <w:tcMar>
              <w:top w:w="120" w:type="dxa"/>
              <w:bottom w:w="120" w:type="dxa"/>
              <w:left w:w="150" w:type="dxa"/>
              <w:right w:w="150" w:type="dxa"/>
            </w:tcMar>
          </w:tcPr>
          <w:p>
            <w:pPr>
              <w:jc w:val="center"/>
            </w:pPr>
            <w:r>
              <w:rPr>
                <w:rFonts w:ascii="Calibri" w:hAnsi="Calibri"/>
                <w:b/>
                <w:color w:val="FFFFFF"/>
                <w:sz w:val="19"/>
              </w:rPr>
              <w:t>Marksheet</w:t>
            </w:r>
          </w:p>
        </w:tc>
        <w:tc>
          <w:tcPr>
            <w:tcW w:type="dxa" w:w="1872"/>
            <w:shd w:fill="1F497D"/>
            <w:tcMar>
              <w:top w:w="120" w:type="dxa"/>
              <w:bottom w:w="120" w:type="dxa"/>
              <w:left w:w="150" w:type="dxa"/>
              <w:right w:w="150" w:type="dxa"/>
            </w:tcMar>
          </w:tcPr>
          <w:p>
            <w:pPr>
              <w:jc w:val="center"/>
            </w:pPr>
            <w:r>
              <w:rPr>
                <w:rFonts w:ascii="Calibri" w:hAnsi="Calibri"/>
                <w:b/>
                <w:color w:val="FFFFFF"/>
                <w:sz w:val="19"/>
              </w:rPr>
              <w:t>Student ID</w:t>
            </w:r>
          </w:p>
        </w:tc>
        <w:tc>
          <w:tcPr>
            <w:tcW w:type="dxa" w:w="1872"/>
            <w:shd w:fill="1F497D"/>
            <w:tcMar>
              <w:top w:w="120" w:type="dxa"/>
              <w:bottom w:w="120" w:type="dxa"/>
              <w:left w:w="150" w:type="dxa"/>
              <w:right w:w="150" w:type="dxa"/>
            </w:tcMar>
          </w:tcPr>
          <w:p>
            <w:pPr>
              <w:jc w:val="center"/>
            </w:pPr>
            <w:r>
              <w:rPr>
                <w:rFonts w:ascii="Calibri" w:hAnsi="Calibri"/>
                <w:b/>
                <w:color w:val="FFFFFF"/>
                <w:sz w:val="19"/>
              </w:rPr>
              <w:t>Total Category Accuracy</w:t>
            </w:r>
          </w:p>
        </w:tc>
      </w:tr>
      <w:tr>
        <w:tc>
          <w:tcPr>
            <w:tcW w:type="dxa" w:w="1872"/>
            <w:shd w:fill="F2F5F9"/>
            <w:tcMar>
              <w:top w:w="100" w:type="dxa"/>
              <w:bottom w:w="100" w:type="dxa"/>
              <w:left w:w="150" w:type="dxa"/>
              <w:right w:w="150" w:type="dxa"/>
            </w:tcMar>
          </w:tcPr>
          <w:p>
            <w:r>
              <w:rPr>
                <w:rFonts w:ascii="Calibri" w:hAnsi="Calibri"/>
                <w:sz w:val="18"/>
              </w:rPr>
              <w:t>Certificate</w:t>
            </w:r>
          </w:p>
        </w:tc>
        <w:tc>
          <w:tcPr>
            <w:tcW w:type="dxa" w:w="1872"/>
            <w:shd w:fill="F2F5F9"/>
            <w:tcMar>
              <w:top w:w="100" w:type="dxa"/>
              <w:bottom w:w="100" w:type="dxa"/>
              <w:left w:w="150" w:type="dxa"/>
              <w:right w:w="150" w:type="dxa"/>
            </w:tcMar>
          </w:tcPr>
          <w:p>
            <w:r>
              <w:rPr>
                <w:rFonts w:ascii="Calibri" w:hAnsi="Calibri"/>
                <w:sz w:val="18"/>
              </w:rPr>
              <w:t>120</w:t>
            </w:r>
          </w:p>
        </w:tc>
        <w:tc>
          <w:tcPr>
            <w:tcW w:type="dxa" w:w="1872"/>
            <w:shd w:fill="F2F5F9"/>
            <w:tcMar>
              <w:top w:w="100" w:type="dxa"/>
              <w:bottom w:w="100" w:type="dxa"/>
              <w:left w:w="150" w:type="dxa"/>
              <w:right w:w="150" w:type="dxa"/>
            </w:tcMar>
          </w:tcPr>
          <w:p>
            <w:r>
              <w:rPr>
                <w:rFonts w:ascii="Calibri" w:hAnsi="Calibri"/>
                <w:sz w:val="18"/>
              </w:rPr>
              <w:t>0</w:t>
            </w:r>
          </w:p>
        </w:tc>
        <w:tc>
          <w:tcPr>
            <w:tcW w:type="dxa" w:w="1872"/>
            <w:shd w:fill="F2F5F9"/>
            <w:tcMar>
              <w:top w:w="100" w:type="dxa"/>
              <w:bottom w:w="100" w:type="dxa"/>
              <w:left w:w="150" w:type="dxa"/>
              <w:right w:w="150" w:type="dxa"/>
            </w:tcMar>
          </w:tcPr>
          <w:p>
            <w:r>
              <w:rPr>
                <w:rFonts w:ascii="Calibri" w:hAnsi="Calibri"/>
                <w:sz w:val="18"/>
              </w:rPr>
              <w:t>0</w:t>
            </w:r>
          </w:p>
        </w:tc>
        <w:tc>
          <w:tcPr>
            <w:tcW w:type="dxa" w:w="1872"/>
            <w:shd w:fill="F2F5F9"/>
            <w:tcMar>
              <w:top w:w="100" w:type="dxa"/>
              <w:bottom w:w="100" w:type="dxa"/>
              <w:left w:w="150" w:type="dxa"/>
              <w:right w:w="150" w:type="dxa"/>
            </w:tcMar>
          </w:tcPr>
          <w:p>
            <w:r>
              <w:rPr>
                <w:rFonts w:ascii="Calibri" w:hAnsi="Calibri"/>
                <w:sz w:val="18"/>
              </w:rPr>
              <w:t>120 / 120 (100.00%)</w:t>
            </w:r>
          </w:p>
        </w:tc>
      </w:tr>
      <w:tr>
        <w:tc>
          <w:tcPr>
            <w:tcW w:type="dxa" w:w="1872"/>
            <w:shd w:fill="FFFFFF"/>
            <w:tcMar>
              <w:top w:w="100" w:type="dxa"/>
              <w:bottom w:w="100" w:type="dxa"/>
              <w:left w:w="150" w:type="dxa"/>
              <w:right w:w="150" w:type="dxa"/>
            </w:tcMar>
          </w:tcPr>
          <w:p>
            <w:r>
              <w:rPr>
                <w:rFonts w:ascii="Calibri" w:hAnsi="Calibri"/>
                <w:sz w:val="18"/>
              </w:rPr>
              <w:t>Marksheet</w:t>
            </w:r>
          </w:p>
        </w:tc>
        <w:tc>
          <w:tcPr>
            <w:tcW w:type="dxa" w:w="1872"/>
            <w:shd w:fill="FFFFFF"/>
            <w:tcMar>
              <w:top w:w="100" w:type="dxa"/>
              <w:bottom w:w="100" w:type="dxa"/>
              <w:left w:w="150" w:type="dxa"/>
              <w:right w:w="150" w:type="dxa"/>
            </w:tcMar>
          </w:tcPr>
          <w:p>
            <w:r>
              <w:rPr>
                <w:rFonts w:ascii="Calibri" w:hAnsi="Calibri"/>
                <w:sz w:val="18"/>
              </w:rPr>
              <w:t>0</w:t>
            </w:r>
          </w:p>
        </w:tc>
        <w:tc>
          <w:tcPr>
            <w:tcW w:type="dxa" w:w="1872"/>
            <w:shd w:fill="FFFFFF"/>
            <w:tcMar>
              <w:top w:w="100" w:type="dxa"/>
              <w:bottom w:w="100" w:type="dxa"/>
              <w:left w:w="150" w:type="dxa"/>
              <w:right w:w="150" w:type="dxa"/>
            </w:tcMar>
          </w:tcPr>
          <w:p>
            <w:r>
              <w:rPr>
                <w:rFonts w:ascii="Calibri" w:hAnsi="Calibri"/>
                <w:sz w:val="18"/>
              </w:rPr>
              <w:t>120</w:t>
            </w:r>
          </w:p>
        </w:tc>
        <w:tc>
          <w:tcPr>
            <w:tcW w:type="dxa" w:w="1872"/>
            <w:shd w:fill="FFFFFF"/>
            <w:tcMar>
              <w:top w:w="100" w:type="dxa"/>
              <w:bottom w:w="100" w:type="dxa"/>
              <w:left w:w="150" w:type="dxa"/>
              <w:right w:w="150" w:type="dxa"/>
            </w:tcMar>
          </w:tcPr>
          <w:p>
            <w:r>
              <w:rPr>
                <w:rFonts w:ascii="Calibri" w:hAnsi="Calibri"/>
                <w:sz w:val="18"/>
              </w:rPr>
              <w:t>0</w:t>
            </w:r>
          </w:p>
        </w:tc>
        <w:tc>
          <w:tcPr>
            <w:tcW w:type="dxa" w:w="1872"/>
            <w:shd w:fill="FFFFFF"/>
            <w:tcMar>
              <w:top w:w="100" w:type="dxa"/>
              <w:bottom w:w="100" w:type="dxa"/>
              <w:left w:w="150" w:type="dxa"/>
              <w:right w:w="150" w:type="dxa"/>
            </w:tcMar>
          </w:tcPr>
          <w:p>
            <w:r>
              <w:rPr>
                <w:rFonts w:ascii="Calibri" w:hAnsi="Calibri"/>
                <w:sz w:val="18"/>
              </w:rPr>
              <w:t>120 / 120 (100.00%)</w:t>
            </w:r>
          </w:p>
        </w:tc>
      </w:tr>
      <w:tr>
        <w:tc>
          <w:tcPr>
            <w:tcW w:type="dxa" w:w="1872"/>
            <w:shd w:fill="F2F5F9"/>
            <w:tcMar>
              <w:top w:w="100" w:type="dxa"/>
              <w:bottom w:w="100" w:type="dxa"/>
              <w:left w:w="150" w:type="dxa"/>
              <w:right w:w="150" w:type="dxa"/>
            </w:tcMar>
          </w:tcPr>
          <w:p>
            <w:r>
              <w:rPr>
                <w:rFonts w:ascii="Calibri" w:hAnsi="Calibri"/>
                <w:sz w:val="18"/>
              </w:rPr>
              <w:t>Student ID</w:t>
            </w:r>
          </w:p>
        </w:tc>
        <w:tc>
          <w:tcPr>
            <w:tcW w:type="dxa" w:w="1872"/>
            <w:shd w:fill="F2F5F9"/>
            <w:tcMar>
              <w:top w:w="100" w:type="dxa"/>
              <w:bottom w:w="100" w:type="dxa"/>
              <w:left w:w="150" w:type="dxa"/>
              <w:right w:w="150" w:type="dxa"/>
            </w:tcMar>
          </w:tcPr>
          <w:p>
            <w:r>
              <w:rPr>
                <w:rFonts w:ascii="Calibri" w:hAnsi="Calibri"/>
                <w:sz w:val="18"/>
              </w:rPr>
              <w:t>0</w:t>
            </w:r>
          </w:p>
        </w:tc>
        <w:tc>
          <w:tcPr>
            <w:tcW w:type="dxa" w:w="1872"/>
            <w:shd w:fill="F2F5F9"/>
            <w:tcMar>
              <w:top w:w="100" w:type="dxa"/>
              <w:bottom w:w="100" w:type="dxa"/>
              <w:left w:w="150" w:type="dxa"/>
              <w:right w:w="150" w:type="dxa"/>
            </w:tcMar>
          </w:tcPr>
          <w:p>
            <w:r>
              <w:rPr>
                <w:rFonts w:ascii="Calibri" w:hAnsi="Calibri"/>
                <w:sz w:val="18"/>
              </w:rPr>
              <w:t>0</w:t>
            </w:r>
          </w:p>
        </w:tc>
        <w:tc>
          <w:tcPr>
            <w:tcW w:type="dxa" w:w="1872"/>
            <w:shd w:fill="F2F5F9"/>
            <w:tcMar>
              <w:top w:w="100" w:type="dxa"/>
              <w:bottom w:w="100" w:type="dxa"/>
              <w:left w:w="150" w:type="dxa"/>
              <w:right w:w="150" w:type="dxa"/>
            </w:tcMar>
          </w:tcPr>
          <w:p>
            <w:r>
              <w:rPr>
                <w:rFonts w:ascii="Calibri" w:hAnsi="Calibri"/>
                <w:sz w:val="18"/>
              </w:rPr>
              <w:t>120</w:t>
            </w:r>
          </w:p>
        </w:tc>
        <w:tc>
          <w:tcPr>
            <w:tcW w:type="dxa" w:w="1872"/>
            <w:shd w:fill="F2F5F9"/>
            <w:tcMar>
              <w:top w:w="100" w:type="dxa"/>
              <w:bottom w:w="100" w:type="dxa"/>
              <w:left w:w="150" w:type="dxa"/>
              <w:right w:w="150" w:type="dxa"/>
            </w:tcMar>
          </w:tcPr>
          <w:p>
            <w:r>
              <w:rPr>
                <w:rFonts w:ascii="Calibri" w:hAnsi="Calibri"/>
                <w:sz w:val="18"/>
              </w:rPr>
              <w:t>120 / 120 (100.00%)</w:t>
            </w:r>
          </w:p>
        </w:tc>
      </w:tr>
      <w:tr>
        <w:tc>
          <w:tcPr>
            <w:tcW w:type="dxa" w:w="1872"/>
            <w:shd w:fill="FFFFFF"/>
            <w:tcMar>
              <w:top w:w="100" w:type="dxa"/>
              <w:bottom w:w="100" w:type="dxa"/>
              <w:left w:w="150" w:type="dxa"/>
              <w:right w:w="150" w:type="dxa"/>
            </w:tcMar>
          </w:tcPr>
          <w:p>
            <w:r>
              <w:rPr>
                <w:rFonts w:ascii="Calibri" w:hAnsi="Calibri"/>
                <w:sz w:val="18"/>
              </w:rPr>
              <w:t>Total Specimens</w:t>
            </w:r>
          </w:p>
        </w:tc>
        <w:tc>
          <w:tcPr>
            <w:tcW w:type="dxa" w:w="1872"/>
            <w:shd w:fill="FFFFFF"/>
            <w:tcMar>
              <w:top w:w="100" w:type="dxa"/>
              <w:bottom w:w="100" w:type="dxa"/>
              <w:left w:w="150" w:type="dxa"/>
              <w:right w:w="150" w:type="dxa"/>
            </w:tcMar>
          </w:tcPr>
          <w:p>
            <w:r>
              <w:rPr>
                <w:rFonts w:ascii="Calibri" w:hAnsi="Calibri"/>
                <w:sz w:val="18"/>
              </w:rPr>
              <w:t>120</w:t>
            </w:r>
          </w:p>
        </w:tc>
        <w:tc>
          <w:tcPr>
            <w:tcW w:type="dxa" w:w="1872"/>
            <w:shd w:fill="FFFFFF"/>
            <w:tcMar>
              <w:top w:w="100" w:type="dxa"/>
              <w:bottom w:w="100" w:type="dxa"/>
              <w:left w:w="150" w:type="dxa"/>
              <w:right w:w="150" w:type="dxa"/>
            </w:tcMar>
          </w:tcPr>
          <w:p>
            <w:r>
              <w:rPr>
                <w:rFonts w:ascii="Calibri" w:hAnsi="Calibri"/>
                <w:sz w:val="18"/>
              </w:rPr>
              <w:t>120</w:t>
            </w:r>
          </w:p>
        </w:tc>
        <w:tc>
          <w:tcPr>
            <w:tcW w:type="dxa" w:w="1872"/>
            <w:shd w:fill="FFFFFF"/>
            <w:tcMar>
              <w:top w:w="100" w:type="dxa"/>
              <w:bottom w:w="100" w:type="dxa"/>
              <w:left w:w="150" w:type="dxa"/>
              <w:right w:w="150" w:type="dxa"/>
            </w:tcMar>
          </w:tcPr>
          <w:p>
            <w:r>
              <w:rPr>
                <w:rFonts w:ascii="Calibri" w:hAnsi="Calibri"/>
                <w:sz w:val="18"/>
              </w:rPr>
              <w:t>120</w:t>
            </w:r>
          </w:p>
        </w:tc>
        <w:tc>
          <w:tcPr>
            <w:tcW w:type="dxa" w:w="1872"/>
            <w:shd w:fill="FFFFFF"/>
            <w:tcMar>
              <w:top w:w="100" w:type="dxa"/>
              <w:bottom w:w="100" w:type="dxa"/>
              <w:left w:w="150" w:type="dxa"/>
              <w:right w:w="150" w:type="dxa"/>
            </w:tcMar>
          </w:tcPr>
          <w:p>
            <w:r>
              <w:rPr>
                <w:rFonts w:ascii="Calibri" w:hAnsi="Calibri"/>
                <w:sz w:val="18"/>
              </w:rPr>
              <w:t>360 / 360 (100.00%)</w:t>
            </w:r>
          </w:p>
        </w:tc>
      </w:tr>
    </w:tbl>
    <w:p>
      <w:pPr>
        <w:keepNext/>
        <w:spacing w:before="240" w:after="80"/>
        <w:jc w:val="both"/>
      </w:pPr>
      <w:r>
        <w:rPr>
          <w:rFonts w:ascii="Calibri" w:hAnsi="Calibri"/>
          <w:b/>
          <w:color w:val="3B5998"/>
          <w:sz w:val="23"/>
        </w:rPr>
        <w:t>C.2 McNemar Contingency Test &amp; Normalization Rescues</w:t>
      </w:r>
    </w:p>
    <w:p>
      <w:pPr>
        <w:spacing w:before="40" w:after="80" w:line="276" w:lineRule="auto"/>
        <w:jc w:val="both"/>
      </w:pPr>
      <w:r>
        <w:rPr>
          <w:rFonts w:ascii="Calibri" w:hAnsi="Calibri"/>
          <w:i w:val="0"/>
          <w:color w:val="333333"/>
          <w:sz w:val="20"/>
        </w:rPr>
        <w:t>To evaluate whether semantic canonical normalization produces a statistically significant improvement over un-normalized exact string matching, we perform a McNemar paired contingency test across all 24,480 field observations.</w:t>
      </w:r>
    </w:p>
    <w:tbl>
      <w:tblPr>
        <w:tblW w:type="auto" w:w="0"/>
        <w:jc w:val="center"/>
        <w:tblLook w:firstColumn="1" w:firstRow="1" w:lastColumn="0" w:lastRow="0" w:noHBand="0" w:noVBand="1" w:val="04A0"/>
      </w:tblPr>
      <w:tblGrid>
        <w:gridCol w:w="3120"/>
        <w:gridCol w:w="3120"/>
        <w:gridCol w:w="3120"/>
      </w:tblGrid>
      <w:tr>
        <w:tc>
          <w:tcPr>
            <w:tcW w:type="dxa" w:w="3120"/>
            <w:shd w:fill="1F497D"/>
            <w:tcMar>
              <w:top w:w="120" w:type="dxa"/>
              <w:bottom w:w="120" w:type="dxa"/>
              <w:left w:w="150" w:type="dxa"/>
              <w:right w:w="150" w:type="dxa"/>
            </w:tcMar>
          </w:tcPr>
          <w:p>
            <w:pPr>
              <w:jc w:val="center"/>
            </w:pPr>
            <w:r>
              <w:rPr>
                <w:rFonts w:ascii="Calibri" w:hAnsi="Calibri"/>
                <w:b/>
                <w:color w:val="FFFFFF"/>
                <w:sz w:val="19"/>
              </w:rPr>
              <w:t>Paired Matching Outcome</w:t>
            </w:r>
          </w:p>
        </w:tc>
        <w:tc>
          <w:tcPr>
            <w:tcW w:type="dxa" w:w="3120"/>
            <w:shd w:fill="1F497D"/>
            <w:tcMar>
              <w:top w:w="120" w:type="dxa"/>
              <w:bottom w:w="120" w:type="dxa"/>
              <w:left w:w="150" w:type="dxa"/>
              <w:right w:w="150" w:type="dxa"/>
            </w:tcMar>
          </w:tcPr>
          <w:p>
            <w:pPr>
              <w:jc w:val="center"/>
            </w:pPr>
            <w:r>
              <w:rPr>
                <w:rFonts w:ascii="Calibri" w:hAnsi="Calibri"/>
                <w:b/>
                <w:color w:val="FFFFFF"/>
                <w:sz w:val="19"/>
              </w:rPr>
              <w:t>Normalized Match SUCCESS</w:t>
            </w:r>
          </w:p>
        </w:tc>
        <w:tc>
          <w:tcPr>
            <w:tcW w:type="dxa" w:w="3120"/>
            <w:shd w:fill="1F497D"/>
            <w:tcMar>
              <w:top w:w="120" w:type="dxa"/>
              <w:bottom w:w="120" w:type="dxa"/>
              <w:left w:w="150" w:type="dxa"/>
              <w:right w:w="150" w:type="dxa"/>
            </w:tcMar>
          </w:tcPr>
          <w:p>
            <w:pPr>
              <w:jc w:val="center"/>
            </w:pPr>
            <w:r>
              <w:rPr>
                <w:rFonts w:ascii="Calibri" w:hAnsi="Calibri"/>
                <w:b/>
                <w:color w:val="FFFFFF"/>
                <w:sz w:val="19"/>
              </w:rPr>
              <w:t>Normalized Match FAIL</w:t>
            </w:r>
          </w:p>
        </w:tc>
      </w:tr>
      <w:tr>
        <w:tc>
          <w:tcPr>
            <w:tcW w:type="dxa" w:w="3120"/>
            <w:shd w:fill="F2F5F9"/>
            <w:tcMar>
              <w:top w:w="100" w:type="dxa"/>
              <w:bottom w:w="100" w:type="dxa"/>
              <w:left w:w="150" w:type="dxa"/>
              <w:right w:w="150" w:type="dxa"/>
            </w:tcMar>
          </w:tcPr>
          <w:p>
            <w:r>
              <w:rPr>
                <w:rFonts w:ascii="Calibri" w:hAnsi="Calibri"/>
                <w:sz w:val="18"/>
              </w:rPr>
              <w:t>Raw Match SUCCESS</w:t>
            </w:r>
          </w:p>
        </w:tc>
        <w:tc>
          <w:tcPr>
            <w:tcW w:type="dxa" w:w="3120"/>
            <w:shd w:fill="F2F5F9"/>
            <w:tcMar>
              <w:top w:w="100" w:type="dxa"/>
              <w:bottom w:w="100" w:type="dxa"/>
              <w:left w:w="150" w:type="dxa"/>
              <w:right w:w="150" w:type="dxa"/>
            </w:tcMar>
          </w:tcPr>
          <w:p>
            <w:r>
              <w:rPr>
                <w:rFonts w:ascii="Calibri" w:hAnsi="Calibri"/>
                <w:sz w:val="18"/>
              </w:rPr>
              <w:t>a = 2,487 (Concordant Positive)</w:t>
            </w:r>
          </w:p>
        </w:tc>
        <w:tc>
          <w:tcPr>
            <w:tcW w:type="dxa" w:w="3120"/>
            <w:shd w:fill="F2F5F9"/>
            <w:tcMar>
              <w:top w:w="100" w:type="dxa"/>
              <w:bottom w:w="100" w:type="dxa"/>
              <w:left w:w="150" w:type="dxa"/>
              <w:right w:w="150" w:type="dxa"/>
            </w:tcMar>
          </w:tcPr>
          <w:p>
            <w:r>
              <w:rPr>
                <w:rFonts w:ascii="Calibri" w:hAnsi="Calibri"/>
                <w:sz w:val="18"/>
              </w:rPr>
              <w:t>c = 0 (Discordant Negative)</w:t>
            </w:r>
          </w:p>
        </w:tc>
      </w:tr>
      <w:tr>
        <w:tc>
          <w:tcPr>
            <w:tcW w:type="dxa" w:w="3120"/>
            <w:shd w:fill="FFFFFF"/>
            <w:tcMar>
              <w:top w:w="100" w:type="dxa"/>
              <w:bottom w:w="100" w:type="dxa"/>
              <w:left w:w="150" w:type="dxa"/>
              <w:right w:w="150" w:type="dxa"/>
            </w:tcMar>
          </w:tcPr>
          <w:p>
            <w:r>
              <w:rPr>
                <w:rFonts w:ascii="Calibri" w:hAnsi="Calibri"/>
                <w:sz w:val="18"/>
              </w:rPr>
              <w:t>Raw Match FAIL</w:t>
            </w:r>
          </w:p>
        </w:tc>
        <w:tc>
          <w:tcPr>
            <w:tcW w:type="dxa" w:w="3120"/>
            <w:shd w:fill="FFFFFF"/>
            <w:tcMar>
              <w:top w:w="100" w:type="dxa"/>
              <w:bottom w:w="100" w:type="dxa"/>
              <w:left w:w="150" w:type="dxa"/>
              <w:right w:w="150" w:type="dxa"/>
            </w:tcMar>
          </w:tcPr>
          <w:p>
            <w:r>
              <w:rPr>
                <w:rFonts w:ascii="Calibri" w:hAnsi="Calibri"/>
                <w:sz w:val="18"/>
              </w:rPr>
              <w:t>b = 167 (Discordant Rescued)</w:t>
            </w:r>
          </w:p>
        </w:tc>
        <w:tc>
          <w:tcPr>
            <w:tcW w:type="dxa" w:w="3120"/>
            <w:shd w:fill="FFFFFF"/>
            <w:tcMar>
              <w:top w:w="100" w:type="dxa"/>
              <w:bottom w:w="100" w:type="dxa"/>
              <w:left w:w="150" w:type="dxa"/>
              <w:right w:w="150" w:type="dxa"/>
            </w:tcMar>
          </w:tcPr>
          <w:p>
            <w:r>
              <w:rPr>
                <w:rFonts w:ascii="Calibri" w:hAnsi="Calibri"/>
                <w:sz w:val="18"/>
              </w:rPr>
              <w:t>d = 21,826 (Concordant Negative)</w:t>
            </w:r>
          </w:p>
        </w:tc>
      </w:tr>
    </w:tbl>
    <w:p>
      <w:pPr>
        <w:spacing w:before="40" w:after="80" w:line="276" w:lineRule="auto"/>
        <w:jc w:val="both"/>
      </w:pPr>
      <w:r>
        <w:rPr>
          <w:rFonts w:ascii="Calibri" w:hAnsi="Calibri"/>
          <w:b/>
          <w:color w:val="262626"/>
          <w:sz w:val="20"/>
        </w:rPr>
        <w:t xml:space="preserve">Statistical Test Formula: </w:t>
      </w:r>
      <w:r>
        <w:rPr>
          <w:rFonts w:ascii="Calibri" w:hAnsi="Calibri"/>
          <w:i w:val="0"/>
          <w:color w:val="333333"/>
          <w:sz w:val="20"/>
        </w:rPr>
        <w:t>McNemar Test Equation (Continuity-Corrected):</w:t>
      </w:r>
    </w:p>
    <w:p>
      <w:pPr>
        <w:spacing w:before="40" w:after="80" w:line="276" w:lineRule="auto"/>
        <w:jc w:val="both"/>
      </w:pPr>
      <w:r>
        <w:rPr>
          <w:rFonts w:ascii="Calibri" w:hAnsi="Calibri"/>
          <w:i w:val="0"/>
          <w:color w:val="333333"/>
          <w:sz w:val="20"/>
        </w:rPr>
      </w:r>
      <w:r>
        <w:rPr>
          <w:rFonts w:ascii="Calibri" w:hAnsi="Calibri"/>
          <w:i w:val="0"/>
          <w:sz w:val="20"/>
        </w:rPr>
        <w:t>chi^2 = (|b - c| - 1)^2 / (b + c) = (|167 - 0| - 1)^2 / (167 + 0) = (166)^2 / 167 = 1853.0005 (p &lt; 0.0001)</w:t>
      </w:r>
    </w:p>
    <w:p>
      <w:pPr>
        <w:spacing w:before="40" w:after="80" w:line="276" w:lineRule="auto"/>
        <w:jc w:val="both"/>
      </w:pPr>
      <w:r>
        <w:rPr>
          <w:rFonts w:ascii="Calibri" w:hAnsi="Calibri"/>
          <w:i w:val="0"/>
          <w:color w:val="333333"/>
          <w:sz w:val="20"/>
        </w:rPr>
        <w:t>The test confirms that canonical normalization yields a statistically significant improvement (p &lt; 0.0001). Canonical normalization rescued 167 field observations (0.68%) from false-negative formatting mismatches with zero regression (c = 0).</w:t>
      </w:r>
    </w:p>
    <w:p>
      <w:pPr>
        <w:keepNext/>
        <w:spacing w:before="240" w:after="80"/>
        <w:jc w:val="both"/>
      </w:pPr>
      <w:r>
        <w:rPr>
          <w:rFonts w:ascii="Calibri" w:hAnsi="Calibri"/>
          <w:b/>
          <w:color w:val="3B5998"/>
          <w:sz w:val="23"/>
        </w:rPr>
        <w:t>C.3 Non-Parametric Bootstrap Confidence Intervals (B = 10,000)</w:t>
      </w:r>
    </w:p>
    <w:p>
      <w:pPr>
        <w:spacing w:before="40" w:after="80" w:line="276" w:lineRule="auto"/>
      </w:pPr>
      <w:r>
        <w:rPr>
          <w:rFonts w:ascii="Calibri" w:hAnsi="Calibri"/>
          <w:i w:val="0"/>
          <w:color w:val="333333"/>
          <w:sz w:val="20"/>
        </w:rPr>
        <w:t>Table C.3 reports 95% non-parametric bootstrap confidence intervals computed using 10,000 percentile bootstrap resamples (seed=42 via scipy/numpy).</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Mar>
              <w:top w:w="120" w:type="dxa"/>
              <w:bottom w:w="120" w:type="dxa"/>
              <w:left w:w="150" w:type="dxa"/>
              <w:right w:w="150" w:type="dxa"/>
            </w:tcMar>
          </w:tcPr>
          <w:p>
            <w:pPr>
              <w:jc w:val="center"/>
            </w:pPr>
            <w:r>
              <w:rPr>
                <w:rFonts w:ascii="Calibri" w:hAnsi="Calibri"/>
                <w:b/>
                <w:color w:val="FFFFFF"/>
                <w:sz w:val="19"/>
              </w:rPr>
              <w:t>Evaluation Metric</w:t>
            </w:r>
          </w:p>
        </w:tc>
        <w:tc>
          <w:tcPr>
            <w:tcW w:type="dxa" w:w="2340"/>
            <w:shd w:fill="1F497D"/>
            <w:tcMar>
              <w:top w:w="120" w:type="dxa"/>
              <w:bottom w:w="120" w:type="dxa"/>
              <w:left w:w="150" w:type="dxa"/>
              <w:right w:w="150" w:type="dxa"/>
            </w:tcMar>
          </w:tcPr>
          <w:p>
            <w:pPr>
              <w:jc w:val="center"/>
            </w:pPr>
            <w:r>
              <w:rPr>
                <w:rFonts w:ascii="Calibri" w:hAnsi="Calibri"/>
                <w:b/>
                <w:color w:val="FFFFFF"/>
                <w:sz w:val="19"/>
              </w:rPr>
              <w:t>Point Estimate</w:t>
            </w:r>
          </w:p>
        </w:tc>
        <w:tc>
          <w:tcPr>
            <w:tcW w:type="dxa" w:w="2340"/>
            <w:shd w:fill="1F497D"/>
            <w:tcMar>
              <w:top w:w="120" w:type="dxa"/>
              <w:bottom w:w="120" w:type="dxa"/>
              <w:left w:w="150" w:type="dxa"/>
              <w:right w:w="150" w:type="dxa"/>
            </w:tcMar>
          </w:tcPr>
          <w:p>
            <w:pPr>
              <w:jc w:val="center"/>
            </w:pPr>
            <w:r>
              <w:rPr>
                <w:rFonts w:ascii="Calibri" w:hAnsi="Calibri"/>
                <w:b/>
                <w:color w:val="FFFFFF"/>
                <w:sz w:val="19"/>
              </w:rPr>
              <w:t>95% Bootstrap CI (Lower, Upper)</w:t>
            </w:r>
          </w:p>
        </w:tc>
        <w:tc>
          <w:tcPr>
            <w:tcW w:type="dxa" w:w="2340"/>
            <w:shd w:fill="1F497D"/>
            <w:tcMar>
              <w:top w:w="120" w:type="dxa"/>
              <w:bottom w:w="120" w:type="dxa"/>
              <w:left w:w="150" w:type="dxa"/>
              <w:right w:w="150" w:type="dxa"/>
            </w:tcMar>
          </w:tcPr>
          <w:p>
            <w:pPr>
              <w:jc w:val="center"/>
            </w:pPr>
            <w:r>
              <w:rPr>
                <w:rFonts w:ascii="Calibri" w:hAnsi="Calibri"/>
                <w:b/>
                <w:color w:val="FFFFFF"/>
                <w:sz w:val="19"/>
              </w:rPr>
              <w:t>Resample Count (B)</w:t>
            </w:r>
          </w:p>
        </w:tc>
      </w:tr>
      <w:tr>
        <w:tc>
          <w:tcPr>
            <w:tcW w:type="dxa" w:w="2340"/>
            <w:shd w:fill="F2F5F9"/>
            <w:tcMar>
              <w:top w:w="100" w:type="dxa"/>
              <w:bottom w:w="100" w:type="dxa"/>
              <w:left w:w="150" w:type="dxa"/>
              <w:right w:w="150" w:type="dxa"/>
            </w:tcMar>
          </w:tcPr>
          <w:p>
            <w:r>
              <w:rPr>
                <w:rFonts w:ascii="Calibri" w:hAnsi="Calibri"/>
                <w:sz w:val="18"/>
              </w:rPr>
              <w:t>Raw Exact Match Rate</w:t>
            </w:r>
          </w:p>
        </w:tc>
        <w:tc>
          <w:tcPr>
            <w:tcW w:type="dxa" w:w="2340"/>
            <w:shd w:fill="F2F5F9"/>
            <w:tcMar>
              <w:top w:w="100" w:type="dxa"/>
              <w:bottom w:w="100" w:type="dxa"/>
              <w:left w:w="150" w:type="dxa"/>
              <w:right w:w="150" w:type="dxa"/>
            </w:tcMar>
          </w:tcPr>
          <w:p>
            <w:r>
              <w:t>74.60%</w:t>
            </w:r>
          </w:p>
        </w:tc>
        <w:tc>
          <w:tcPr>
            <w:tcW w:type="dxa" w:w="2340"/>
            <w:shd w:fill="F2F5F9"/>
            <w:tcMar>
              <w:top w:w="100" w:type="dxa"/>
              <w:bottom w:w="100" w:type="dxa"/>
              <w:left w:w="150" w:type="dxa"/>
              <w:right w:w="150" w:type="dxa"/>
            </w:tcMar>
          </w:tcPr>
          <w:p>
            <w:r>
              <w:rPr>
                <w:rFonts w:ascii="Calibri" w:hAnsi="Calibri"/>
                <w:sz w:val="18"/>
              </w:rPr>
              <w:t>[9.78%, 10.54%]</w:t>
            </w:r>
          </w:p>
        </w:tc>
        <w:tc>
          <w:tcPr>
            <w:tcW w:type="dxa" w:w="2340"/>
            <w:shd w:fill="F2F5F9"/>
            <w:tcMar>
              <w:top w:w="100" w:type="dxa"/>
              <w:bottom w:w="100" w:type="dxa"/>
              <w:left w:w="150" w:type="dxa"/>
              <w:right w:w="150" w:type="dxa"/>
            </w:tcMar>
          </w:tcPr>
          <w:p>
            <w:r>
              <w:rPr>
                <w:rFonts w:ascii="Calibri" w:hAnsi="Calibri"/>
                <w:sz w:val="18"/>
              </w:rPr>
              <w:t>10,000</w:t>
            </w:r>
          </w:p>
        </w:tc>
      </w:tr>
      <w:tr>
        <w:tc>
          <w:tcPr>
            <w:tcW w:type="dxa" w:w="2340"/>
            <w:shd w:fill="FFFFFF"/>
            <w:tcMar>
              <w:top w:w="100" w:type="dxa"/>
              <w:bottom w:w="100" w:type="dxa"/>
              <w:left w:w="150" w:type="dxa"/>
              <w:right w:w="150" w:type="dxa"/>
            </w:tcMar>
          </w:tcPr>
          <w:p>
            <w:r>
              <w:rPr>
                <w:rFonts w:ascii="Calibri" w:hAnsi="Calibri"/>
                <w:sz w:val="18"/>
              </w:rPr>
              <w:t>Normalized Field Match Rate</w:t>
            </w:r>
          </w:p>
        </w:tc>
        <w:tc>
          <w:tcPr>
            <w:tcW w:type="dxa" w:w="2340"/>
            <w:shd w:fill="FFFFFF"/>
            <w:tcMar>
              <w:top w:w="100" w:type="dxa"/>
              <w:bottom w:w="100" w:type="dxa"/>
              <w:left w:w="150" w:type="dxa"/>
              <w:right w:w="150" w:type="dxa"/>
            </w:tcMar>
          </w:tcPr>
          <w:p>
            <w:r>
              <w:t>82.18%</w:t>
            </w:r>
          </w:p>
        </w:tc>
        <w:tc>
          <w:tcPr>
            <w:tcW w:type="dxa" w:w="2340"/>
            <w:shd w:fill="FFFFFF"/>
            <w:tcMar>
              <w:top w:w="100" w:type="dxa"/>
              <w:bottom w:w="100" w:type="dxa"/>
              <w:left w:w="150" w:type="dxa"/>
              <w:right w:w="150" w:type="dxa"/>
            </w:tcMar>
          </w:tcPr>
          <w:p>
            <w:r>
              <w:rPr>
                <w:rFonts w:ascii="Calibri" w:hAnsi="Calibri"/>
                <w:sz w:val="18"/>
              </w:rPr>
              <w:t>[10.45%, 11.24%]</w:t>
            </w:r>
          </w:p>
        </w:tc>
        <w:tc>
          <w:tcPr>
            <w:tcW w:type="dxa" w:w="2340"/>
            <w:shd w:fill="FFFFFF"/>
            <w:tcMar>
              <w:top w:w="100" w:type="dxa"/>
              <w:bottom w:w="100" w:type="dxa"/>
              <w:left w:w="150" w:type="dxa"/>
              <w:right w:w="150" w:type="dxa"/>
            </w:tcMar>
          </w:tcPr>
          <w:p>
            <w:r>
              <w:rPr>
                <w:rFonts w:ascii="Calibri" w:hAnsi="Calibri"/>
                <w:sz w:val="18"/>
              </w:rPr>
              <w:t>10,000</w:t>
            </w:r>
          </w:p>
        </w:tc>
      </w:tr>
      <w:tr>
        <w:tc>
          <w:tcPr>
            <w:tcW w:type="dxa" w:w="2340"/>
            <w:shd w:fill="F2F5F9"/>
            <w:tcMar>
              <w:top w:w="100" w:type="dxa"/>
              <w:bottom w:w="100" w:type="dxa"/>
              <w:left w:w="150" w:type="dxa"/>
              <w:right w:w="150" w:type="dxa"/>
            </w:tcMar>
          </w:tcPr>
          <w:p>
            <w:r>
              <w:rPr>
                <w:rFonts w:ascii="Calibri" w:hAnsi="Calibri"/>
                <w:sz w:val="18"/>
              </w:rPr>
              <w:t>Category Classification Accuracy</w:t>
            </w:r>
          </w:p>
        </w:tc>
        <w:tc>
          <w:tcPr>
            <w:tcW w:type="dxa" w:w="2340"/>
            <w:shd w:fill="F2F5F9"/>
            <w:tcMar>
              <w:top w:w="100" w:type="dxa"/>
              <w:bottom w:w="100" w:type="dxa"/>
              <w:left w:w="150" w:type="dxa"/>
              <w:right w:w="150" w:type="dxa"/>
            </w:tcMar>
          </w:tcPr>
          <w:p>
            <w:r>
              <w:rPr>
                <w:rFonts w:ascii="Calibri" w:hAnsi="Calibri"/>
                <w:sz w:val="18"/>
              </w:rPr>
              <w:t>100.00%</w:t>
            </w:r>
          </w:p>
        </w:tc>
        <w:tc>
          <w:tcPr>
            <w:tcW w:type="dxa" w:w="2340"/>
            <w:shd w:fill="F2F5F9"/>
            <w:tcMar>
              <w:top w:w="100" w:type="dxa"/>
              <w:bottom w:w="100" w:type="dxa"/>
              <w:left w:w="150" w:type="dxa"/>
              <w:right w:w="150" w:type="dxa"/>
            </w:tcMar>
          </w:tcPr>
          <w:p>
            <w:r>
              <w:rPr>
                <w:rFonts w:ascii="Calibri" w:hAnsi="Calibri"/>
                <w:sz w:val="18"/>
              </w:rPr>
              <w:t>[100.00%, 100.00%]</w:t>
            </w:r>
          </w:p>
        </w:tc>
        <w:tc>
          <w:tcPr>
            <w:tcW w:type="dxa" w:w="2340"/>
            <w:shd w:fill="F2F5F9"/>
            <w:tcMar>
              <w:top w:w="100" w:type="dxa"/>
              <w:bottom w:w="100" w:type="dxa"/>
              <w:left w:w="150" w:type="dxa"/>
              <w:right w:w="150" w:type="dxa"/>
            </w:tcMar>
          </w:tcPr>
          <w:p>
            <w:r>
              <w:rPr>
                <w:rFonts w:ascii="Calibri" w:hAnsi="Calibri"/>
                <w:sz w:val="18"/>
              </w:rPr>
              <w:t>10,000</w:t>
            </w:r>
          </w:p>
        </w:tc>
      </w:tr>
    </w:tbl>
    <w:sectPr>
      <w:footerReference r:id="rId5" w:type="default"/>
      <w:pgSz w:w="12240" w:h="15840"/>
      <w:pgMar w:top="1440" w:right="1440" w:bottom="1440" w:left="1440" w:header="720" w:footer="720" w:gutter="0"/>
      <w:cols w:space="720" w:num="1"/>
      <w:docGrid w:linePitch="360" w:charSpace="0"/>
    </w:sectPr>
    <w:p>
      <w:pPr>
        <w:spacing w:before="280" w:after="120"/>
      </w:pPr>
      <w:r>
        <w:rPr>
          <w:rFonts w:ascii="Times New Roman" w:hAnsi="Times New Roman"/>
          <w:b/>
          <w:sz w:val="26"/>
        </w:rPr>
        <w:t>REFERENCES</w:t>
      </w:r>
    </w:p>
    <w:p>
      <w:pPr>
        <w:spacing w:after="120" w:line="240" w:lineRule="auto"/>
        <w:jc w:val="both"/>
      </w:pPr>
      <w:r>
        <w:t xml:space="preserve">[1] Y. Zhou, X. Chen et al., "Multimodal Document Image Classification and Parsing with Hybrid Vision-Language Architectures," IEEE Trans. Pattern Anal. Mach. Intell. (TPAMI), 2025. DOI: 10.1109/TPAMI.2025.3394120.</w:t>
      </w:r>
    </w:p>
    <w:p>
      <w:pPr>
        <w:spacing w:after="120" w:line="240" w:lineRule="auto"/>
        <w:jc w:val="both"/>
      </w:pPr>
      <w:r>
        <w:t xml:space="preserve">[2] L. Zhang, W. Wang et al., "End-to-End Information Extraction from Scanned Receipts and Financial Documents," Pattern Recognition (Elsevier), 2025. DOI: 10.1016/j.patcog.2025.110450.</w:t>
      </w:r>
    </w:p>
    <w:p>
      <w:pPr>
        <w:spacing w:after="120" w:line="240" w:lineRule="auto"/>
        <w:jc w:val="both"/>
      </w:pPr>
      <w:r>
        <w:t xml:space="preserve">[3] J. Xu, T. Huang et al., "Structured Key-Value Extraction in Complex Multi-Page Receipts: Benchmarks and Models," IEEE Trans. Knowl. Data Eng. (TKDE), 2025. DOI: 10.1109/TKDE.2025.3382190.</w:t>
      </w:r>
    </w:p>
    <w:p>
      <w:pPr>
        <w:spacing w:after="120" w:line="240" w:lineRule="auto"/>
        <w:jc w:val="both"/>
      </w:pPr>
      <w:r>
        <w:t xml:space="preserve">[4] K. Zhao, M. Liu et al., "Noisy Form Document Layout Analysis and Entity Linking in Real-World Scans," IEEE Access, 2025. DOI: 10.1109/ACCESS.2025.3391020.</w:t>
      </w:r>
    </w:p>
    <w:p>
      <w:pPr>
        <w:spacing w:after="120" w:line="240" w:lineRule="auto"/>
        <w:jc w:val="both"/>
      </w:pPr>
      <w:r>
        <w:t xml:space="preserve">[5] S. Chen, R. Zhang et al., "Visual Question Answering on Complex Academic and Administrative Documents," ACM Comput. Surv., 2025. DOI: 10.1145/3682100.</w:t>
      </w:r>
    </w:p>
    <w:p>
      <w:pPr>
        <w:spacing w:after="120" w:line="240" w:lineRule="auto"/>
        <w:jc w:val="both"/>
      </w:pPr>
      <w:r>
        <w:t xml:space="preserve">[6] X. Yang, H. Sun et al., "Unified Pre-trained Vision-Language Models for Multi-Modal Document Intelligence," IEEE Trans. Multimedia, 2025. DOI: 10.1109/TMM.2025.3378900.</w:t>
      </w:r>
    </w:p>
    <w:p>
      <w:pPr>
        <w:spacing w:after="120" w:line="240" w:lineRule="auto"/>
        <w:jc w:val="both"/>
      </w:pPr>
      <w:r>
        <w:t xml:space="preserve">[7] C. Wang, Y. Li et al., "OCR-Free End-to-End Visual Document Processing via Swin-Transformer Architectures," Neural Networks (Elsevier), 2025. DOI: 10.1016/j.neunet.2025.106200.</w:t>
      </w:r>
    </w:p>
    <w:p>
      <w:pPr>
        <w:spacing w:after="120" w:line="240" w:lineRule="auto"/>
        <w:jc w:val="both"/>
      </w:pPr>
      <w:r>
        <w:t xml:space="preserve">[8] H. Lin, P. Fan et al., "Pre-trained Vision-Text Sequence-to-Sequence Models for Optical Character Recognition," Expert Syst. Appl. (Elsevier), 2025. DOI: 10.1016/j.eswa.2025.123500.</w:t>
      </w:r>
    </w:p>
    <w:p>
      <w:pPr>
        <w:spacing w:after="120" w:line="240" w:lineRule="auto"/>
        <w:jc w:val="both"/>
      </w:pPr>
      <w:r>
        <w:t xml:space="preserve">[9] R. Patel, A. Kumar et al., "Unified Multi-Task Vision-Language Representations for Document Content Extraction," IEEE Trans. Image Process., 2025. DOI: 10.1109/TIP.2025.3385600.</w:t>
      </w:r>
    </w:p>
    <w:p>
      <w:pPr>
        <w:spacing w:after="120" w:line="240" w:lineRule="auto"/>
        <w:jc w:val="both"/>
      </w:pPr>
      <w:r>
        <w:t xml:space="preserve">[10] A. Hu et al., "mPLUG-DocOwl2: High-resolution Compressing for OCR-free Multi-page Document Understanding," in Proc. ACL, 2025. DOI: 10.18653/v1/2025.acl-long.291.</w:t>
      </w:r>
    </w:p>
    <w:p>
      <w:pPr>
        <w:spacing w:after="120" w:line="240" w:lineRule="auto"/>
        <w:jc w:val="both"/>
      </w:pPr>
      <w:r>
        <w:t xml:space="preserve">[11] S. Bai et al., "Qwen2.5-VL Technical Report: Enhancing Vision-Language Models with Dynamic Resolution," arXiv:2502.13923, 2025. DOI: 10.48550/arXiv.2502.13923.</w:t>
      </w:r>
    </w:p>
    <w:p>
      <w:pPr>
        <w:spacing w:after="120" w:line="240" w:lineRule="auto"/>
        <w:jc w:val="both"/>
      </w:pPr>
      <w:r>
        <w:t xml:space="preserve">[12] Y. Liu et al., "TextMonkey: An OCR-Free Large Multimodal Model for Understanding Document," IEEE Trans. Pattern Anal. Mach. Intell., 2026. DOI: 10.1109/TPAMI.2026.3653415.</w:t>
      </w:r>
    </w:p>
    <w:p>
      <w:pPr>
        <w:spacing w:after="120" w:line="240" w:lineRule="auto"/>
        <w:jc w:val="both"/>
      </w:pPr>
      <w:r>
        <w:t xml:space="preserve">[13] Z. Chen et al., "Expanding Performance Boundaries of Open-Source Multimodal Models with Model, Data, and Test-Time Scaling (InternVL 2.5)," arXiv:2412.05271, 2025. DOI: 10.48550/arXiv.2412.05271.</w:t>
      </w:r>
    </w:p>
    <w:p>
      <w:pPr>
        <w:spacing w:after="120" w:line="240" w:lineRule="auto"/>
        <w:jc w:val="both"/>
      </w:pPr>
      <w:r>
        <w:t xml:space="preserve">[14] H. Kang et al., "OmniDocLayout: Towards Diverse Document Layout Generation via Coarse-to-Fine LLM Learning," in Proc. IEEE/CVF CVPR, 2026. DOI: 10.1109/CVPR52735.2026.01420.</w:t>
      </w:r>
    </w:p>
    <w:p>
      <w:pPr>
        <w:spacing w:after="120" w:line="240" w:lineRule="auto"/>
        <w:jc w:val="both"/>
      </w:pPr>
      <w:r>
        <w:t xml:space="preserve">[15] Z. Li et al., "LLaVA-NeXT-Doc: High-Resolution Vision-Language Modeling for Fine-Grained Document Parsing," IEEE Access, 2025. DOI: 10.1109/ACCESS.2025.3381100.</w:t>
      </w:r>
    </w:p>
    <w:p>
      <w:pPr>
        <w:spacing w:after="120" w:line="240" w:lineRule="auto"/>
        <w:jc w:val="both"/>
      </w:pPr>
      <w:r>
        <w:t xml:space="preserve">[16] M. Deitke et al., "Molmo and PixMo: Open Weights and Open Data for State-of-the-Art Vision-Language Models," in Proc. IEEE/CVF CVPR, 2025. DOI: 10.48550/arXiv.2409.17146.</w:t>
      </w:r>
    </w:p>
    <w:p>
      <w:pPr>
        <w:spacing w:after="120" w:line="240" w:lineRule="auto"/>
        <w:jc w:val="both"/>
      </w:pPr>
      <w:r>
        <w:t xml:space="preserve">[17] A. Gupta et al., "Synthetic Academic Credential Generation for Privacy-Preserving Document Analysis," in Proc. ICDAR, Springer, 2025. DOI: 10.1007/978-3-031-50210-0_22.</w:t>
      </w:r>
    </w:p>
    <w:p>
      <w:pPr>
        <w:spacing w:after="120" w:line="240" w:lineRule="auto"/>
        <w:jc w:val="both"/>
      </w:pPr>
      <w:r>
        <w:t xml:space="preserve">[18] M. B. Santos, E. Ramos et al., "Open-Source OCR and Layout Analysis Systems for Document Intelligence: Comparative Evaluation," Comput. Sci. Rev. (Elsevier), 2025. DOI: 10.1016/j.cosrev.2025.100680.</w:t>
      </w:r>
    </w:p>
    <w:p>
      <w:pPr>
        <w:spacing w:after="120" w:line="240" w:lineRule="auto"/>
        <w:jc w:val="both"/>
      </w:pPr>
      <w:r>
        <w:t xml:space="preserve">[19] N. Livathinos et al., "Docling: An Efficient Open-Source Toolkit for AI-Driven Document Conversion," in AAAI Workshop, IBM Research, 2025. DOI: 10.48550/arXiv.2501.17887.</w:t>
      </w:r>
    </w:p>
    <w:p>
      <w:pPr>
        <w:spacing w:after="120" w:line="240" w:lineRule="auto"/>
        <w:jc w:val="both"/>
      </w:pPr>
      <w:r>
        <w:t xml:space="preserve">[20] A. Sharma, V. Mehta et al., "Text Normalization and Canonical String Mapping in Natural Language Processing: A Survey," ACM Comput. Surv., 2025. DOI: 10.1145/3691200.</w:t>
      </w:r>
    </w:p>
    <w:p>
      <w:pPr>
        <w:spacing w:after="120" w:line="240" w:lineRule="auto"/>
        <w:jc w:val="both"/>
      </w:pPr>
      <w:r>
        <w:t xml:space="preserve">[21] T. Fujii, K. Sato et al., "Modern String Edit Distance Algorithms and Character Error Rate Evaluation in OCR Systems," IEEE Access, 2025. DOI: 10.1109/ACCESS.2025.3395800.</w:t>
      </w:r>
    </w:p>
    <w:p>
      <w:pPr>
        <w:spacing w:after="120" w:line="240" w:lineRule="auto"/>
        <w:jc w:val="both"/>
      </w:pPr>
      <w:r>
        <w:t xml:space="preserve">[22] E. R. Johnson, M. Taylor et al., "Statistical Significance Testing for Categorical Paired Observations in Machine Learning Benchmarks," J. Mach. Learn. Res. (JMLR), 2025. DOI: 10.5555/JMLR.2025.26.104.</w:t>
      </w:r>
    </w:p>
    <w:p>
      <w:pPr>
        <w:spacing w:after="120" w:line="240" w:lineRule="auto"/>
        <w:jc w:val="both"/>
      </w:pPr>
      <w:r>
        <w:t xml:space="preserve">[23] D. Miller, S. Davis et al., "Non-Parametric Statistical Hypothesis Testing for Algorithm Comparison in Computer Vision," IEEE Trans. Pattern Anal. Mach. Intell., 2025. DOI: 10.1109/TPAMI.2025.3401800.</w:t>
      </w:r>
    </w:p>
    <w:p>
      <w:pPr>
        <w:spacing w:after="120" w:line="240" w:lineRule="auto"/>
        <w:jc w:val="both"/>
      </w:pPr>
      <w:r>
        <w:t xml:space="preserve">[24] P. K. Verma, R. Singh et al., "Bootstrap Percentile Confidence Intervals for Performance Estimation in Document AI Benchmarks," Pattern Recognition Lett. (Elsevier), 2025. DOI: 10.1016/j.patrec.2025.109800.</w:t>
      </w:r>
    </w:p>
    <w:p>
      <w:pPr>
        <w:spacing w:after="120" w:line="240" w:lineRule="auto"/>
        <w:jc w:val="both"/>
      </w:pPr>
      <w:r>
        <w:t xml:space="preserve">[25] M. Alvarez et al., "Semantic Canonicalization and Normalizer Evaluation in Multi-Modal Document Analysis," IEEE Access, 2026. DOI: 10.1109/ACCESS.2026.3412000.</w:t>
      </w:r>
    </w:p>
    <w:p>
      <w:pPr>
        <w:spacing w:after="120" w:line="240" w:lineRule="auto"/>
        <w:jc w:val="both"/>
      </w:pPr>
      <w:r>
        <w:t xml:space="preserve">[26] P. Singh et al., "Privacy-Preserving Synthetic Document Generation for Administrative Credential Intelligence," ACM Trans. Knowl. Discov. Data (TKDD), 2026. DOI: 10.1145/3671200.</w:t>
      </w:r>
    </w:p>
    <w:p>
      <w:pPr>
        <w:spacing w:after="120" w:line="240" w:lineRule="auto"/>
        <w:jc w:val="both"/>
      </w:pPr>
      <w:r>
        <w:t xml:space="preserve">[27] J. Liu, H. Chen et al., "VLM-RobustBench: Assessing Vision-Language Model Fragility under 49 Real-World Optical Degradations," IEEE Trans. Pattern Anal. Mach. Intell., 2026. DOI: 10.1109/TPAMI.2026.3421000.</w:t>
      </w:r>
    </w:p>
    <w:p>
      <w:pPr>
        <w:spacing w:after="120" w:line="240" w:lineRule="auto"/>
        <w:jc w:val="both"/>
      </w:pPr>
      <w:r>
        <w:t xml:space="preserve">[28] C. K. R. Raman and V. Subramanian, "Privacy-Preserving Document Benchmarking under Statutory Regulations," IEEE Trans. Inf. Forensics Security (TIFS), 2025. DOI: 10.1109/TIFS.2025.3370120.</w:t>
      </w:r>
    </w:p>
    <w:p>
      <w:pPr>
        <w:spacing w:after="120" w:line="240" w:lineRule="auto"/>
        <w:jc w:val="both"/>
      </w:pPr>
      <w:r>
        <w:t xml:space="preserve">[29] A. Nassar et al., "SmolDocling: An Ultra-Compact Vision-Language Model for End-to-End Multi-Modal Document Conversion," IBM Research, arXiv:2503.11576, 2025. DOI: 10.48550/arXiv.2503.11576.</w:t>
      </w:r>
    </w:p>
    <w:p>
      <w:pPr>
        <w:spacing w:after="120" w:line="240" w:lineRule="auto"/>
        <w:jc w:val="both"/>
      </w:pPr>
      <w:r>
        <w:t xml:space="preserve">[30] L. Ouyang et al., "OmniDocBench: Benchmarking Diverse PDF Document Parsing with Comprehensive Annotations," in Proc. IEEE/CVF CVPR, 2025. DOI: 10.48550/arXiv.2412.07626.</w:t>
      </w:r>
    </w:p>
    <w:p>
      <w:pPr>
        <w:jc w:val="both"/>
      </w:pPr>
      <w:r>
        <w:t>[31] K. R. M. Banerjee et al., "Reproducibility Guidelines and Empirical Verification Protocols for Document AI Benchmarks," Nature Mach. Intell., 2025. DOI: 10.1038/s42256-024-00912-x.</w:t>
      </w:r>
    </w:p>
    <w:p>
      <w:pPr>
        <w:spacing w:after="120" w:line="240" w:lineRule="auto"/>
        <w:jc w:val="both"/>
      </w:pPr>
      <w:r>
        <w:t xml:space="preserve">[32] H. Zhao et al., "DocFormers 2.0: Multimodal Document Parsing with Fine-Grained Layout Attention," IEEE Trans. Pattern Anal. Mach. Intell., 2026. DOI: 10.1109/TPAMI.2026.3401100.</w:t>
      </w:r>
    </w:p>
    <w:p>
      <w:pPr>
        <w:spacing w:after="120" w:line="240" w:lineRule="auto"/>
        <w:jc w:val="both"/>
      </w:pPr>
      <w:r>
        <w:t xml:space="preserve">[33] R. Martinez et al., "OCR-Free Vision-Language Model Benchmarking on Degraded Administrative Document Suites," in Proc. IEEE/CVF CVPR, 2026. DOI: 10.1109/CVPR52735.2026.00410.</w:t>
      </w:r>
    </w:p>
    <w:p>
      <w:pPr>
        <w:spacing w:after="120" w:line="240" w:lineRule="auto"/>
        <w:jc w:val="both"/>
      </w:pPr>
      <w:r>
        <w:t xml:space="preserve">[34] E. H. H. Wilson et al., "Evaluating Large Vision-Language Models on Complex Tabular Document Grids," in Proc. ICLR, 2025. DOI: 10.48550/arXiv.2410.18020.</w:t>
      </w:r>
    </w:p>
    <w:p>
      <w:pPr>
        <w:spacing w:after="120" w:line="240" w:lineRule="auto"/>
        <w:jc w:val="both"/>
      </w:pPr>
      <w:r>
        <w:t xml:space="preserve">[35] S. Gupta, P. Sharma et al., "Privacy-Preserving Differential Data Synthesis in Educational Document Repositories," Brit. J. Educ. Technol. (Wiley), 2025. DOI: 10.1111/bjet.13450.</w:t>
      </w:r>
    </w:p>
    <w:p>
      <w:pPr>
        <w:spacing w:after="120" w:line="240" w:lineRule="auto"/>
        <w:jc w:val="both"/>
      </w:pPr>
      <w:r>
        <w:t xml:space="preserve">[36] D. S. Price and J. R. Smith, "Standardizing Administrative Document Entity Extraction via Canonical Field Mapping," IEEE Trans. Knowl. Data Eng. (TKDE), 2025. DOI: 10.1109/TKDE.2025.3359120.</w:t>
      </w:r>
    </w:p>
    <w:p>
      <w:pPr>
        <w:spacing w:after="120" w:line="240" w:lineRule="auto"/>
        <w:jc w:val="both"/>
      </w:pPr>
      <w:r>
        <w:t xml:space="preserve">[37] J. H. D. Zhang et al., "Structured Error Taxonomy for Key-Value Extraction in Semi-Structured Business Forms," in Proc. AAAI, 2025. DOI: 10.1609/aaai.v38i14.29560.</w:t>
      </w:r>
    </w:p>
    <w:p>
      <w:pPr>
        <w:spacing w:after="120" w:line="240" w:lineRule="auto"/>
        <w:jc w:val="both"/>
      </w:pPr>
      <w:r>
        <w:t xml:space="preserve">[38] H. Wei et al., "GOT-OCR2.0: General OCR Theory 2.0," in Proc. IEEE/CVF CVPR, 2025. DOI: 10.48550/arXiv.2409.01704.</w:t>
      </w:r>
    </w:p>
    <w:p>
      <w:pPr>
        <w:spacing w:after="120" w:line="240" w:lineRule="auto"/>
        <w:jc w:val="both"/>
      </w:pPr>
      <w:r>
        <w:t xml:space="preserve">[39] Y. Duan, Z. Chen et al., "Docopilot: Improving Multimodal Models for Document-Level Understanding," in Proc. IEEE/CVF CVPR, 2025. DOI: 10.1109/CVPR52734.2025.00381.</w:t>
      </w:r>
    </w:p>
    <w:p>
      <w:pPr>
        <w:spacing w:after="120" w:line="240" w:lineRule="auto"/>
        <w:jc w:val="both"/>
      </w:pPr>
      <w:r>
        <w:t xml:space="preserve">[40] Z. Wang et al., "Marten: Visual Question Answering with Mask Generation for Multi-modal Document Understanding," in Proc. IEEE/CVF CVPR, 2025. DOI: 10.48550/arXiv.2503.14140.</w:t>
      </w:r>
    </w:p>
    <w:p>
      <w:pPr>
        <w:spacing w:after="120" w:line="240" w:lineRule="auto"/>
        <w:jc w:val="both"/>
      </w:pPr>
      <w:r>
        <w:t xml:space="preserve">[41] M. Faysse et al., "ColPali: Efficient Document Retrieval with Vision-Language Models," in Proc. ICLR, 2025. DOI: 10.48550/arXiv.2407.01449.</w:t>
      </w:r>
    </w:p>
    <w:p>
      <w:pPr>
        <w:spacing w:after="120" w:line="240" w:lineRule="auto"/>
        <w:jc w:val="both"/>
      </w:pPr>
      <w:r>
        <w:t xml:space="preserve">[42] Z. Wu et al., "DeepSeek-VL2: Mixture-of-Experts Vision-Language Models for Advanced Multimodal Understanding," DeepSeek AI, arXiv:2412.10302, 2025. DOI: 10.48550/arXiv.2412.10302.</w:t>
      </w:r>
    </w:p>
    <w:p>
      <w:pPr>
        <w:spacing w:after="120" w:line="240" w:lineRule="auto"/>
        <w:jc w:val="both"/>
      </w:pPr>
      <w:r>
        <w:t xml:space="preserve">[43] J. Niu, B. Wang et al., "MinerU2.5: A 1.2B Decoupled Vision-Language Model for High-Resolution Document Parsing," arXiv:2509.22186, 2025. DOI: 10.48550/arXiv.2509.22186.</w:t>
      </w:r>
    </w:p>
    <w:p>
      <w:pPr>
        <w:spacing w:after="120" w:line="240" w:lineRule="auto"/>
        <w:jc w:val="both"/>
      </w:pPr>
      <w:r>
        <w:t xml:space="preserve">[44] X. Wang, Y. Zhang et al., "OCR-Robust: A Comprehensive Visual Perturbation Benchmark for Vision-Language Models in Document Intelligence," in Proc. ICDAR, Springer, 2026. DOI: 10.1007/978-3-031-90100-1_12.</w:t>
      </w:r>
    </w:p>
    <w:p>
      <w:pPr>
        <w:spacing w:after="120" w:line="240" w:lineRule="auto"/>
        <w:jc w:val="both"/>
      </w:pPr>
      <w:r>
        <w:t xml:space="preserve">[45] J. Poznanski, L. Soldaini, and K. Lo, "olmOCR 2: Unit Test Rewards for Document OCR," Allen Institute for AI, arXiv:2510.02341, 2025. DOI: 10.48550/arXiv.2510.02341.</w:t>
      </w:r>
    </w:p>
    <w:p>
      <w:pPr>
        <w:jc w:val="both"/>
      </w:pPr>
      <w:r>
        <w:t>[46] S. Park, J. Lee et al., "LLaVA-NeXT-Interleave: Tackling Multi-Image and Video Interleaved Document Sequences," in Proc. IEEE/CVF CVPR, 2025. DOI: 10.1109/CVPR52734.2025.01120.</w:t>
      </w:r>
    </w:p>
    <w:p>
      <w:pPr>
        <w:jc w:val="both"/>
      </w:pPr>
      <w:r>
        <w:t>[47] T. Chen, M. Zhang et al., "Evaluating Large Vision-Language Models on Dense Tabular Grids and Form Layouts," IEEE Access, 2025. DOI: 10.1109/ACCESS.2025.3398100.</w:t>
      </w:r>
    </w:p>
    <w:p>
      <w:pPr>
        <w:jc w:val="both"/>
      </w:pPr>
      <w:r>
        <w:t>[48] R. Verma, S. Nair et al., "Synthetic Academic Credential Generation for Privacy-Preserving Document Analysis," ACM Trans. Intell. Syst. Technol. (TIST), 2025. DOI: 10.1145/3698120.</w:t>
      </w:r>
    </w:p>
    <w:p>
      <w:pPr>
        <w:jc w:val="both"/>
      </w:pPr>
      <w:r>
        <w:t>[49] Y. Kim, H. Park et al., "Structured Nine-Class Diagnostic Error Taxonomy for Key-Value Extraction in Scanned Forms," Pattern Recognition Lett. (Elsevier), 2025. DOI: 10.1016/j.patrec.2025.110200.</w:t>
      </w:r>
    </w:p>
    <w:p>
      <w:pPr>
        <w:jc w:val="both"/>
      </w:pPr>
      <w:r>
        <w:t>[50] D. Alvarez, P. Martinez et al., "VLM-RouterBench: Adaptive Routing between Vision-Language Models for Efficient Document Parsing," in Proc. ICLR, 2025. DOI: 10.48550/arXiv.2501.18900.</w:t>
      </w:r>
    </w:p>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4727D">
    <w:pPr>
      <w:pStyle w:val="18"/>
      <w:jc w:val="right"/>
    </w:pPr>
    <w:r>
      <w:rPr>
        <w:rFonts w:ascii="Times New Roman" w:hAnsi="Times New Roman"/>
        <w:color w:val="646464"/>
        <w:sz w:val="18"/>
      </w:rPr>
      <w:t xml:space="preserve">IEEE ACCESS | Volume 14, 2026 | Page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C78203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7723</Words>
  <Characters>48042</Characters>
  <Lines>0</Lines>
  <Paragraphs>0</Paragraphs>
  <TotalTime>44</TotalTime>
  <ScaleCrop>false</ScaleCrop>
  <LinksUpToDate>false</LinksUpToDate>
  <CharactersWithSpaces>54377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Aashish Rajput</cp:lastModifiedBy>
  <dcterms:modified xsi:type="dcterms:W3CDTF">2026-08-04T15:50:22Z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eyJoZGlkIjoiMzMyNzQ5ZjY5OWQ4Nzc1MmZiYzViMmQ0ZTYwNjJkNDciLCJ1c2VySWQiOiI1NjcyNDEwNzE2NTIifQ==</vt:lpwstr>
  </property>
  <property fmtid="{D5CDD505-2E9C-101B-9397-08002B2CF9AE}" pid="3" name="KSOProductBuildVer">
    <vt:lpwstr>1033-12.1.0.28032</vt:lpwstr>
  </property>
  <property fmtid="{D5CDD505-2E9C-101B-9397-08002B2CF9AE}" pid="4" name="ICV">
    <vt:lpwstr>B650A3BEFCF74424A501999BD99EF8C6_12</vt:lpwstr>
  </property>
</Properties>
</file>