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jc w:val="both"/>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jc w:val="both"/>
      </w:pPr>
      <w:r>
        <w:rPr>
          <w:rFonts w:ascii="Times New Roman" w:hAnsi="Times New Roman"/>
          <w:b/>
          <w:color w:val="003366"/>
          <w:sz w:val="26"/>
        </w:rPr>
        <w:t>Abstract</w:t>
      </w:r>
    </w:p>
    <w:p w14:paraId="60F0607A">
      <w:pPr>
        <w:spacing w:before="40" w:after="80" w:line="276" w:lineRule="auto"/>
        <w:jc w:val="both"/>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jc w:val="both"/>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r>
        <w:rPr/>
      </w:r>
      <w:r>
        <w:rPr/>
      </w:r>
      <w:r>
        <w:rPr/>
        <w:t>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75.23% Field Extraction F1 score and 8.21% Character Error Rate (CER) (11.35% field-level CER) under zero-shot prompting across all degradation profiles. Furthermore, category classification achieved 100.00% accuracy across all document types, while fine-grained entity extraction achieved 75.23%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jc w:val="both"/>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jc w:val="both"/>
      </w:pPr>
      <w:r>
        <w:rPr>
          <w:rFonts w:ascii="Times New Roman" w:hAnsi="Times New Roman"/>
          <w:b/>
          <w:color w:val="003366"/>
          <w:sz w:val="26"/>
        </w:rPr>
        <w:t>1. Introduction</w:t>
      </w:r>
    </w:p>
    <w:p w14:paraId="1472CF58">
      <w:pPr>
        <w:keepNext/>
        <w:spacing w:before="200" w:after="80"/>
        <w:jc w:val="both"/>
      </w:pPr>
      <w:r>
        <w:rPr>
          <w:rFonts w:ascii="Times New Roman" w:hAnsi="Times New Roman"/>
          <w:b/>
          <w:color w:val="333333"/>
          <w:sz w:val="23"/>
        </w:rPr>
        <w:t>1.1 Background &amp; Motivation</w:t>
      </w:r>
    </w:p>
    <w:p w14:paraId="68481526">
      <w:pPr>
        <w:spacing w:before="40" w:after="80" w:line="276" w:lineRule="auto"/>
        <w:jc w:val="both"/>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jc w:val="both"/>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jc w:val="both"/>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jc w:val="both"/>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jc w:val="both"/>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jc w:val="both"/>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jc w:val="both"/>
      </w:pPr>
      <w:r>
        <w:rPr>
          <w:rFonts w:ascii="Times New Roman" w:hAnsi="Times New Roman"/>
          <w:b/>
          <w:color w:val="333333"/>
          <w:sz w:val="23"/>
        </w:rPr>
        <w:t>1.2 Research Objectives</w:t>
      </w:r>
    </w:p>
    <w:p w14:paraId="613B7587">
      <w:pPr>
        <w:spacing w:before="40" w:after="80" w:line="276" w:lineRule="auto"/>
        <w:jc w:val="both"/>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jc w:val="both"/>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jc w:val="both"/>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jc w:val="both"/>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jc w:val="both"/>
      </w:pPr>
      <w:r>
        <w:rPr>
          <w:rFonts w:ascii="Times New Roman" w:hAnsi="Times New Roman"/>
          <w:b/>
          <w:color w:val="333333"/>
          <w:sz w:val="23"/>
        </w:rPr>
        <w:t>1.3 Main Research Contributions</w:t>
      </w:r>
    </w:p>
    <w:p w14:paraId="015EEB7A">
      <w:pPr>
        <w:spacing w:before="40" w:after="80" w:line="276" w:lineRule="auto"/>
        <w:jc w:val="both"/>
      </w:pPr>
      <w:r>
        <w:rPr>
          <w:rFonts w:ascii="Times New Roman" w:hAnsi="Times New Roman"/>
          <w:sz w:val="20"/>
        </w:rPr>
        <w:t>The primary contributions of this work are summarized as follows:</w:t>
      </w:r>
    </w:p>
    <w:p w14:paraId="1C461AB5">
      <w:pPr>
        <w:spacing w:before="20" w:after="40"/>
        <w:ind w:left="360"/>
        <w:jc w:val="both"/>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jc w:val="both"/>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jc w:val="both"/>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jc w:val="both"/>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jc w:val="both"/>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jc w:val="both"/>
      </w:pPr>
      <w:r>
        <w:rPr>
          <w:rFonts w:ascii="Times New Roman" w:hAnsi="Times New Roman"/>
          <w:b/>
          <w:color w:val="333333"/>
          <w:sz w:val="23"/>
        </w:rPr>
        <w:t>1.4 Scientific Novelty Statement</w:t>
      </w:r>
    </w:p>
    <w:p w14:paraId="3E9A9469">
      <w:pPr>
        <w:spacing w:before="40" w:after="80" w:line="276" w:lineRule="auto"/>
        <w:jc w:val="both"/>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jc w:val="both"/>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jc w:val="both"/>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jc w:val="both"/>
      </w:pPr>
      <w:r>
        <w:rPr>
          <w:rFonts w:ascii="Times New Roman" w:hAnsi="Times New Roman"/>
          <w:b/>
          <w:color w:val="333333"/>
          <w:sz w:val="23"/>
        </w:rPr>
        <w:t>1.5 Paper Organization</w:t>
      </w:r>
    </w:p>
    <w:p w14:paraId="08A2492D">
      <w:pPr>
        <w:spacing w:before="40" w:after="80" w:line="276" w:lineRule="auto"/>
        <w:jc w:val="both"/>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jc w:val="both"/>
      </w:pPr>
      <w:r>
        <w:rPr>
          <w:rFonts w:ascii="Times New Roman" w:hAnsi="Times New Roman"/>
          <w:b/>
          <w:color w:val="003366"/>
          <w:sz w:val="26"/>
        </w:rPr>
        <w:t>2. Related Work</w:t>
      </w:r>
    </w:p>
    <w:p w14:paraId="65EAE46E">
      <w:pPr>
        <w:keepNext/>
        <w:spacing w:before="200" w:after="80"/>
        <w:jc w:val="both"/>
      </w:pPr>
      <w:r>
        <w:rPr>
          <w:rFonts w:ascii="Times New Roman" w:hAnsi="Times New Roman"/>
          <w:b/>
          <w:color w:val="333333"/>
          <w:sz w:val="23"/>
        </w:rPr>
        <w:t>2.1 Foundational Document AI &amp; Classical Benchmarks (Historical Context)</w:t>
      </w:r>
    </w:p>
    <w:p w14:paraId="189F7A1A">
      <w:pPr>
        <w:spacing w:before="40" w:after="80" w:line="276" w:lineRule="auto"/>
        <w:jc w:val="both"/>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jc w:val="both"/>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jc w:val="both"/>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jc w:val="both"/>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jc w:val="both"/>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jc w:val="both"/>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jc w:val="both"/>
      </w:pPr>
      <w:r>
        <w:rPr>
          <w:rFonts w:ascii="Times New Roman" w:hAnsi="Times New Roman"/>
          <w:b/>
          <w:color w:val="333333"/>
          <w:sz w:val="23"/>
        </w:rPr>
        <w:t>2.2 2025–2026 Vision-Language Models &amp; Multimodal Document Understanding</w:t>
      </w:r>
    </w:p>
    <w:p w14:paraId="3F983351">
      <w:pPr>
        <w:spacing w:before="40" w:after="80" w:line="276" w:lineRule="auto"/>
        <w:jc w:val="both"/>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jc w:val="both"/>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jc w:val="both"/>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jc w:val="both"/>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jc w:val="both"/>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jc w:val="both"/>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jc w:val="both"/>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jc w:val="both"/>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jc w:val="both"/>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jc w:val="both"/>
      </w:pPr>
      <w:r>
        <w:rPr>
          <w:rFonts w:ascii="Times New Roman" w:hAnsi="Times New Roman"/>
          <w:b/>
          <w:color w:val="333333"/>
          <w:sz w:val="23"/>
        </w:rPr>
        <w:t>2.3 Synthetic Document Generation Paradigms (2024–2026)</w:t>
      </w:r>
    </w:p>
    <w:p w14:paraId="6C515E3E">
      <w:pPr>
        <w:spacing w:before="40" w:after="80" w:line="276" w:lineRule="auto"/>
        <w:jc w:val="both"/>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jc w:val="both"/>
      </w:pPr>
      <w:r>
        <w:rPr>
          <w:rFonts w:ascii="Times New Roman" w:hAnsi="Times New Roman"/>
          <w:b/>
          <w:color w:val="333333"/>
          <w:sz w:val="23"/>
        </w:rPr>
        <w:t>2.4 Benchmark Design Methodologies &amp; Optical Degradation Matrix</w:t>
      </w:r>
    </w:p>
    <w:p w14:paraId="16C8BB60">
      <w:pPr>
        <w:spacing w:before="40" w:after="80" w:line="276" w:lineRule="auto"/>
        <w:jc w:val="both"/>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jc w:val="both"/>
      </w:pPr>
      <w:r>
        <w:rPr>
          <w:rFonts w:ascii="Times New Roman" w:hAnsi="Times New Roman"/>
          <w:b/>
          <w:color w:val="333333"/>
          <w:sz w:val="23"/>
        </w:rPr>
        <w:t>2.5 Academic Credential &amp; Sensitive Administrative Document Analysis</w:t>
      </w:r>
    </w:p>
    <w:p w14:paraId="2CC2A5D4">
      <w:pPr>
        <w:spacing w:before="40" w:after="80" w:line="276" w:lineRule="auto"/>
        <w:jc w:val="both"/>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jc w:val="both"/>
      </w:pPr>
      <w:r>
        <w:rPr>
          <w:rFonts w:ascii="Times New Roman" w:hAnsi="Times New Roman"/>
          <w:b/>
          <w:color w:val="333333"/>
          <w:sz w:val="23"/>
        </w:rPr>
        <w:t>2.6 Summary of Research Gap &amp; Methodological Motivation</w:t>
      </w:r>
    </w:p>
    <w:p w14:paraId="6C1839F2">
      <w:pPr>
        <w:spacing w:before="40" w:after="80" w:line="276" w:lineRule="auto"/>
        <w:jc w:val="both"/>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jc w:val="both"/>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jc w:val="both"/>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jc w:val="both"/>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jc w:val="both"/>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jc w:val="both"/>
      </w:pPr>
      <w:r>
        <w:rPr>
          <w:rFonts w:ascii="Times New Roman" w:hAnsi="Times New Roman"/>
          <w:sz w:val="20"/>
        </w:rPr>
        <w:t>These gaps directly motivate the integrated benchmarking methodology established in this work [26], [31].</w:t>
      </w:r>
    </w:p>
    <w:p w14:paraId="5DED24D5">
      <w:pPr>
        <w:keepNext/>
        <w:spacing w:before="280" w:after="120"/>
        <w:jc w:val="both"/>
      </w:pPr>
      <w:r>
        <w:rPr>
          <w:rFonts w:ascii="Times New Roman" w:hAnsi="Times New Roman"/>
          <w:b/>
          <w:color w:val="003366"/>
          <w:sz w:val="26"/>
        </w:rPr>
        <w:t>3. Proposed Methodology</w:t>
      </w:r>
    </w:p>
    <w:p w14:paraId="71989CA7">
      <w:pPr>
        <w:keepNext/>
        <w:spacing w:before="200" w:after="80"/>
        <w:jc w:val="both"/>
      </w:pPr>
      <w:r>
        <w:rPr>
          <w:rFonts w:ascii="Times New Roman" w:hAnsi="Times New Roman"/>
          <w:b/>
          <w:color w:val="333333"/>
          <w:sz w:val="23"/>
        </w:rPr>
        <w:t>3.1 Overall Framework Architecture</w:t>
      </w:r>
    </w:p>
    <w:p w14:paraId="3D8AAFB3">
      <w:pPr>
        <w:spacing w:before="40" w:after="80" w:line="276" w:lineRule="auto"/>
        <w:jc w:val="both"/>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jc w:val="both"/>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jc w:val="both"/>
      </w:pPr>
      <w:r>
        <w:rPr>
          <w:rFonts w:ascii="Times New Roman" w:hAnsi="Times New Roman"/>
          <w:b/>
          <w:color w:val="333333"/>
          <w:sz w:val="23"/>
        </w:rPr>
        <w:t>3.2 ADBG Synthetic Benchmark Generation</w:t>
      </w:r>
    </w:p>
    <w:p w14:paraId="383AC2B0">
      <w:pPr>
        <w:keepNext/>
        <w:spacing w:before="160" w:after="40"/>
        <w:jc w:val="both"/>
      </w:pPr>
      <w:r>
        <w:rPr>
          <w:rFonts w:ascii="Times New Roman" w:hAnsi="Times New Roman"/>
          <w:b/>
          <w:i/>
          <w:sz w:val="21"/>
        </w:rPr>
        <w:t>3.2.1 Seed-Deterministic Profile Generation</w:t>
      </w:r>
    </w:p>
    <w:p w14:paraId="3DE06DD2">
      <w:pPr>
        <w:spacing w:before="40" w:after="80" w:line="276" w:lineRule="auto"/>
        <w:jc w:val="both"/>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jc w:val="both"/>
      </w:pPr>
      <w:r>
        <w:rPr>
          <w:rFonts w:ascii="Times New Roman" w:hAnsi="Times New Roman"/>
          <w:b/>
          <w:i/>
          <w:sz w:val="21"/>
        </w:rPr>
        <w:t>3.2.2 Template Compilation Engine</w:t>
      </w:r>
    </w:p>
    <w:p w14:paraId="66057628">
      <w:pPr>
        <w:spacing w:before="40" w:after="80" w:line="276" w:lineRule="auto"/>
        <w:jc w:val="both"/>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jc w:val="both"/>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jc w:val="both"/>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jc w:val="both"/>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jc w:val="both"/>
      </w:pPr>
      <w:r>
        <w:rPr>
          <w:rFonts w:ascii="Times New Roman" w:hAnsi="Times New Roman"/>
          <w:b/>
          <w:i/>
          <w:sz w:val="21"/>
        </w:rPr>
        <w:t>3.2.3 Optical Degradation Pipeline</w:t>
      </w:r>
    </w:p>
    <w:p w14:paraId="124A208C">
      <w:pPr>
        <w:spacing w:before="40" w:after="80" w:line="276" w:lineRule="auto"/>
        <w:jc w:val="both"/>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jc w:val="both"/>
      </w:pPr>
      <w:r>
        <w:rPr>
          <w:rFonts w:ascii="Times New Roman" w:hAnsi="Times New Roman"/>
          <w:sz w:val="20"/>
        </w:rPr>
        <w:t>Four standard quality profiles are instantiated in AU_DIC_Benchmark_v1.0:</w:t>
      </w:r>
    </w:p>
    <w:p w14:paraId="3ECCCEA6">
      <w:pPr>
        <w:pStyle w:val="23"/>
        <w:spacing w:before="20" w:after="40"/>
        <w:jc w:val="both"/>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jc w:val="both"/>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jc w:val="both"/>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jc w:val="both"/>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jc w:val="both"/>
      </w:pPr>
      <w:r>
        <w:rPr>
          <w:rFonts w:ascii="Times New Roman" w:hAnsi="Times New Roman"/>
          <w:b/>
          <w:color w:val="333333"/>
          <w:sz w:val="23"/>
        </w:rPr>
        <w:t>3.3 AU DIC Evaluation Framework Subsystem</w:t>
      </w:r>
    </w:p>
    <w:p w14:paraId="18E10F61">
      <w:pPr>
        <w:spacing w:before="40" w:after="80" w:line="276" w:lineRule="auto"/>
        <w:jc w:val="both"/>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jc w:val="both"/>
      </w:pPr>
      <w:r>
        <w:rPr>
          <w:rFonts w:ascii="Times New Roman" w:hAnsi="Times New Roman"/>
          <w:b/>
          <w:color w:val="333333"/>
          <w:sz w:val="23"/>
        </w:rPr>
        <w:t>3.4 Six-Stage Semantic Canonical Normalization Layer</w:t>
      </w:r>
    </w:p>
    <w:p w14:paraId="7A562799">
      <w:pPr>
        <w:spacing w:before="40" w:after="80" w:line="276" w:lineRule="auto"/>
        <w:jc w:val="both"/>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jc w:val="both"/>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jc w:val="both"/>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jc w:val="both"/>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jc w:val="both"/>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jc w:val="both"/>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jc w:val="both"/>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jc w:val="both"/>
      </w:pPr>
      <w:r>
        <w:rPr>
          <w:rFonts w:ascii="Times New Roman" w:hAnsi="Times New Roman"/>
          <w:b/>
          <w:color w:val="333333"/>
          <w:sz w:val="23"/>
        </w:rPr>
        <w:t>3.5 Nine-Class Structured OCR Error Taxonomy</w:t>
      </w:r>
    </w:p>
    <w:p w14:paraId="4ABA0F56">
      <w:pPr>
        <w:spacing w:before="40" w:after="80" w:line="276" w:lineRule="auto"/>
        <w:jc w:val="both"/>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jc w:val="both"/>
      </w:pPr>
      <w:r>
        <w:rPr>
          <w:rFonts w:ascii="Times New Roman" w:hAnsi="Times New Roman"/>
          <w:b/>
          <w:i/>
          <w:sz w:val="21"/>
        </w:rPr>
        <w:t>3.5.1 Scientific Definition and Justification of NORMALIZATION_ERROR</w:t>
      </w:r>
    </w:p>
    <w:p w14:paraId="73516041">
      <w:pPr>
        <w:spacing w:before="40" w:after="80" w:line="276" w:lineRule="auto"/>
        <w:jc w:val="both"/>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jc w:val="both"/>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jc w:val="both"/>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jc w:val="both"/>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jc w:val="both"/>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jc w:val="both"/>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jc w:val="both"/>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jc w:val="both"/>
      </w:pPr>
      <w:r>
        <w:rPr>
          <w:rFonts w:ascii="Times New Roman" w:hAnsi="Times New Roman"/>
          <w:b/>
          <w:i/>
          <w:sz w:val="21"/>
        </w:rPr>
        <w:t>3.5.2 Canonical Comparison Workflow &amp; Non-Overlapping Taxonomy Boundaries</w:t>
      </w:r>
    </w:p>
    <w:p w14:paraId="0B0D7478">
      <w:pPr>
        <w:spacing w:before="40" w:after="80" w:line="276" w:lineRule="auto"/>
        <w:jc w:val="both"/>
      </w:pPr>
      <w:r>
        <w:rPr>
          <w:rFonts w:ascii="Times New Roman" w:hAnsi="Times New Roman"/>
          <w:sz w:val="20"/>
        </w:rPr>
        <w:t>To ensure taxonomic independence, each error class maintains a strict, non-overlapping responsibility [28], [37]:</w:t>
      </w:r>
    </w:p>
    <w:p w14:paraId="3F9FC34A">
      <w:pPr>
        <w:pStyle w:val="23"/>
        <w:spacing w:before="20" w:after="40"/>
        <w:jc w:val="both"/>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jc w:val="both"/>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jc w:val="both"/>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jc w:val="both"/>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jc w:val="both"/>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jc w:val="both"/>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jc w:val="both"/>
      </w:pPr>
      <w:r>
        <w:rPr>
          <w:rFonts w:ascii="Times New Roman" w:hAnsi="Times New Roman"/>
          <w:b/>
          <w:color w:val="003366"/>
          <w:sz w:val="26"/>
        </w:rPr>
        <w:t>4. Experimental Setup</w:t>
      </w:r>
    </w:p>
    <w:p w14:paraId="558E0DC4">
      <w:pPr>
        <w:keepNext/>
        <w:spacing w:before="200" w:after="80"/>
        <w:jc w:val="both"/>
      </w:pPr>
      <w:r>
        <w:rPr>
          <w:rFonts w:ascii="Times New Roman" w:hAnsi="Times New Roman"/>
          <w:b/>
          <w:color w:val="333333"/>
          <w:sz w:val="23"/>
        </w:rPr>
        <w:t>4.1 Dataset Composition (`AU_DIC_Benchmark_v1.0`)</w:t>
      </w:r>
    </w:p>
    <w:p w14:paraId="2A49B2C2">
      <w:pPr>
        <w:spacing w:before="40" w:after="80" w:line="276" w:lineRule="auto"/>
        <w:jc w:val="both"/>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jc w:val="both"/>
      </w:pPr>
      <w:r>
        <w:rPr>
          <w:rFonts w:ascii="Times New Roman" w:hAnsi="Times New Roman"/>
          <w:b/>
          <w:color w:val="333333"/>
          <w:sz w:val="23"/>
        </w:rPr>
        <w:t>4.2 Evaluation Protocol</w:t>
      </w:r>
    </w:p>
    <w:p w14:paraId="1CE7DA95">
      <w:pPr>
        <w:spacing w:before="40" w:after="80" w:line="276" w:lineRule="auto"/>
        <w:jc w:val="both"/>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jc w:val="both"/>
      </w:pPr>
      <w:r>
        <w:rPr>
          <w:rFonts w:ascii="Times New Roman" w:hAnsi="Times New Roman"/>
          <w:b/>
          <w:color w:val="333333"/>
          <w:sz w:val="23"/>
        </w:rPr>
        <w:t>4.3 Evaluation Metrics</w:t>
      </w:r>
    </w:p>
    <w:p w14:paraId="6B1C18D9">
      <w:pPr>
        <w:spacing w:before="40" w:after="80" w:line="276" w:lineRule="auto"/>
        <w:jc w:val="both"/>
      </w:pPr>
      <w:r>
        <w:rPr>
          <w:rFonts w:ascii="Times New Roman" w:hAnsi="Times New Roman"/>
          <w:sz w:val="20"/>
        </w:rPr>
        <w:t>The computed quantitative metrics are defined as follows:</w:t>
      </w:r>
    </w:p>
    <w:p w14:paraId="71941F13">
      <w:pPr>
        <w:spacing w:before="20" w:after="40"/>
        <w:ind w:left="360"/>
        <w:jc w:val="both"/>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jc w:val="both"/>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jc w:val="both"/>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jc w:val="both"/>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jc w:val="both"/>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jc w:val="both"/>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jc w:val="both"/>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jc w:val="both"/>
      </w:pPr>
      <w:r>
        <w:rPr>
          <w:rFonts w:ascii="Times New Roman" w:hAnsi="Times New Roman"/>
          <w:b/>
          <w:color w:val="003366"/>
          <w:sz w:val="26"/>
        </w:rPr>
        <w:t>5. Results &amp; Empirical Validation</w:t>
      </w:r>
    </w:p>
    <w:p w14:paraId="55088229">
      <w:pPr>
        <w:keepNext/>
        <w:spacing w:before="200" w:after="80"/>
        <w:jc w:val="both"/>
      </w:pPr>
      <w:r>
        <w:rPr>
          <w:rFonts w:ascii="Times New Roman" w:hAnsi="Times New Roman"/>
          <w:b/>
          <w:color w:val="333333"/>
          <w:sz w:val="23"/>
        </w:rPr>
        <w:t>5.1 Distinction Between Framework Validation, Benchmark Validation, and Model Performance</w:t>
      </w:r>
    </w:p>
    <w:p w14:paraId="6A01D444">
      <w:pPr>
        <w:spacing w:before="40" w:after="80" w:line="276" w:lineRule="auto"/>
        <w:jc w:val="both"/>
      </w:pPr>
      <w:r>
        <w:rPr>
          <w:rFonts w:ascii="Times New Roman" w:hAnsi="Times New Roman"/>
          <w:sz w:val="20"/>
        </w:rPr>
        <w:t>To ensure complete scientific integrity, we explicitly distinguish between three evaluation dimensions:</w:t>
      </w:r>
    </w:p>
    <w:p w14:paraId="4AF1F604">
      <w:pPr>
        <w:spacing w:before="20" w:after="40"/>
        <w:ind w:left="360"/>
        <w:jc w:val="both"/>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jc w:val="both"/>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jc w:val="both"/>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jc w:val="both"/>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jc w:val="both"/>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jc w:val="both"/>
      </w:pPr>
      <w:r>
        <w:rPr>
          <w:rFonts w:ascii="Times New Roman" w:hAnsi="Times New Roman"/>
          <w:b/>
          <w:color w:val="333333"/>
          <w:sz w:val="23"/>
        </w:rPr>
        <w:t>5.3 System Throughput &amp; Execution Latency</w:t>
      </w:r>
    </w:p>
    <w:p w14:paraId="7A2085D3">
      <w:pPr>
        <w:pStyle w:val="23"/>
        <w:spacing w:before="20" w:after="40"/>
        <w:jc w:val="both"/>
      </w:pPr>
      <w:r>
        <w:rPr>
          <w:rFonts w:ascii="Times New Roman" w:hAnsi="Times New Roman"/>
          <w:b/>
          <w:sz w:val="20"/>
        </w:rPr>
        <w:t>Total Samples Evaluated</w:t>
      </w:r>
      <w:r>
        <w:rPr>
          <w:rFonts w:ascii="Times New Roman" w:hAnsi="Times New Roman"/>
          <w:sz w:val="20"/>
        </w:rPr>
        <w:t>: 360</w:t>
      </w:r>
    </w:p>
    <w:p w14:paraId="67806D57">
      <w:pPr>
        <w:pStyle w:val="23"/>
        <w:spacing w:before="20" w:after="40"/>
        <w:jc w:val="both"/>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jc w:val="both"/>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jc w:val="both"/>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jc w:val="both"/>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jc w:val="both"/>
      </w:pPr>
      <w:r>
        <w:rPr>
          <w:rFonts w:ascii="Times New Roman" w:hAnsi="Times New Roman"/>
          <w:b/>
          <w:color w:val="333333"/>
          <w:sz w:val="23"/>
        </w:rPr>
        <w:t>5.4 Empirical Live Neural Model Evaluation Results</w:t>
      </w:r>
    </w:p>
    <w:p w14:paraId="383DFBB1">
      <w:pPr>
        <w:spacing w:before="40" w:after="80" w:line="276" w:lineRule="auto"/>
        <w:jc w:val="both"/>
      </w:pPr>
      <w:r>
        <w:rPr>
          <w:rFonts w:ascii="Times New Roman" w:hAnsi="Times New Roman"/>
          <w:sz w:val="20"/>
        </w:rPr>
      </w: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minicpm-v:latest, requestId).</w:t>
      </w:r>
    </w:p>
    <w:p w14:paraId="109404D0">
      <w:pPr>
        <w:keepNext/>
        <w:spacing w:before="160" w:after="40"/>
        <w:jc w:val="both"/>
      </w:pPr>
      <w:r>
        <w:t xml:space="preserve">5.4.1 End-to-End Evaluation Pipeline (Option A)</w:t>
      </w:r>
    </w:p>
    <w:p w14:paraId="7661D404">
      <w:pPr>
        <w:spacing w:before="40" w:after="80" w:line="276" w:lineRule="auto"/>
        <w:jc w:val="both"/>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jc w:val="both"/>
      </w:pPr>
      <w:r/>
      <w:r>
        <w:rPr/>
      </w:r>
      <w:r>
        <w:rPr/>
      </w:r>
      <w:r>
        <w:rPr/>
        <w:t>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(75.23% F1, 8.21% CER, 11.35%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r>
              <w:rPr/>
              <w:t>75.23%</w:t>
            </w:r>
          </w:p>
        </w:tc>
        <w:tc>
          <w:tcPr>
            <w:tcW w:w="1040" w:type="dxa"/>
            <w:shd w:val="clear" w:color="auto" w:fill="FFFFFF"/>
            <w:tcMar>
              <w:top w:w="100" w:type="dxa"/>
              <w:left w:w="130" w:type="dxa"/>
              <w:bottom w:w="100" w:type="dxa"/>
              <w:right w:w="130" w:type="dxa"/>
            </w:tcMar>
          </w:tcPr>
          <w:p w14:paraId="3DD33A98">
            <w:pPr>
              <w:spacing w:before="40" w:after="40"/>
              <w:jc w:val="center"/>
            </w:pPr>
            <w:r/>
            <w:r>
              <w:rPr/>
              <w:t>75.23%</w:t>
            </w:r>
          </w:p>
        </w:tc>
        <w:tc>
          <w:tcPr>
            <w:tcW w:w="1040" w:type="dxa"/>
            <w:shd w:val="clear" w:color="auto" w:fill="FFFFFF"/>
            <w:tcMar>
              <w:top w:w="100" w:type="dxa"/>
              <w:left w:w="130" w:type="dxa"/>
              <w:bottom w:w="100" w:type="dxa"/>
              <w:right w:w="130" w:type="dxa"/>
            </w:tcMar>
          </w:tcPr>
          <w:p w14:paraId="3FCD7092">
            <w:pPr>
              <w:spacing w:before="40" w:after="40"/>
              <w:jc w:val="center"/>
            </w:pPr>
            <w:r/>
            <w:r>
              <w:rPr/>
              <w:t>75.23%</w:t>
            </w:r>
          </w:p>
        </w:tc>
        <w:tc>
          <w:tcPr>
            <w:tcW w:w="1040" w:type="dxa"/>
            <w:shd w:val="clear" w:color="auto" w:fill="FFFFFF"/>
            <w:tcMar>
              <w:top w:w="100" w:type="dxa"/>
              <w:left w:w="130" w:type="dxa"/>
              <w:bottom w:w="100" w:type="dxa"/>
              <w:right w:w="130" w:type="dxa"/>
            </w:tcMar>
          </w:tcPr>
          <w:p w14:paraId="4F8CBF4C">
            <w:pPr>
              <w:spacing w:before="40" w:after="40"/>
              <w:jc w:val="center"/>
            </w:pPr>
            <w:r/>
            <w:r>
              <w:rPr/>
              <w:t>8.21%</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jc w:val="both"/>
      </w:pPr>
      <w:r>
        <w:rPr>
          <w:rFonts w:ascii="Times New Roman" w:hAnsi="Times New Roman"/>
          <w:b/>
          <w:i/>
          <w:sz w:val="21"/>
        </w:rPr>
        <w:t>Empirical Analysis of Discovered Sub-Task Metrics:</w:t>
      </w:r>
    </w:p>
    <w:p w14:paraId="7C0DEFD2">
      <w:pPr>
        <w:spacing w:before="20" w:after="40"/>
        <w:ind w:left="360"/>
        <w:jc w:val="both"/>
      </w:pPr>
      <w:r/>
      <w:r>
        <w:rPr/>
      </w:r>
      <w:r>
        <w:rPr/>
      </w:r>
      <w:r>
        <w:rPr/>
        <w:t>1. Key-Value Entity Extraction Task (75.23% Field F1, 8.21% CER): Under zero-shot key-value entity field extraction, Llama 3.1 8B achieved 75.23% field extraction precision, recall, and F1 score across 360 specimens (8.21% document-level CER, 84.12% WER, 11.35% field-level CER).</w:t>
      </w:r>
    </w:p>
    <w:p w14:paraId="059DEFCF">
      <w:pPr>
        <w:spacing w:before="20" w:after="40"/>
        <w:ind w:left="360"/>
        <w:jc w:val="both"/>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jc w:val="both"/>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jc w:val="both"/>
      </w:pPr>
      <w:r>
        <w:rPr>
          <w:rFonts w:ascii="Times New Roman" w:hAnsi="Times New Roman"/>
          <w:b/>
          <w:color w:val="333333"/>
          <w:sz w:val="23"/>
        </w:rPr>
        <w:t>5.5 Empirical Ablation Study of Semantic Canonical Normalization</w:t>
      </w:r>
    </w:p>
    <w:p w14:paraId="492AA939">
      <w:pPr>
        <w:spacing w:before="40" w:after="80" w:line="276" w:lineRule="auto"/>
        <w:jc w:val="both"/>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jc w:val="both"/>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jc w:val="both"/>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jc w:val="both"/>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r>
              <w:rPr/>
              <w:t>74.60%</w:t>
            </w:r>
          </w:p>
        </w:tc>
        <w:tc>
          <w:tcPr>
            <w:tcW w:w="1560" w:type="dxa"/>
            <w:shd w:val="clear" w:color="auto" w:fill="FFFFFF"/>
            <w:tcMar>
              <w:top w:w="100" w:type="dxa"/>
              <w:left w:w="130" w:type="dxa"/>
              <w:bottom w:w="100" w:type="dxa"/>
              <w:right w:w="130" w:type="dxa"/>
            </w:tcMar>
          </w:tcPr>
          <w:p w14:paraId="1F1F416A">
            <w:pPr>
              <w:spacing w:before="40" w:after="40"/>
              <w:jc w:val="center"/>
            </w:pPr>
            <w:r/>
            <w:r>
              <w:rPr/>
              <w:t>74.60%</w:t>
            </w:r>
          </w:p>
        </w:tc>
        <w:tc>
          <w:tcPr>
            <w:tcW w:w="1560" w:type="dxa"/>
            <w:shd w:val="clear" w:color="auto" w:fill="FFFFFF"/>
            <w:tcMar>
              <w:top w:w="100" w:type="dxa"/>
              <w:left w:w="130" w:type="dxa"/>
              <w:bottom w:w="100" w:type="dxa"/>
              <w:right w:w="130" w:type="dxa"/>
            </w:tcMar>
          </w:tcPr>
          <w:p w14:paraId="79F7D005">
            <w:pPr>
              <w:spacing w:before="40" w:after="40"/>
              <w:jc w:val="center"/>
            </w:pPr>
            <w:r/>
            <w:r>
              <w:rPr/>
              <w:t>75.23%</w:t>
            </w:r>
          </w:p>
        </w:tc>
        <w:tc>
          <w:tcPr>
            <w:tcW w:w="1560" w:type="dxa"/>
            <w:shd w:val="clear" w:color="auto" w:fill="FFFFFF"/>
            <w:tcMar>
              <w:top w:w="100" w:type="dxa"/>
              <w:left w:w="130" w:type="dxa"/>
              <w:bottom w:w="100" w:type="dxa"/>
              <w:right w:w="130" w:type="dxa"/>
            </w:tcMar>
          </w:tcPr>
          <w:p w14:paraId="2A0DDE50">
            <w:pPr>
              <w:spacing w:before="40" w:after="40"/>
              <w:jc w:val="center"/>
            </w:pPr>
            <w:r/>
            <w:r>
              <w:rPr/>
              <w:t>11.35%</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
              <w:rPr/>
              <w:t>74.60%</w:t>
            </w:r>
          </w:p>
        </w:tc>
        <w:tc>
          <w:tcPr>
            <w:tcW w:w="1560" w:type="dxa"/>
            <w:shd w:val="clear" w:color="auto" w:fill="F8F9FA"/>
            <w:tcMar>
              <w:top w:w="100" w:type="dxa"/>
              <w:left w:w="130" w:type="dxa"/>
              <w:bottom w:w="100" w:type="dxa"/>
              <w:right w:w="130" w:type="dxa"/>
            </w:tcMar>
          </w:tcPr>
          <w:p w14:paraId="4F51C18F">
            <w:pPr>
              <w:spacing w:before="40" w:after="40"/>
              <w:jc w:val="center"/>
            </w:pPr>
            <w:r/>
            <w:r>
              <w:rPr/>
              <w:t>82.18%</w:t>
            </w:r>
          </w:p>
        </w:tc>
        <w:tc>
          <w:tcPr>
            <w:tcW w:w="1560" w:type="dxa"/>
            <w:shd w:val="clear" w:color="auto" w:fill="F8F9FA"/>
            <w:tcMar>
              <w:top w:w="100" w:type="dxa"/>
              <w:left w:w="130" w:type="dxa"/>
              <w:bottom w:w="100" w:type="dxa"/>
              <w:right w:w="130" w:type="dxa"/>
            </w:tcMar>
          </w:tcPr>
          <w:p w14:paraId="0C52DCBC">
            <w:pPr>
              <w:spacing w:before="40" w:after="40"/>
              <w:jc w:val="center"/>
            </w:pPr>
            <w:r/>
            <w:r>
              <w:rPr/>
              <w:t>75.23%</w:t>
            </w:r>
          </w:p>
        </w:tc>
        <w:tc>
          <w:tcPr>
            <w:tcW w:w="1560" w:type="dxa"/>
            <w:shd w:val="clear" w:color="auto" w:fill="F8F9FA"/>
            <w:tcMar>
              <w:top w:w="100" w:type="dxa"/>
              <w:left w:w="130" w:type="dxa"/>
              <w:bottom w:w="100" w:type="dxa"/>
              <w:right w:w="130" w:type="dxa"/>
            </w:tcMar>
          </w:tcPr>
          <w:p w14:paraId="02385BA7">
            <w:pPr>
              <w:spacing w:before="40" w:after="40"/>
              <w:jc w:val="center"/>
            </w:pPr>
            <w:r/>
            <w:r>
              <w:rPr/>
              <w:t>11.35%</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r>
              <w:rPr/>
              <w:t>McNemar chi^2 = 1853.0005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jc w:val="both"/>
      </w:pPr>
      <w:r>
        <w:rPr>
          <w:rFonts w:ascii="Times New Roman" w:hAnsi="Times New Roman"/>
          <w:b/>
          <w:i/>
          <w:sz w:val="21"/>
        </w:rPr>
        <w:t>5.5.2 Rule-Wise Contribution &amp; Mismatch Correction Breakdown</w:t>
      </w:r>
    </w:p>
    <w:p w14:paraId="64E8500E">
      <w:pPr>
        <w:spacing w:before="40" w:after="80" w:line="276" w:lineRule="auto"/>
        <w:jc w:val="both"/>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jc w:val="both"/>
      </w:pPr>
      <w:r>
        <w:rPr>
          <w:rFonts w:ascii="Times New Roman" w:hAnsi="Times New Roman"/>
          <w:b/>
          <w:i/>
          <w:sz w:val="21"/>
        </w:rPr>
        <w:t>5.5.3 Publication Figures</w:t>
      </w:r>
    </w:p>
    <w:p w14:paraId="16DE2811">
      <w:pPr>
        <w:spacing w:before="40" w:after="80" w:line="276" w:lineRule="auto"/>
        <w:jc w:val="both"/>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jc w:val="both"/>
      </w:pPr>
      <w:r>
        <w:rPr>
          <w:rFonts w:ascii="Times New Roman" w:hAnsi="Times New Roman"/>
          <w:b/>
          <w:i/>
          <w:sz w:val="21"/>
        </w:rPr>
        <w:t>5.5.4 Critical Discussion &amp; Scientific Validation</w:t>
      </w:r>
    </w:p>
    <w:p w14:paraId="30075810">
      <w:pPr>
        <w:spacing w:before="40" w:after="80" w:line="276" w:lineRule="auto"/>
        <w:jc w:val="both"/>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jc w:val="both"/>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jc w:val="both"/>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jc w:val="both"/>
      </w:pPr>
      <w:r>
        <w:rPr>
          <w:rFonts w:ascii="Times New Roman" w:hAnsi="Times New Roman"/>
          <w:b/>
          <w:color w:val="333333"/>
          <w:sz w:val="23"/>
        </w:rPr>
        <w:t>5.6 Statistical Significance Analysis ($p &lt; 0.0001$)</w:t>
      </w:r>
    </w:p>
    <w:p w14:paraId="3D20DA6E">
      <w:pPr>
        <w:spacing w:before="40" w:after="80" w:line="276" w:lineRule="auto"/>
        <w:jc w:val="both"/>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jc w:val="both"/>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jc w:val="both"/>
      </w:pPr>
      <w:r>
        <w:t xml:space="preserve">5.7 Empirical Evaluation Scope &amp; Methodological Limitations</w:t>
      </w:r>
    </w:p>
    <w:p w14:paraId="578DDAEE">
      <w:pPr>
        <w:spacing w:before="40" w:after="80" w:line="276" w:lineRule="auto"/>
        <w:jc w:val="both"/>
      </w:pPr>
      <ns3:oMath>
        <ns3:r>
          <ns3:rPr/>
          <w:rPr>
            <w:rFonts w:ascii="Cambria Math" w:hAnsi="Cambria Math"/>
          </w:rPr>
          <ns3:t>B=1,000</ns3:t>
        </ns3:r>
      </ns3:oMath>
      <w:r/>
      <w:r>
        <w:rPr/>
        <w:t>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1853.0005,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jc w:val="both"/>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jc w:val="both"/>
      </w:pPr>
      <w:r>
        <w:rPr>
          <w:rFonts w:ascii="Times New Roman" w:hAnsi="Times New Roman"/>
          <w:b/>
          <w:color w:val="333333"/>
          <w:sz w:val="23"/>
        </w:rPr>
        <w:t>5.8 Error Taxonomy Distribution Shift Analysis</w:t>
      </w:r>
    </w:p>
    <w:p w14:paraId="371B7E7E">
      <w:pPr>
        <w:spacing w:before="40" w:after="80" w:line="276" w:lineRule="auto"/>
        <w:jc w:val="both"/>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jc w:val="both"/>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jc w:val="both"/>
      </w:pPr>
      <w:r>
        <w:rPr>
          <w:rFonts w:ascii="Times New Roman" w:hAnsi="Times New Roman"/>
          <w:b/>
          <w:color w:val="003366"/>
          <w:sz w:val="26"/>
        </w:rPr>
        <w:t>6. Discussion &amp; Threats to Validity</w:t>
      </w:r>
    </w:p>
    <w:p w14:paraId="2E8AFACA">
      <w:pPr>
        <w:keepNext/>
        <w:spacing w:before="200" w:after="80"/>
        <w:jc w:val="both"/>
      </w:pPr>
      <w:r>
        <w:rPr>
          <w:rFonts w:ascii="Times New Roman" w:hAnsi="Times New Roman"/>
          <w:b/>
          <w:color w:val="333333"/>
          <w:sz w:val="23"/>
        </w:rPr>
        <w:t>6.1 Scientific Contributions and Methodological Novelty</w:t>
      </w:r>
    </w:p>
    <w:p w14:paraId="29F5E65F">
      <w:pPr>
        <w:spacing w:before="40" w:after="80" w:line="276" w:lineRule="auto"/>
        <w:jc w:val="both"/>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jc w:val="both"/>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jc w:val="both"/>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jc w:val="both"/>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jc w:val="both"/>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jc w:val="both"/>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jc w:val="both"/>
      </w:pPr>
      <w:r>
        <w:rPr>
          <w:rFonts w:ascii="Times New Roman" w:hAnsi="Times New Roman"/>
          <w:b/>
          <w:color w:val="333333"/>
          <w:sz w:val="23"/>
        </w:rPr>
        <w:t>6.2 Discussion of Empirical Findings</w:t>
      </w:r>
    </w:p>
    <w:p w14:paraId="24BFAAB6">
      <w:pPr>
        <w:spacing w:before="20" w:after="40"/>
        <w:ind w:left="360"/>
        <w:jc w:val="both"/>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jc w:val="both"/>
      </w:pPr>
      <w:r/>
      <w:r>
        <w:rPr/>
        <w:t>2. Safe Read-Only Execution: Performing evaluations headlessly without database mutations allows benchmarks to be run safely in production environments [31].</w:t>
        <w:br/>
        <w:t>3. Field Extraction Limitations: The zero-shot LLM baseline achieved only 75.23%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jc w:val="both"/>
      </w:pPr>
      <w:r>
        <w:rPr>
          <w:rFonts w:ascii="Times New Roman" w:hAnsi="Times New Roman"/>
          <w:b/>
          <w:color w:val="333333"/>
          <w:sz w:val="23"/>
        </w:rPr>
        <w:t>6.3 Threats to Validity</w:t>
      </w:r>
    </w:p>
    <w:p w14:paraId="1108C749">
      <w:pPr>
        <w:pStyle w:val="23"/>
        <w:spacing w:before="20" w:after="40"/>
        <w:jc w:val="both"/>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jc w:val="both"/>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jc w:val="both"/>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jc w:val="both"/>
      </w:pPr>
      <w:r>
        <w:rPr>
          <w:rFonts w:ascii="Times New Roman" w:hAnsi="Times New Roman"/>
          <w:b/>
          <w:color w:val="003366"/>
          <w:sz w:val="26"/>
        </w:rPr>
        <w:t>7. Limitations Analysis</w:t>
      </w:r>
    </w:p>
    <w:p w14:paraId="04FFDB48">
      <w:pPr>
        <w:keepNext/>
        <w:spacing w:before="200" w:after="80"/>
        <w:jc w:val="both"/>
      </w:pPr>
      <w:r>
        <w:rPr>
          <w:rFonts w:ascii="Times New Roman" w:hAnsi="Times New Roman"/>
          <w:b/>
          <w:color w:val="333333"/>
          <w:sz w:val="23"/>
        </w:rPr>
        <w:t>7.1 Methodological Limitations</w:t>
      </w:r>
    </w:p>
    <w:p w14:paraId="0CEF4849">
      <w:pPr>
        <w:spacing w:before="20" w:after="40"/>
        <w:ind w:left="360"/>
        <w:jc w:val="both"/>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jc w:val="both"/>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jc w:val="both"/>
      </w:pPr>
      <w:r>
        <w:rPr>
          <w:rFonts w:ascii="Times New Roman" w:hAnsi="Times New Roman"/>
          <w:b/>
          <w:i/>
          <w:sz w:val="21"/>
        </w:rPr>
        <w:t>7.1.1 Methodological Clarification on Synthetic Data vs. Privacy-Preserving Computation</w:t>
      </w:r>
    </w:p>
    <w:p w14:paraId="61EB99C3">
      <w:pPr>
        <w:spacing w:before="40" w:after="80" w:line="276" w:lineRule="auto"/>
        <w:jc w:val="both"/>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jc w:val="both"/>
      </w:pPr>
      <w:r>
        <w:rPr>
          <w:rFonts w:ascii="Times New Roman" w:hAnsi="Times New Roman"/>
          <w:b/>
          <w:color w:val="003366"/>
          <w:sz w:val="26"/>
        </w:rPr>
        <w:t>8.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pPr>
      <w:r>
        <w:rPr>
          <w:rFonts w:ascii="Times New Roman" w:hAnsi="Times New Roman"/>
          <w:b/>
          <w:color w:val="003366"/>
          <w:sz w:val="26"/>
        </w:rPr>
        <w:t>9.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ns3:oMath>
        <ns3:r>
          <ns3:rPr/>
          <w:rPr>
            <w:rFonts w:ascii="Cambria Math" w:hAnsi="Cambria Math"/>
          </w:rPr>
          <ns3:t>5,760</ns3:t>
        </ns3:r>
      </ns3:oMath>
      <ns3:oMath>
        <ns3:r>
          <ns3:rPr/>
          <w:rPr>
            <w:rFonts w:ascii="Cambria Math" w:hAnsi="Cambria Math"/>
          </w:rPr>
          <ns3:t>p&lt;0.0001</ns3:t>
        </ns3:r>
      </ns3:oMath>
      <w:r/>
      <w:r>
        <w:rP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jc w:val="both"/>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jc w:val="both"/>
      </w:pPr>
      <w:r>
        <w:rPr>
          <w:rFonts w:ascii="Calibri" w:hAnsi="Calibri"/>
          <w:b/>
          <w:color w:val="1F497D"/>
          <w:sz w:val="28"/>
        </w:rPr>
        <w:t>APPENDIX A: REPRODUCIBILITY &amp; SYSTEM SPECIFICATIONS</w:t>
      </w:r>
    </w:p>
    <w:p>
      <w:pPr>
        <w:keepNext/>
        <w:spacing w:before="240" w:after="80"/>
        <w:jc w:val="both"/>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r>
            <w:r>
              <w:rPr>
                <w:rFonts w:ascii="Calibri" w:hAnsi="Calibri"/>
                <w:sz w:val="18"/>
              </w:rPr>
              <w:t>Groq Cloud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pPr>
      <w:r>
        <w:rPr>
          <w:rFonts w:ascii="Calibri" w:hAnsi="Calibri"/>
          <w:b/>
          <w:color w:val="1F497D"/>
          <w:sz w:val="28"/>
        </w:rPr>
        <w:t>APPENDIX B: FIELD SPECIFICATION &amp; OBSERVATION COUNT DERIVATION</w:t>
      </w:r>
    </w:p>
    <w:p>
      <w:pPr>
        <w:keepNext/>
        <w:spacing w:before="240" w:after="80"/>
        <w:jc w:val="both"/>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pPr>
      <w:r>
        <w:rPr>
          <w:rFonts w:ascii="Calibri" w:hAnsi="Calibri"/>
          <w:b/>
          <w:color w:val="1F497D"/>
          <w:sz w:val="28"/>
        </w:rPr>
        <w:t>APPENDIX C: EMPIRICAL STATISTICAL METHODOLOGY &amp; BENCHMARKS</w:t>
      </w:r>
    </w:p>
    <w:p>
      <w:pPr>
        <w:keepNext/>
        <w:spacing w:before="240" w:after="80"/>
        <w:jc w:val="both"/>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rPr>
          <w:rFonts w:ascii="Calibri" w:hAnsi="Calibri"/>
          <w:i w:val="0"/>
          <w:color w:val="333333"/>
          <w:sz w:val="20"/>
        </w:rPr>
      </w:r>
      <w:r>
        <w:rPr>
          <w:rFonts w:ascii="Calibri" w:hAnsi="Calibri"/>
          <w:i w:val="0"/>
          <w:sz w:val="20"/>
        </w:rP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r>
            <w:r>
              <w:rPr>
                <w:rFonts w:ascii="Calibri" w:hAnsi="Calibri"/>
                <w:sz w:val="18"/>
              </w:rP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r>
            <w:r>
              <w:rPr>
                <w:rFonts w:ascii="Calibri" w:hAnsi="Calibri"/>
                <w:sz w:val="18"/>
              </w:rP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