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pPr>
        <w:spacing w:before="40" w:after="80" w:line="276" w:lineRule="auto"/>
      </w:pPr>
      <w:r>
        <w:rPr>
          <w:rFonts w:ascii="Times New Roman" w:hAnsi="Times New Roman"/>
          <w:b/>
          <w:sz w:val="21"/>
        </w:rPr>
        <w:t>Authors</w:t>
      </w:r>
      <w:r>
        <w:rPr>
          <w:rFonts w:ascii="Times New Roman" w:hAnsi="Times New Roman"/>
          <w:sz w:val="21"/>
        </w:rPr>
        <w:t>: AU DIC Research Team</w:t>
      </w:r>
    </w:p>
    <w:p>
      <w:pPr>
        <w:spacing w:before="40" w:after="80" w:line="276" w:lineRule="auto"/>
      </w:pPr>
      <w:r>
        <w:rPr>
          <w:rFonts w:ascii="Times New Roman" w:hAnsi="Times New Roman"/>
          <w:b/>
          <w:sz w:val="21"/>
        </w:rPr>
        <w:t>Target Publication Venue</w:t>
      </w:r>
      <w:r>
        <w:rPr>
          <w:rFonts w:ascii="Times New Roman" w:hAnsi="Times New Roman"/>
          <w:sz w:val="21"/>
        </w:rPr>
        <w:t>: IEEE Access / ICDAR 2026</w:t>
      </w:r>
    </w:p>
    <w:p>
      <w:pPr>
        <w:spacing w:before="40" w:after="80" w:line="276" w:lineRule="auto"/>
      </w:pPr>
      <w:r>
        <w:rPr>
          <w:rFonts w:ascii="Times New Roman" w:hAnsi="Times New Roman"/>
          <w:b/>
          <w:sz w:val="21"/>
        </w:rPr>
        <w:t>Repository &amp; Artifact Build</w:t>
      </w:r>
      <w:r>
        <w:rPr>
          <w:rFonts w:ascii="Times New Roman" w:hAnsi="Times New Roman"/>
          <w:sz w:val="21"/>
        </w:rPr>
        <w:t xml:space="preserve">: </w:t>
      </w:r>
      <w:r>
        <w:rPr>
          <w:rFonts w:ascii="Consolas" w:hAnsi="Consolas"/>
          <w:color w:val="B42828"/>
          <w:sz w:val="19"/>
        </w:rPr>
        <w:t>run_1785796639905</w:t>
      </w:r>
      <w:r>
        <w:rPr>
          <w:rFonts w:ascii="Times New Roman" w:hAnsi="Times New Roman"/>
          <w:sz w:val="21"/>
        </w:rPr>
        <w:t xml:space="preserve"> | Dataset Hash: </w:t>
      </w:r>
      <w:r>
        <w:rPr>
          <w:rFonts w:ascii="Consolas" w:hAnsi="Consolas"/>
          <w:color w:val="B42828"/>
          <w:sz w:val="19"/>
        </w:rPr>
        <w:t>17c136ef76dd0f82</w:t>
      </w:r>
      <w:r>
        <w:rPr>
          <w:rFonts w:ascii="Times New Roman" w:hAnsi="Times New Roman"/>
          <w:sz w:val="21"/>
        </w:rPr>
        <w:t xml:space="preserve"> | Commit: </w:t>
      </w:r>
      <w:r>
        <w:rPr>
          <w:rFonts w:ascii="Consolas" w:hAnsi="Consolas"/>
          <w:color w:val="B42828"/>
          <w:sz w:val="19"/>
        </w:rPr>
        <w:t>823334b</w:t>
      </w:r>
    </w:p>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Abstract</w:t>
      </w:r>
    </w:p>
    <w:p>
      <w:pPr>
        <w:spacing w:before="40" w:after="80" w:line="276" w:lineRule="auto"/>
      </w:pPr>
      <w:r>
        <w:rPr>
          <w:rFonts w:ascii="Times New Roman" w:hAnsi="Times New Roman"/>
          <w:sz w:val="21"/>
        </w:rPr>
        <w:t xml:space="preserve">Evaluating neural document intelligence engines on academic credentials (degree certificates, marksheets, transcripts, student identification cards) is severely bottlenecked by strict privacy regulations (FERPA, GDPR) that prohibit public dissemination of real student records. To resolve this challenge, we introduce </w:t>
      </w:r>
      <w:r>
        <w:rPr>
          <w:rFonts w:ascii="Times New Roman" w:hAnsi="Times New Roman"/>
          <w:b/>
          <w:sz w:val="21"/>
        </w:rPr>
        <w:t>ADBG v1.0</w:t>
      </w:r>
      <w:r>
        <w:rPr>
          <w:rFonts w:ascii="Times New Roman" w:hAnsi="Times New Roman"/>
          <w:sz w:val="21"/>
        </w:rPr>
        <w:t xml:space="preserve"> (Academic Document Benchmark Generator), a seed-deterministic synthetic credential rendering engine, alongside the </w:t>
      </w:r>
      <w:r>
        <w:rPr>
          <w:rFonts w:ascii="Times New Roman" w:hAnsi="Times New Roman"/>
          <w:b/>
          <w:sz w:val="21"/>
        </w:rPr>
        <w:t>AU DIC Benchmark Evaluation Framework v1.0</w:t>
      </w:r>
      <w:r>
        <w:rPr>
          <w:rFonts w:ascii="Times New Roman" w:hAnsi="Times New Roman"/>
          <w:sz w:val="21"/>
        </w:rPr>
        <w:t>, a decoupled, read-only evaluation pipeline. ADBG v1.0 generates privacy-compliant document specimens paired with ground-truth JSON annotations across four standardized optical quality profiles (</w:t>
      </w:r>
      <w:r>
        <w:rPr>
          <w:rFonts w:ascii="Times New Roman" w:hAnsi="Times New Roman"/>
          <w:i/>
          <w:sz w:val="21"/>
        </w:rPr>
        <w:t>clean</w:t>
      </w:r>
      <w:r>
        <w:rPr>
          <w:rFonts w:ascii="Times New Roman" w:hAnsi="Times New Roman"/>
          <w:sz w:val="21"/>
        </w:rPr>
        <w:t xml:space="preserve">, </w:t>
      </w:r>
      <w:r>
        <w:rPr>
          <w:rFonts w:ascii="Times New Roman" w:hAnsi="Times New Roman"/>
          <w:i/>
          <w:sz w:val="21"/>
        </w:rPr>
        <w:t>scanner_copy</w:t>
      </w:r>
      <w:r>
        <w:rPr>
          <w:rFonts w:ascii="Times New Roman" w:hAnsi="Times New Roman"/>
          <w:sz w:val="21"/>
        </w:rPr>
        <w:t xml:space="preserve">, </w:t>
      </w:r>
      <w:r>
        <w:rPr>
          <w:rFonts w:ascii="Times New Roman" w:hAnsi="Times New Roman"/>
          <w:i/>
          <w:sz w:val="21"/>
        </w:rPr>
        <w:t>mobile_camera</w:t>
      </w:r>
      <w:r>
        <w:rPr>
          <w:rFonts w:ascii="Times New Roman" w:hAnsi="Times New Roman"/>
          <w:sz w:val="21"/>
        </w:rPr>
        <w:t xml:space="preserve">, </w:t>
      </w:r>
      <w:r>
        <w:rPr>
          <w:rFonts w:ascii="Times New Roman" w:hAnsi="Times New Roman"/>
          <w:i/>
          <w:sz w:val="21"/>
        </w:rPr>
        <w:t>rotated_90</w:t>
      </w:r>
      <w:r>
        <w:rPr>
          <w:rFonts w:ascii="Times New Roman" w:hAnsi="Times New Roman"/>
          <w:sz w:val="21"/>
        </w:rPr>
        <w:t>). To isolate genuine recognition failures from superficial string variations, the evaluation subsystem incorporates a six-stage semantic canonical normalizer (</w:t>
      </w:r>
      <w:r>
        <w:rPr>
          <w:rFonts w:ascii="Consolas" w:hAnsi="Consolas"/>
          <w:color w:val="B42828"/>
          <w:sz w:val="19"/>
        </w:rPr>
        <w:t>CanonicalNormalizer</w:t>
      </w:r>
      <w:r>
        <w:rPr>
          <w:rFonts w:ascii="Times New Roman" w:hAnsi="Times New Roman"/>
          <w:sz w:val="21"/>
        </w:rPr>
        <w:t>) and an automated nine-class structured OCR error taxonomy.</w:t>
      </w:r>
    </w:p>
    <w:p>
      <w:pPr>
        <w:spacing w:before="40" w:after="80" w:line="276" w:lineRule="auto"/>
      </w:pPr>
      <w:r>
        <w:rPr>
          <w:rFonts w:ascii="Times New Roman" w:hAnsi="Times New Roman"/>
          <w:sz w:val="21"/>
        </w:rPr>
        <w:t>We evaluate the benchmark suite across 360 specimens (</w:t>
      </w:r>
      <w:r>
        <w:rPr>
          <w:rFonts w:ascii="Cambria Math" w:hAnsi="Cambria Math"/>
          <w:i/>
          <w:color w:val="003366"/>
          <w:sz w:val="21"/>
        </w:rPr>
        <w:t>3 \text{ categories} \times 30 \text{ instances} \times 4 \text{ degradation profiles}</w:t>
      </w:r>
      <w:r>
        <w:rPr>
          <w:rFonts w:ascii="Times New Roman" w:hAnsi="Times New Roman"/>
          <w:sz w:val="21"/>
        </w:rPr>
        <w:t>). In headless framework validation dry-runs, the evaluation subsystem achieved a processing throughput of 242.59 samples/sec with zero database state mutations. In live neural model inference testing using Groq Cloud's Llama 3.1 8B Instant engine with strict real-inference enforcement (</w:t>
      </w:r>
      <w:r>
        <w:rPr>
          <w:rFonts w:ascii="Consolas" w:hAnsi="Consolas"/>
          <w:color w:val="B42828"/>
          <w:sz w:val="19"/>
        </w:rPr>
        <w:t>allowMockFallback: false</w:t>
      </w:r>
      <w:r>
        <w:rPr>
          <w:rFonts w:ascii="Times New Roman" w:hAnsi="Times New Roman"/>
          <w:sz w:val="21"/>
        </w:rPr>
        <w:t xml:space="preserve">), the system achieved a </w:t>
      </w:r>
      <w:r>
        <w:rPr>
          <w:rFonts w:ascii="Times New Roman" w:hAnsi="Times New Roman"/>
          <w:b/>
          <w:sz w:val="21"/>
        </w:rPr>
        <w:t>100.00% Field Extraction F1 score</w:t>
      </w:r>
      <w:r>
        <w:rPr>
          <w:rFonts w:ascii="Times New Roman" w:hAnsi="Times New Roman"/>
          <w:sz w:val="21"/>
        </w:rPr>
        <w:t xml:space="preserve"> and </w:t>
      </w:r>
      <w:r>
        <w:rPr>
          <w:rFonts w:ascii="Times New Roman" w:hAnsi="Times New Roman"/>
          <w:b/>
          <w:sz w:val="21"/>
        </w:rPr>
        <w:t>0.00% Character Error Rate (CER)</w:t>
      </w:r>
      <w:r>
        <w:rPr>
          <w:rFonts w:ascii="Times New Roman" w:hAnsi="Times New Roman"/>
          <w:sz w:val="21"/>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This work provides a privacy-safe, reproducible foundation for benchmarking academic document analysis systems.</w:t>
      </w:r>
    </w:p>
    <w:p>
      <w:pPr>
        <w:spacing w:before="40" w:after="80" w:line="276" w:lineRule="auto"/>
      </w:pPr>
      <w:r>
        <w:rPr>
          <w:rFonts w:ascii="Times New Roman" w:hAnsi="Times New Roman"/>
          <w:b/>
          <w:sz w:val="21"/>
        </w:rPr>
        <w:t>Index Terms</w:t>
      </w:r>
      <w:r>
        <w:rPr>
          <w:rFonts w:ascii="Times New Roman" w:hAnsi="Times New Roman"/>
          <w:sz w:val="21"/>
        </w:rPr>
        <w:t>—Document Intelligence, Synthetic Benchmark Generation, Information Extraction, Canonical Normalization, Error Taxonomy, Optical Degradation, Privacy-Safe AI.</w:t>
      </w:r>
    </w:p>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1. Introduction</w:t>
      </w:r>
    </w:p>
    <w:p>
      <w:pPr>
        <w:keepNext/>
        <w:spacing w:before="200" w:after="80"/>
      </w:pPr>
      <w:r>
        <w:rPr>
          <w:rFonts w:ascii="Times New Roman" w:hAnsi="Times New Roman"/>
          <w:b/>
          <w:color w:val="333333"/>
          <w:sz w:val="24"/>
        </w:rPr>
        <w:t>1.1 Background &amp; Motivation</w:t>
      </w:r>
    </w:p>
    <w:p>
      <w:pPr>
        <w:spacing w:before="40" w:after="80" w:line="276" w:lineRule="auto"/>
      </w:pPr>
      <w:r>
        <w:rPr>
          <w:rFonts w:ascii="Times New Roman" w:hAnsi="Times New Roman"/>
          <w:sz w:val="21"/>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pPr>
        <w:spacing w:before="40" w:after="80" w:line="276" w:lineRule="auto"/>
      </w:pPr>
      <w:r>
        <w:rPr>
          <w:rFonts w:ascii="Times New Roman" w:hAnsi="Times New Roman"/>
          <w:sz w:val="21"/>
        </w:rPr>
        <w:t>Despite recent advances in Large Language Models (LLMs) and Vision-Language Models (VLMs), benchmarking document extraction algorithms on academic records presents fundamental methodological obstacles:</w:t>
      </w:r>
    </w:p>
    <w:p>
      <w:pPr>
        <w:pStyle w:val="ListNumber"/>
        <w:spacing w:before="20" w:after="40"/>
      </w:pPr>
      <w:r>
        <w:rPr>
          <w:rFonts w:ascii="Times New Roman" w:hAnsi="Times New Roman"/>
          <w:b/>
          <w:sz w:val="21"/>
        </w:rPr>
        <w:t>Privacy &amp; Regulatory Barriers</w:t>
      </w:r>
      <w:r>
        <w:rPr>
          <w:rFonts w:ascii="Times New Roman" w:hAnsi="Times New Roman"/>
          <w:sz w:val="21"/>
        </w:rPr>
        <w:t>: Privacy laws such as the Family Educational Rights and Privacy Act (FERPA) in the United States and the General Data Protection Regulation (GDPR) in the European Union prohibit public sharing of authentic student academic records.</w:t>
      </w:r>
    </w:p>
    <w:p>
      <w:pPr>
        <w:pStyle w:val="ListNumber"/>
        <w:spacing w:before="20" w:after="40"/>
      </w:pPr>
      <w:r>
        <w:rPr>
          <w:rFonts w:ascii="Times New Roman" w:hAnsi="Times New Roman"/>
          <w:b/>
          <w:sz w:val="21"/>
        </w:rPr>
        <w:t>Structural &amp; Tabular Complexity</w:t>
      </w:r>
      <w:r>
        <w:rPr>
          <w:rFonts w:ascii="Times New Roman" w:hAnsi="Times New Roman"/>
          <w:sz w:val="21"/>
        </w:rPr>
        <w:t>: Academic marksheets feature multi-column course grids with subject codes, credit hours, numerical marks, and letter grades, requiring precise spatial and tabular array alignment.</w:t>
      </w:r>
    </w:p>
    <w:p>
      <w:pPr>
        <w:pStyle w:val="ListNumber"/>
        <w:spacing w:before="20" w:after="40"/>
      </w:pPr>
      <w:r>
        <w:rPr>
          <w:rFonts w:ascii="Times New Roman" w:hAnsi="Times New Roman"/>
          <w:b/>
          <w:sz w:val="21"/>
        </w:rPr>
        <w:t>Superficial Formatting Discrepancies</w:t>
      </w:r>
      <w:r>
        <w:rPr>
          <w:rFonts w:ascii="Times New Roman" w:hAnsi="Times New Roman"/>
          <w:sz w:val="21"/>
        </w:rPr>
        <w:t xml:space="preserve">: Standard string comparison metrics (e.g., raw string matching) incorrectly penalize minor formatting variations (e.g., </w:t>
      </w:r>
      <w:r>
        <w:rPr>
          <w:rFonts w:ascii="Times New Roman" w:hAnsi="Times New Roman"/>
          <w:color w:val="B42828"/>
          <w:sz w:val="21"/>
        </w:rPr>
        <w:t>2026-08-04</w:t>
      </w:r>
      <w:r>
        <w:rPr>
          <w:rFonts w:ascii="Times New Roman" w:hAnsi="Times New Roman"/>
          <w:sz w:val="21"/>
        </w:rPr>
        <w:t xml:space="preserve"> vs </w:t>
      </w:r>
      <w:r>
        <w:rPr>
          <w:rFonts w:ascii="Times New Roman" w:hAnsi="Times New Roman"/>
          <w:color w:val="B42828"/>
          <w:sz w:val="21"/>
        </w:rPr>
        <w:t>August 4, 2026</w:t>
      </w:r>
      <w:r>
        <w:rPr>
          <w:rFonts w:ascii="Times New Roman" w:hAnsi="Times New Roman"/>
          <w:sz w:val="21"/>
        </w:rPr>
        <w:t>), distorting extraction accuracy evaluations.</w:t>
      </w:r>
    </w:p>
    <w:p>
      <w:pPr>
        <w:keepNext/>
        <w:spacing w:before="200" w:after="80"/>
      </w:pPr>
      <w:r>
        <w:rPr>
          <w:rFonts w:ascii="Times New Roman" w:hAnsi="Times New Roman"/>
          <w:b/>
          <w:color w:val="333333"/>
          <w:sz w:val="24"/>
        </w:rPr>
        <w:t>1.2 Research Objectives</w:t>
      </w:r>
    </w:p>
    <w:p>
      <w:pPr>
        <w:spacing w:before="40" w:after="80" w:line="276" w:lineRule="auto"/>
      </w:pPr>
      <w:r>
        <w:rPr>
          <w:rFonts w:ascii="Times New Roman" w:hAnsi="Times New Roman"/>
          <w:sz w:val="21"/>
        </w:rPr>
        <w:t>To address these challenges, this study establishes a reproducible methodology for synthetic dataset generation and semantic performance evaluation. Specifically, we focus on:</w:t>
      </w:r>
    </w:p>
    <w:p>
      <w:pPr>
        <w:pStyle w:val="ListBullet"/>
        <w:spacing w:before="20" w:after="40"/>
      </w:pPr>
      <w:r>
        <w:rPr>
          <w:rFonts w:ascii="Times New Roman" w:hAnsi="Times New Roman"/>
          <w:b/>
          <w:sz w:val="21"/>
        </w:rPr>
        <w:t>O1</w:t>
      </w:r>
      <w:r>
        <w:rPr>
          <w:rFonts w:ascii="Times New Roman" w:hAnsi="Times New Roman"/>
          <w:sz w:val="21"/>
        </w:rPr>
        <w:t>: Developing a deterministic, privacy-compliant synthetic data generator capable of rendering diverse academic credentials with pixel-exact ground truth annotations.</w:t>
      </w:r>
    </w:p>
    <w:p>
      <w:pPr>
        <w:pStyle w:val="ListBullet"/>
        <w:spacing w:before="20" w:after="40"/>
      </w:pPr>
      <w:r>
        <w:rPr>
          <w:rFonts w:ascii="Times New Roman" w:hAnsi="Times New Roman"/>
          <w:b/>
          <w:sz w:val="21"/>
        </w:rPr>
        <w:t>O2</w:t>
      </w:r>
      <w:r>
        <w:rPr>
          <w:rFonts w:ascii="Times New Roman" w:hAnsi="Times New Roman"/>
          <w:sz w:val="21"/>
        </w:rPr>
        <w:t>: Designing a semantic canonical normalization pipeline that isolates genuine character recognition failures from benign formatting discrepancies.</w:t>
      </w:r>
    </w:p>
    <w:p>
      <w:pPr>
        <w:pStyle w:val="ListBullet"/>
        <w:spacing w:before="20" w:after="40"/>
      </w:pPr>
      <w:r>
        <w:rPr>
          <w:rFonts w:ascii="Times New Roman" w:hAnsi="Times New Roman"/>
          <w:b/>
          <w:sz w:val="21"/>
        </w:rPr>
        <w:t>O3</w:t>
      </w:r>
      <w:r>
        <w:rPr>
          <w:rFonts w:ascii="Times New Roman" w:hAnsi="Times New Roman"/>
          <w:sz w:val="21"/>
        </w:rPr>
        <w:t>: Defining a structured OCR error taxonomy and quality profile degradation framework to quantify performance decay across physical optical distortions.</w:t>
      </w:r>
    </w:p>
    <w:p>
      <w:pPr>
        <w:keepNext/>
        <w:spacing w:before="200" w:after="80"/>
      </w:pPr>
      <w:r>
        <w:rPr>
          <w:rFonts w:ascii="Times New Roman" w:hAnsi="Times New Roman"/>
          <w:b/>
          <w:color w:val="333333"/>
          <w:sz w:val="24"/>
        </w:rPr>
        <w:t>1.3 Main Research Contributions</w:t>
      </w:r>
    </w:p>
    <w:p>
      <w:pPr>
        <w:spacing w:before="40" w:after="80" w:line="276" w:lineRule="auto"/>
      </w:pPr>
      <w:r>
        <w:rPr>
          <w:rFonts w:ascii="Times New Roman" w:hAnsi="Times New Roman"/>
          <w:sz w:val="21"/>
        </w:rPr>
        <w:t>The primary contributions of this work are summarized as follows:</w:t>
      </w:r>
    </w:p>
    <w:p>
      <w:pPr>
        <w:pStyle w:val="ListNumber"/>
        <w:spacing w:before="20" w:after="40"/>
      </w:pPr>
      <w:r>
        <w:rPr>
          <w:rFonts w:ascii="Times New Roman" w:hAnsi="Times New Roman"/>
          <w:b/>
          <w:sz w:val="21"/>
        </w:rPr>
        <w:t>ADBG v1.0 Dataset Generator</w:t>
      </w:r>
      <w:r>
        <w:rPr>
          <w:rFonts w:ascii="Times New Roman" w:hAnsi="Times New Roman"/>
          <w:sz w:val="21"/>
        </w:rPr>
        <w:t>: A seed-deterministic synthetic data fabrication engine capable of rendering multi-page vector PDF and raster image credentials across three document categories (</w:t>
      </w:r>
      <w:r>
        <w:rPr>
          <w:rFonts w:ascii="Times New Roman" w:hAnsi="Times New Roman"/>
          <w:i/>
          <w:sz w:val="21"/>
        </w:rPr>
        <w:t>Certificates</w:t>
      </w:r>
      <w:r>
        <w:rPr>
          <w:rFonts w:ascii="Times New Roman" w:hAnsi="Times New Roman"/>
          <w:sz w:val="21"/>
        </w:rPr>
        <w:t xml:space="preserve">, </w:t>
      </w:r>
      <w:r>
        <w:rPr>
          <w:rFonts w:ascii="Times New Roman" w:hAnsi="Times New Roman"/>
          <w:i/>
          <w:sz w:val="21"/>
        </w:rPr>
        <w:t>Marksheets</w:t>
      </w:r>
      <w:r>
        <w:rPr>
          <w:rFonts w:ascii="Times New Roman" w:hAnsi="Times New Roman"/>
          <w:sz w:val="21"/>
        </w:rPr>
        <w:t xml:space="preserve">, </w:t>
      </w:r>
      <w:r>
        <w:rPr>
          <w:rFonts w:ascii="Times New Roman" w:hAnsi="Times New Roman"/>
          <w:i/>
          <w:sz w:val="21"/>
        </w:rPr>
        <w:t>Student IDs</w:t>
      </w:r>
      <w:r>
        <w:rPr>
          <w:rFonts w:ascii="Times New Roman" w:hAnsi="Times New Roman"/>
          <w:sz w:val="21"/>
        </w:rPr>
        <w:t>).</w:t>
      </w:r>
    </w:p>
    <w:p>
      <w:pPr>
        <w:pStyle w:val="ListNumber"/>
        <w:spacing w:before="20" w:after="40"/>
      </w:pPr>
      <w:r>
        <w:rPr>
          <w:rFonts w:ascii="Times New Roman" w:hAnsi="Times New Roman"/>
          <w:b/>
          <w:sz w:val="21"/>
        </w:rPr>
        <w:t>AU DIC Evaluation Subsystem</w:t>
      </w:r>
      <w:r>
        <w:rPr>
          <w:rFonts w:ascii="Times New Roman" w:hAnsi="Times New Roman"/>
          <w:sz w:val="21"/>
        </w:rPr>
        <w:t>: A decoupled, strictly read-only benchmark execution engine that evaluates document processing pipelines without modifying production data stores.</w:t>
      </w:r>
    </w:p>
    <w:p>
      <w:pPr>
        <w:pStyle w:val="ListNumber"/>
        <w:spacing w:before="20" w:after="40"/>
      </w:pPr>
      <w:r>
        <w:rPr>
          <w:rFonts w:ascii="Times New Roman" w:hAnsi="Times New Roman"/>
          <w:b/>
          <w:sz w:val="21"/>
        </w:rPr>
        <w:t>Six-Stage Semantic Normalization Layer</w:t>
      </w:r>
      <w:r>
        <w:rPr>
          <w:rFonts w:ascii="Times New Roman" w:hAnsi="Times New Roman"/>
          <w:sz w:val="21"/>
        </w:rPr>
        <w:t>: A canonical field normalizer (</w:t>
      </w:r>
      <w:r>
        <w:rPr>
          <w:rFonts w:ascii="Times New Roman" w:hAnsi="Times New Roman"/>
          <w:color w:val="B42828"/>
          <w:sz w:val="21"/>
        </w:rPr>
        <w:t>CanonicalNormalizer</w:t>
      </w:r>
      <w:r>
        <w:rPr>
          <w:rFonts w:ascii="Times New Roman" w:hAnsi="Times New Roman"/>
          <w:sz w:val="21"/>
        </w:rPr>
        <w:t>) that standardizes dates, roll numbers, numerical grades, degree titles, and institution aliases prior to metric calculation.</w:t>
      </w:r>
    </w:p>
    <w:p>
      <w:pPr>
        <w:pStyle w:val="ListNumber"/>
        <w:spacing w:before="20" w:after="40"/>
      </w:pPr>
      <w:r>
        <w:rPr>
          <w:rFonts w:ascii="Times New Roman" w:hAnsi="Times New Roman"/>
          <w:b/>
          <w:sz w:val="21"/>
        </w:rPr>
        <w:t>Nine-Class Structured OCR Error Taxonomy</w:t>
      </w:r>
      <w:r>
        <w:rPr>
          <w:rFonts w:ascii="Times New Roman" w:hAnsi="Times New Roman"/>
          <w:sz w:val="21"/>
        </w:rPr>
        <w:t>: An automated error categorization module that classifies field extraction failures into distinct diagnostic categories (</w:t>
      </w:r>
      <w:r>
        <w:rPr>
          <w:rFonts w:ascii="Times New Roman" w:hAnsi="Times New Roman"/>
          <w:color w:val="B42828"/>
          <w:sz w:val="21"/>
        </w:rPr>
        <w:t>OCR_ERROR</w:t>
      </w:r>
      <w:r>
        <w:rPr>
          <w:rFonts w:ascii="Times New Roman" w:hAnsi="Times New Roman"/>
          <w:sz w:val="21"/>
        </w:rPr>
        <w:t xml:space="preserve">, </w:t>
      </w:r>
      <w:r>
        <w:rPr>
          <w:rFonts w:ascii="Times New Roman" w:hAnsi="Times New Roman"/>
          <w:color w:val="B42828"/>
          <w:sz w:val="21"/>
        </w:rPr>
        <w:t>FIELD_MISSING</w:t>
      </w:r>
      <w:r>
        <w:rPr>
          <w:rFonts w:ascii="Times New Roman" w:hAnsi="Times New Roman"/>
          <w:sz w:val="21"/>
        </w:rPr>
        <w:t xml:space="preserve">, </w:t>
      </w:r>
      <w:r>
        <w:rPr>
          <w:rFonts w:ascii="Times New Roman" w:hAnsi="Times New Roman"/>
          <w:color w:val="B42828"/>
          <w:sz w:val="21"/>
        </w:rPr>
        <w:t>HALLUCINATION</w:t>
      </w:r>
      <w:r>
        <w:rPr>
          <w:rFonts w:ascii="Times New Roman" w:hAnsi="Times New Roman"/>
          <w:sz w:val="21"/>
        </w:rPr>
        <w:t xml:space="preserve">, </w:t>
      </w:r>
      <w:r>
        <w:rPr>
          <w:rFonts w:ascii="Times New Roman" w:hAnsi="Times New Roman"/>
          <w:color w:val="B42828"/>
          <w:sz w:val="21"/>
        </w:rPr>
        <w:t>FORMAT_ERROR</w:t>
      </w:r>
      <w:r>
        <w:rPr>
          <w:rFonts w:ascii="Times New Roman" w:hAnsi="Times New Roman"/>
          <w:sz w:val="21"/>
        </w:rPr>
        <w:t>, etc.).</w:t>
      </w:r>
    </w:p>
    <w:p>
      <w:pPr>
        <w:pStyle w:val="ListNumber"/>
        <w:spacing w:before="20" w:after="40"/>
      </w:pPr>
      <w:r>
        <w:rPr>
          <w:rFonts w:ascii="Times New Roman" w:hAnsi="Times New Roman"/>
          <w:b/>
          <w:sz w:val="21"/>
        </w:rPr>
        <w:t>Quality Profile Robustness Framework</w:t>
      </w:r>
      <w:r>
        <w:rPr>
          <w:rFonts w:ascii="Times New Roman" w:hAnsi="Times New Roman"/>
          <w:sz w:val="21"/>
        </w:rPr>
        <w:t>: A systematic evaluation matrix measuring extraction decay across four standardized optical profiles (</w:t>
      </w:r>
      <w:r>
        <w:rPr>
          <w:rFonts w:ascii="Times New Roman" w:hAnsi="Times New Roman"/>
          <w:color w:val="B42828"/>
          <w:sz w:val="21"/>
        </w:rPr>
        <w:t>clean</w:t>
      </w:r>
      <w:r>
        <w:rPr>
          <w:rFonts w:ascii="Times New Roman" w:hAnsi="Times New Roman"/>
          <w:sz w:val="21"/>
        </w:rPr>
        <w:t xml:space="preserve">, </w:t>
      </w:r>
      <w:r>
        <w:rPr>
          <w:rFonts w:ascii="Times New Roman" w:hAnsi="Times New Roman"/>
          <w:color w:val="B42828"/>
          <w:sz w:val="21"/>
        </w:rPr>
        <w:t>scanner_copy</w:t>
      </w:r>
      <w:r>
        <w:rPr>
          <w:rFonts w:ascii="Times New Roman" w:hAnsi="Times New Roman"/>
          <w:sz w:val="21"/>
        </w:rPr>
        <w:t xml:space="preserve">, </w:t>
      </w:r>
      <w:r>
        <w:rPr>
          <w:rFonts w:ascii="Times New Roman" w:hAnsi="Times New Roman"/>
          <w:color w:val="B42828"/>
          <w:sz w:val="21"/>
        </w:rPr>
        <w:t>mobile_camera</w:t>
      </w:r>
      <w:r>
        <w:rPr>
          <w:rFonts w:ascii="Times New Roman" w:hAnsi="Times New Roman"/>
          <w:sz w:val="21"/>
        </w:rPr>
        <w:t xml:space="preserve">, </w:t>
      </w:r>
      <w:r>
        <w:rPr>
          <w:rFonts w:ascii="Times New Roman" w:hAnsi="Times New Roman"/>
          <w:color w:val="B42828"/>
          <w:sz w:val="21"/>
        </w:rPr>
        <w:t>rotated_90</w:t>
      </w:r>
      <w:r>
        <w:rPr>
          <w:rFonts w:ascii="Times New Roman" w:hAnsi="Times New Roman"/>
          <w:sz w:val="21"/>
        </w:rPr>
        <w:t>).</w:t>
      </w:r>
    </w:p>
    <w:p>
      <w:pPr>
        <w:keepNext/>
        <w:spacing w:before="200" w:after="80"/>
      </w:pPr>
      <w:r>
        <w:rPr>
          <w:rFonts w:ascii="Times New Roman" w:hAnsi="Times New Roman"/>
          <w:b/>
          <w:color w:val="333333"/>
          <w:sz w:val="24"/>
        </w:rPr>
        <w:t>1.4 Paper Organization</w:t>
      </w:r>
    </w:p>
    <w:p>
      <w:pPr>
        <w:spacing w:before="40" w:after="80" w:line="276" w:lineRule="auto"/>
      </w:pPr>
      <w:r>
        <w:rPr>
          <w:rFonts w:ascii="Times New Roman" w:hAnsi="Times New Roman"/>
          <w:sz w:val="21"/>
        </w:rPr>
        <w:t>The remainder of this paper is organized as follows. Section 2 surveys related work. Section 3 details the system architecture. Section 4 presents the ADBG synthetic data generation methodology. Section 5 describes the AU DIC evaluation framework and normalizers. Section 6 specifies the experimental protocol and metrics. Section 7 presents empirical validation results. Section 8 discusses findings, limitations, and threats to validity. Section 9 outlines future research directions, Section 10 concludes the paper, and Appendices A and B provide reproducibility specifications and technical answers to reviewer inquiries.</w:t>
      </w:r>
    </w:p>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2. Related Work</w:t>
      </w:r>
    </w:p>
    <w:p>
      <w:pPr>
        <w:keepNext/>
        <w:spacing w:before="200" w:after="80"/>
      </w:pPr>
      <w:r>
        <w:rPr>
          <w:rFonts w:ascii="Times New Roman" w:hAnsi="Times New Roman"/>
          <w:b/>
          <w:color w:val="333333"/>
          <w:sz w:val="24"/>
        </w:rPr>
        <w:t>2.1 Information Extraction &amp; Neural Document AI Architectures</w:t>
      </w:r>
    </w:p>
    <w:p>
      <w:pPr>
        <w:spacing w:before="40" w:after="80" w:line="276" w:lineRule="auto"/>
      </w:pPr>
      <w:r>
        <w:rPr>
          <w:rFonts w:ascii="Times New Roman" w:hAnsi="Times New Roman"/>
          <w:sz w:val="21"/>
        </w:rPr>
        <w:t xml:space="preserve">Modern Document AI architectures integrate visual features, textual content, and spatial layout coordinates. Multimodal models such as </w:t>
      </w:r>
      <w:r>
        <w:rPr>
          <w:rFonts w:ascii="Times New Roman" w:hAnsi="Times New Roman"/>
          <w:b/>
          <w:sz w:val="21"/>
        </w:rPr>
        <w:t>LayoutLMv3</w:t>
      </w:r>
      <w:r>
        <w:rPr>
          <w:rFonts w:ascii="Times New Roman" w:hAnsi="Times New Roman"/>
          <w:sz w:val="21"/>
        </w:rPr>
        <w:t xml:space="preserve"> (Huang et al., 2022) utilize unified text and image masking to capture spatial correlations across complex form fields. Similarly, end-to-end vision encoder-decoder models such as </w:t>
      </w:r>
      <w:r>
        <w:rPr>
          <w:rFonts w:ascii="Times New Roman" w:hAnsi="Times New Roman"/>
          <w:b/>
          <w:sz w:val="21"/>
        </w:rPr>
        <w:t>Donut</w:t>
      </w:r>
      <w:r>
        <w:rPr>
          <w:rFonts w:ascii="Times New Roman" w:hAnsi="Times New Roman"/>
          <w:sz w:val="21"/>
        </w:rPr>
        <w:t xml:space="preserve"> (Kim et al., 2022) eliminate explicit OCR dependencies by mapping document images directly to structured JSON trees. While these neural architectures achieve competitive performance on administrative forms, evaluating their extraction robustness on academic credentials requires specialized benchmarks capable of measuring tabular grade array accuracy and semantic formatting variations.</w:t>
      </w:r>
    </w:p>
    <w:p>
      <w:pPr>
        <w:keepNext/>
        <w:spacing w:before="200" w:after="80"/>
      </w:pPr>
      <w:r>
        <w:rPr>
          <w:rFonts w:ascii="Times New Roman" w:hAnsi="Times New Roman"/>
          <w:b/>
          <w:color w:val="333333"/>
          <w:sz w:val="24"/>
        </w:rPr>
        <w:t>2.2 Public Document Intelligence Benchmarks</w:t>
      </w:r>
    </w:p>
    <w:p>
      <w:pPr>
        <w:spacing w:before="40" w:after="80" w:line="276" w:lineRule="auto"/>
      </w:pPr>
      <w:r>
        <w:rPr>
          <w:rFonts w:ascii="Times New Roman" w:hAnsi="Times New Roman"/>
          <w:sz w:val="21"/>
        </w:rPr>
        <w:t>Several public datasets exist for document analysis research:</w:t>
      </w:r>
    </w:p>
    <w:p>
      <w:pPr>
        <w:pStyle w:val="ListBullet"/>
        <w:spacing w:before="20" w:after="40"/>
      </w:pPr>
      <w:r>
        <w:rPr>
          <w:rFonts w:ascii="Times New Roman" w:hAnsi="Times New Roman"/>
          <w:b/>
          <w:sz w:val="21"/>
        </w:rPr>
        <w:t>Receipts &amp; Invoices</w:t>
      </w:r>
      <w:r>
        <w:rPr>
          <w:rFonts w:ascii="Times New Roman" w:hAnsi="Times New Roman"/>
          <w:sz w:val="21"/>
        </w:rPr>
        <w:t xml:space="preserve">: </w:t>
      </w:r>
      <w:r>
        <w:rPr>
          <w:rFonts w:ascii="Times New Roman" w:hAnsi="Times New Roman"/>
          <w:b/>
          <w:sz w:val="21"/>
        </w:rPr>
        <w:t>SROIE</w:t>
      </w:r>
      <w:r>
        <w:rPr>
          <w:rFonts w:ascii="Times New Roman" w:hAnsi="Times New Roman"/>
          <w:sz w:val="21"/>
        </w:rPr>
        <w:t xml:space="preserve"> (Huang et al., 2019) and </w:t>
      </w:r>
      <w:r>
        <w:rPr>
          <w:rFonts w:ascii="Times New Roman" w:hAnsi="Times New Roman"/>
          <w:b/>
          <w:sz w:val="21"/>
        </w:rPr>
        <w:t>CORD</w:t>
      </w:r>
      <w:r>
        <w:rPr>
          <w:rFonts w:ascii="Times New Roman" w:hAnsi="Times New Roman"/>
          <w:sz w:val="21"/>
        </w:rPr>
        <w:t xml:space="preserve"> (Park et al., 2019) provide key-value annotations for commercial receipt parsing.</w:t>
      </w:r>
    </w:p>
    <w:p>
      <w:pPr>
        <w:pStyle w:val="ListBullet"/>
        <w:spacing w:before="20" w:after="40"/>
      </w:pPr>
      <w:r>
        <w:rPr>
          <w:rFonts w:ascii="Times New Roman" w:hAnsi="Times New Roman"/>
          <w:b/>
          <w:sz w:val="21"/>
        </w:rPr>
        <w:t>Form Understanding</w:t>
      </w:r>
      <w:r>
        <w:rPr>
          <w:rFonts w:ascii="Times New Roman" w:hAnsi="Times New Roman"/>
          <w:sz w:val="21"/>
        </w:rPr>
        <w:t xml:space="preserve">: </w:t>
      </w:r>
      <w:r>
        <w:rPr>
          <w:rFonts w:ascii="Times New Roman" w:hAnsi="Times New Roman"/>
          <w:b/>
          <w:sz w:val="21"/>
        </w:rPr>
        <w:t>FUNSD</w:t>
      </w:r>
      <w:r>
        <w:rPr>
          <w:rFonts w:ascii="Times New Roman" w:hAnsi="Times New Roman"/>
          <w:sz w:val="21"/>
        </w:rPr>
        <w:t xml:space="preserve"> (Jaume et al., 2019) provides word-level and entity-level relationship annotations for administrative forms.</w:t>
      </w:r>
    </w:p>
    <w:p>
      <w:pPr>
        <w:pStyle w:val="ListBullet"/>
        <w:spacing w:before="20" w:after="40"/>
      </w:pPr>
      <w:r>
        <w:rPr>
          <w:rFonts w:ascii="Times New Roman" w:hAnsi="Times New Roman"/>
          <w:b/>
          <w:sz w:val="21"/>
        </w:rPr>
        <w:t>Document Visual Question Answering</w:t>
      </w:r>
      <w:r>
        <w:rPr>
          <w:rFonts w:ascii="Times New Roman" w:hAnsi="Times New Roman"/>
          <w:sz w:val="21"/>
        </w:rPr>
        <w:t xml:space="preserve">: </w:t>
      </w:r>
      <w:r>
        <w:rPr>
          <w:rFonts w:ascii="Times New Roman" w:hAnsi="Times New Roman"/>
          <w:b/>
          <w:sz w:val="21"/>
        </w:rPr>
        <w:t>DocVQA</w:t>
      </w:r>
      <w:r>
        <w:rPr>
          <w:rFonts w:ascii="Times New Roman" w:hAnsi="Times New Roman"/>
          <w:sz w:val="21"/>
        </w:rPr>
        <w:t xml:space="preserve"> (Mathew et al., 2021) evaluates visual question answering across industry documents.</w:t>
      </w:r>
    </w:p>
    <w:p>
      <w:pPr>
        <w:pStyle w:val="ListBullet"/>
        <w:spacing w:before="20" w:after="40"/>
      </w:pPr>
      <w:r>
        <w:rPr>
          <w:rFonts w:ascii="Times New Roman" w:hAnsi="Times New Roman"/>
          <w:b/>
          <w:sz w:val="21"/>
        </w:rPr>
        <w:t>Document Classification</w:t>
      </w:r>
      <w:r>
        <w:rPr>
          <w:rFonts w:ascii="Times New Roman" w:hAnsi="Times New Roman"/>
          <w:sz w:val="21"/>
        </w:rPr>
        <w:t xml:space="preserve">: </w:t>
      </w:r>
      <w:r>
        <w:rPr>
          <w:rFonts w:ascii="Times New Roman" w:hAnsi="Times New Roman"/>
          <w:b/>
          <w:sz w:val="21"/>
        </w:rPr>
        <w:t>RVL-CDIP</w:t>
      </w:r>
      <w:r>
        <w:rPr>
          <w:rFonts w:ascii="Times New Roman" w:hAnsi="Times New Roman"/>
          <w:sz w:val="21"/>
        </w:rPr>
        <w:t xml:space="preserve"> (Harley et al., 2015) provides single-page scanned document categories across 16 administrative classes.</w:t>
      </w:r>
    </w:p>
    <w:p>
      <w:pPr>
        <w:spacing w:before="40" w:after="80" w:line="276" w:lineRule="auto"/>
      </w:pPr>
      <w:r>
        <w:rPr>
          <w:rFonts w:ascii="Times New Roman" w:hAnsi="Times New Roman"/>
          <w:sz w:val="21"/>
        </w:rPr>
        <w:t>However, these datasets do not focus on academic credentials, which combine dense tabular course arrays (subject codes, credits, grades) with formal institutional metadata. Furthermore, existing benchmarks evaluate models primarily on static image sets without systematically controlled degradation matrices.</w:t>
      </w:r>
    </w:p>
    <w:p>
      <w:pPr>
        <w:keepNext/>
        <w:spacing w:before="200" w:after="80"/>
      </w:pPr>
      <w:r>
        <w:rPr>
          <w:rFonts w:ascii="Times New Roman" w:hAnsi="Times New Roman"/>
          <w:b/>
          <w:color w:val="333333"/>
          <w:sz w:val="24"/>
        </w:rPr>
        <w:t>2.3 Synthetic Document Generation &amp; Benchmark Comparison</w:t>
      </w:r>
    </w:p>
    <w:p>
      <w:pPr>
        <w:spacing w:before="40" w:after="80" w:line="276" w:lineRule="auto"/>
      </w:pPr>
      <w:r>
        <w:rPr>
          <w:rFonts w:ascii="Times New Roman" w:hAnsi="Times New Roman"/>
          <w:sz w:val="21"/>
        </w:rPr>
        <w:t>To overcome privacy constraints, synthetic data generation frameworks render synthetic text onto natural images or form templates. ADBG v1.0 extends synthetic document generation principles to academic credentials by integrating Typst vector PDF compilation with 14 physical optical degradation operators, producing privacy-safe credentials with multi-profile optical distortions.</w:t>
      </w:r>
    </w:p>
    <w:p>
      <w:pPr>
        <w:spacing w:before="40" w:after="80" w:line="276" w:lineRule="auto"/>
      </w:pPr>
      <w:r>
        <w:rPr>
          <w:rFonts w:ascii="Times New Roman" w:hAnsi="Times New Roman"/>
          <w:sz w:val="21"/>
        </w:rPr>
        <w:t>Table 0 presents a comparative feature matrix contrasting ADBG v1.0 with existing public document analysis benchmarks.</w:t>
      </w:r>
    </w:p>
    <w:p>
      <w:pPr>
        <w:keepNext/>
        <w:spacing w:before="160" w:after="80"/>
        <w:jc w:val="center"/>
      </w:pPr>
      <w:r>
        <w:rPr>
          <w:rFonts w:ascii="Times New Roman" w:hAnsi="Times New Roman"/>
          <w:b/>
          <w:color w:val="003366"/>
          <w:sz w:val="20"/>
        </w:rPr>
        <w:t>Table 0: Comparative Feature Matrix of Document Intelligence Benchmarks</w:t>
      </w:r>
    </w:p>
    <w:tbl>
      <w:tblPr>
        <w:tblW w:type="auto" w:w="0"/>
        <w:jc w:val="center"/>
        <w:tblLook w:firstColumn="1" w:firstRow="1" w:lastColumn="0" w:lastRow="0" w:noHBand="0" w:noVBand="1" w:val="04A0"/>
        <w:tblBorders>
          <w:top w:val="single" w:sz="8" w:space="0" w:color="003366"/>
          <w:bottom w:val="single" w:sz="8"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Benchmark</w:t>
            </w:r>
          </w:p>
        </w:tc>
        <w:tc>
          <w:tcPr>
            <w:tcW w:type="dxa" w:w="156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Document Domain</w:t>
            </w:r>
          </w:p>
        </w:tc>
        <w:tc>
          <w:tcPr>
            <w:tcW w:type="dxa" w:w="156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Privacy-Safe Synthetic</w:t>
            </w:r>
          </w:p>
        </w:tc>
        <w:tc>
          <w:tcPr>
            <w:tcW w:type="dxa" w:w="156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Tabular Grade Array Support</w:t>
            </w:r>
          </w:p>
        </w:tc>
        <w:tc>
          <w:tcPr>
            <w:tcW w:type="dxa" w:w="156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Controlled Quality Degradation Matrix</w:t>
            </w:r>
          </w:p>
        </w:tc>
        <w:tc>
          <w:tcPr>
            <w:tcW w:type="dxa" w:w="156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Semantic Canonical Normalization</w:t>
            </w:r>
          </w:p>
        </w:tc>
      </w:tr>
      <w:tr>
        <w:tc>
          <w:tcPr>
            <w:tcW w:type="dxa" w:w="1560"/>
            <w:tcMar>
              <w:top w:w="100" w:type="dxa"/>
              <w:bottom w:w="100" w:type="dxa"/>
              <w:left w:w="140" w:type="dxa"/>
              <w:right w:w="140" w:type="dxa"/>
            </w:tcMar>
            <w:shd w:fill="FFFFFF"/>
          </w:tcPr>
          <w:p>
            <w:pPr>
              <w:spacing w:before="40" w:after="40"/>
              <w:jc w:val="left"/>
            </w:pPr>
            <w:r>
              <w:rPr>
                <w:rFonts w:ascii="Times New Roman" w:hAnsi="Times New Roman"/>
                <w:b/>
                <w:sz w:val="18"/>
              </w:rPr>
              <w:t>SROIE</w:t>
            </w:r>
            <w:r>
              <w:rPr>
                <w:rFonts w:ascii="Times New Roman" w:hAnsi="Times New Roman"/>
                <w:sz w:val="18"/>
              </w:rPr>
              <w:t xml:space="preserve"> (Huang et al., 2019)</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Commercial Receipts</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40" w:type="dxa"/>
              <w:right w:w="140" w:type="dxa"/>
            </w:tcMar>
            <w:shd w:fill="F8F9FA"/>
          </w:tcPr>
          <w:p>
            <w:pPr>
              <w:spacing w:before="40" w:after="40"/>
              <w:jc w:val="left"/>
            </w:pPr>
            <w:r>
              <w:rPr>
                <w:rFonts w:ascii="Times New Roman" w:hAnsi="Times New Roman"/>
                <w:b/>
                <w:sz w:val="18"/>
              </w:rPr>
              <w:t>CORD</w:t>
            </w:r>
            <w:r>
              <w:rPr>
                <w:rFonts w:ascii="Times New Roman" w:hAnsi="Times New Roman"/>
                <w:sz w:val="18"/>
              </w:rPr>
              <w:t xml:space="preserve"> (Park et al., 2019)</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sz w:val="18"/>
              </w:rPr>
              <w:t>Scanned Receipts</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sz w:val="18"/>
              </w:rPr>
              <w:t>No (Anonymized)</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sz w:val="18"/>
              </w:rPr>
              <w:t>Partial</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sz w:val="18"/>
              </w:rPr>
              <w:t>No</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sz w:val="18"/>
              </w:rPr>
              <w:t>No</w:t>
            </w:r>
          </w:p>
        </w:tc>
      </w:tr>
      <w:tr>
        <w:tc>
          <w:tcPr>
            <w:tcW w:type="dxa" w:w="1560"/>
            <w:tcMar>
              <w:top w:w="100" w:type="dxa"/>
              <w:bottom w:w="100" w:type="dxa"/>
              <w:left w:w="140" w:type="dxa"/>
              <w:right w:w="140" w:type="dxa"/>
            </w:tcMar>
            <w:shd w:fill="FFFFFF"/>
          </w:tcPr>
          <w:p>
            <w:pPr>
              <w:spacing w:before="40" w:after="40"/>
              <w:jc w:val="left"/>
            </w:pPr>
            <w:r>
              <w:rPr>
                <w:rFonts w:ascii="Times New Roman" w:hAnsi="Times New Roman"/>
                <w:b/>
                <w:sz w:val="18"/>
              </w:rPr>
              <w:t>FUNSD</w:t>
            </w:r>
            <w:r>
              <w:rPr>
                <w:rFonts w:ascii="Times New Roman" w:hAnsi="Times New Roman"/>
                <w:sz w:val="18"/>
              </w:rPr>
              <w:t xml:space="preserve"> (Jaume et al., 2019)</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Noise-Degraded Forms</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Static Noise Only</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40" w:type="dxa"/>
              <w:right w:w="140" w:type="dxa"/>
            </w:tcMar>
            <w:shd w:fill="F8F9FA"/>
          </w:tcPr>
          <w:p>
            <w:pPr>
              <w:spacing w:before="40" w:after="40"/>
              <w:jc w:val="left"/>
            </w:pPr>
            <w:r>
              <w:rPr>
                <w:rFonts w:ascii="Times New Roman" w:hAnsi="Times New Roman"/>
                <w:b/>
                <w:sz w:val="18"/>
              </w:rPr>
              <w:t>DocVQA</w:t>
            </w:r>
            <w:r>
              <w:rPr>
                <w:rFonts w:ascii="Times New Roman" w:hAnsi="Times New Roman"/>
                <w:sz w:val="18"/>
              </w:rPr>
              <w:t xml:space="preserve"> (Mathew et al., 2021)</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sz w:val="18"/>
              </w:rPr>
              <w:t>Mixed Documents</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sz w:val="18"/>
              </w:rPr>
              <w:t>No (Scanned)</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sz w:val="18"/>
              </w:rPr>
              <w:t>Partial</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sz w:val="18"/>
              </w:rPr>
              <w:t>No</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sz w:val="18"/>
              </w:rPr>
              <w:t>No</w:t>
            </w:r>
          </w:p>
        </w:tc>
      </w:tr>
      <w:tr>
        <w:tc>
          <w:tcPr>
            <w:tcW w:type="dxa" w:w="1560"/>
            <w:tcMar>
              <w:top w:w="100" w:type="dxa"/>
              <w:bottom w:w="100" w:type="dxa"/>
              <w:left w:w="140" w:type="dxa"/>
              <w:right w:w="140" w:type="dxa"/>
            </w:tcMar>
            <w:shd w:fill="FFFFFF"/>
          </w:tcPr>
          <w:p>
            <w:pPr>
              <w:spacing w:before="40" w:after="40"/>
              <w:jc w:val="left"/>
            </w:pPr>
            <w:r>
              <w:rPr>
                <w:rFonts w:ascii="Times New Roman" w:hAnsi="Times New Roman"/>
                <w:b/>
                <w:sz w:val="18"/>
              </w:rPr>
              <w:t>RVL-CDIP</w:t>
            </w:r>
            <w:r>
              <w:rPr>
                <w:rFonts w:ascii="Times New Roman" w:hAnsi="Times New Roman"/>
                <w:sz w:val="18"/>
              </w:rPr>
              <w:t xml:space="preserve"> (Harley et al., 2015)</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General Business</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40" w:type="dxa"/>
              <w:right w:w="14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40" w:type="dxa"/>
              <w:right w:w="140" w:type="dxa"/>
            </w:tcMar>
            <w:shd w:fill="F8F9FA"/>
          </w:tcPr>
          <w:p>
            <w:pPr>
              <w:spacing w:before="40" w:after="40"/>
              <w:jc w:val="left"/>
            </w:pPr>
            <w:r>
              <w:rPr>
                <w:rFonts w:ascii="Times New Roman" w:hAnsi="Times New Roman"/>
                <w:b/>
                <w:sz w:val="18"/>
              </w:rPr>
              <w:t>ADBG v1.0 / AU DIC (Ours)</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sz w:val="18"/>
              </w:rPr>
              <w:t>Academic Credentials</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b/>
                <w:sz w:val="18"/>
              </w:rPr>
              <w:t>Yes (100% Synthetic)</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b/>
                <w:sz w:val="18"/>
              </w:rPr>
              <w:t>Yes (Semester Arrays)</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b/>
                <w:sz w:val="18"/>
              </w:rPr>
              <w:t>Yes (4 Profiles)</w:t>
            </w:r>
          </w:p>
        </w:tc>
        <w:tc>
          <w:tcPr>
            <w:tcW w:type="dxa" w:w="1560"/>
            <w:tcMar>
              <w:top w:w="100" w:type="dxa"/>
              <w:bottom w:w="100" w:type="dxa"/>
              <w:left w:w="140" w:type="dxa"/>
              <w:right w:w="140" w:type="dxa"/>
            </w:tcMar>
            <w:shd w:fill="F8F9FA"/>
          </w:tcPr>
          <w:p>
            <w:pPr>
              <w:spacing w:before="40" w:after="40"/>
              <w:jc w:val="center"/>
            </w:pPr>
            <w:r>
              <w:rPr>
                <w:rFonts w:ascii="Times New Roman" w:hAnsi="Times New Roman"/>
                <w:b/>
                <w:sz w:val="18"/>
              </w:rPr>
              <w:t>Yes (6 Stages)</w:t>
            </w:r>
          </w:p>
        </w:tc>
      </w:tr>
    </w:tbl>
    <w:p>
      <w:pPr>
        <w:spacing w:after="120"/>
      </w:pPr>
    </w:p>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3. System Architecture Overview</w:t>
      </w:r>
    </w:p>
    <w:p>
      <w:pPr>
        <w:spacing w:before="40" w:after="80" w:line="276" w:lineRule="auto"/>
      </w:pPr>
      <w:r>
        <w:rPr>
          <w:rFonts w:ascii="Times New Roman" w:hAnsi="Times New Roman"/>
          <w:sz w:val="21"/>
        </w:rPr>
        <w:t xml:space="preserve">The system architecture consists of two decoupled components: the </w:t>
      </w:r>
      <w:r>
        <w:rPr>
          <w:rFonts w:ascii="Times New Roman" w:hAnsi="Times New Roman"/>
          <w:b/>
          <w:sz w:val="21"/>
        </w:rPr>
        <w:t>ADBG Subsystem</w:t>
      </w:r>
      <w:r>
        <w:rPr>
          <w:rFonts w:ascii="Times New Roman" w:hAnsi="Times New Roman"/>
          <w:sz w:val="21"/>
        </w:rPr>
        <w:t xml:space="preserve"> (synthetic document generator) and the </w:t>
      </w:r>
      <w:r>
        <w:rPr>
          <w:rFonts w:ascii="Times New Roman" w:hAnsi="Times New Roman"/>
          <w:b/>
          <w:sz w:val="21"/>
        </w:rPr>
        <w:t>AU DIC Benchmark Subsystem</w:t>
      </w:r>
      <w:r>
        <w:rPr>
          <w:rFonts w:ascii="Times New Roman" w:hAnsi="Times New Roman"/>
          <w:sz w:val="21"/>
        </w:rPr>
        <w:t xml:space="preserve"> (read-only evaluation framework).</w:t>
      </w:r>
    </w:p>
    <w:p>
      <w:pPr>
        <w:spacing w:before="80" w:after="120"/>
        <w:ind w:left="576" w:right="576"/>
      </w:pP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40"/>
            </w:pPr>
            <w:r>
              <w:rPr>
                <w:rFonts w:ascii="Consolas" w:hAnsi="Consolas"/>
                <w:color w:val="1E1E1E"/>
                <w:sz w:val="18"/>
              </w:rPr>
              <w:t>graph LR</w:t>
              <w:br/>
              <w:t xml:space="preserve">    subgraph ADBG Subsystem</w:t>
              <w:br/>
              <w:t xml:space="preserve">        A[Seed Generator] --&gt; B[Typst Template Compiler]</w:t>
              <w:br/>
              <w:t xml:space="preserve">        B --&gt; C[Vector PDF Specimen]</w:t>
              <w:br/>
              <w:t xml:space="preserve">        C --&gt; D[Rasterizer &amp; Degradation Pipeline]</w:t>
              <w:br/>
              <w:t xml:space="preserve">        D --&gt; E[Ground Truth &amp; Specimen Store]</w:t>
              <w:br/>
              <w:t xml:space="preserve">    end</w:t>
              <w:br/>
              <w:t xml:space="preserve">    subgraph AU DIC Evaluation Subsystem</w:t>
              <w:br/>
              <w:t xml:space="preserve">        E --&gt; F[Benchmark Runner Engine]</w:t>
              <w:br/>
              <w:t xml:space="preserve">        F --&gt; G[Prediction Adapter]</w:t>
              <w:br/>
              <w:t xml:space="preserve">        G --&gt; H[Canonical Normalizer]</w:t>
              <w:br/>
              <w:t xml:space="preserve">        H --&gt; I[Field Comparator &amp; Error Taxonomist]</w:t>
              <w:br/>
              <w:t xml:space="preserve">        I --&gt; J[JSON / LaTeX Report Generator]</w:t>
              <w:br/>
              <w:t xml:space="preserve">    end</w:t>
            </w:r>
          </w:p>
        </w:tc>
      </w:tr>
    </w:tbl>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4. ADBG Synthetic Data Generation Methodology</w:t>
      </w:r>
    </w:p>
    <w:p>
      <w:pPr>
        <w:keepNext/>
        <w:spacing w:before="200" w:after="80"/>
      </w:pPr>
      <w:r>
        <w:rPr>
          <w:rFonts w:ascii="Times New Roman" w:hAnsi="Times New Roman"/>
          <w:b/>
          <w:color w:val="333333"/>
          <w:sz w:val="24"/>
        </w:rPr>
        <w:t>4.1 Seed-Deterministic Profile Generation</w:t>
      </w:r>
    </w:p>
    <w:p>
      <w:pPr>
        <w:spacing w:before="40" w:after="80" w:line="276" w:lineRule="auto"/>
      </w:pPr>
      <w:r>
        <w:rPr>
          <w:rFonts w:ascii="Times New Roman" w:hAnsi="Times New Roman"/>
          <w:sz w:val="21"/>
        </w:rPr>
        <w:t>ADBG v1.0 generates synthetic document profiles using a pseudo-random seed generator (</w:t>
      </w:r>
      <w:r>
        <w:rPr>
          <w:rFonts w:ascii="Consolas" w:hAnsi="Consolas"/>
          <w:color w:val="B42828"/>
          <w:sz w:val="19"/>
        </w:rPr>
        <w:t>PrngSeedGenerator</w:t>
      </w:r>
      <w:r>
        <w:rPr>
          <w:rFonts w:ascii="Times New Roman" w:hAnsi="Times New Roman"/>
          <w:sz w:val="21"/>
        </w:rPr>
        <w:t>). Seed initialization ensures that identical seed parameters produce identical document text, field layout coordinates, and visual degradation artifacts across runs:</w:t>
      </w:r>
    </w:p>
    <w:p>
      <w:pPr>
        <w:spacing w:before="120" w:after="120"/>
        <w:jc w:val="center"/>
      </w:pPr>
      <w:r>
        <w:rPr>
          <w:rFonts w:ascii="Cambria Math" w:hAnsi="Cambria Math"/>
          <w:i/>
          <w:color w:val="003366"/>
          <w:sz w:val="22"/>
        </w:rPr>
        <w:t>\text{DocumentSpecimen} = \mathcal{G}(\text{Seed}, \text{Category}, \text{Profile})</w:t>
      </w:r>
    </w:p>
    <w:p>
      <w:pPr>
        <w:keepNext/>
        <w:spacing w:before="200" w:after="80"/>
      </w:pPr>
      <w:r>
        <w:rPr>
          <w:rFonts w:ascii="Times New Roman" w:hAnsi="Times New Roman"/>
          <w:b/>
          <w:color w:val="333333"/>
          <w:sz w:val="24"/>
        </w:rPr>
        <w:t>4.2 Template Compilation Engine</w:t>
      </w:r>
    </w:p>
    <w:p>
      <w:pPr>
        <w:spacing w:before="40" w:after="80" w:line="276" w:lineRule="auto"/>
      </w:pPr>
      <w:r>
        <w:rPr>
          <w:rFonts w:ascii="Times New Roman" w:hAnsi="Times New Roman"/>
          <w:sz w:val="21"/>
        </w:rPr>
        <w:t>The generator utilizes a Typst vector compilation backend (</w:t>
      </w:r>
      <w:r>
        <w:rPr>
          <w:rFonts w:ascii="Consolas" w:hAnsi="Consolas"/>
          <w:color w:val="B42828"/>
          <w:sz w:val="19"/>
        </w:rPr>
        <w:t>TypstCompilerAdapter</w:t>
      </w:r>
      <w:r>
        <w:rPr>
          <w:rFonts w:ascii="Times New Roman" w:hAnsi="Times New Roman"/>
          <w:sz w:val="21"/>
        </w:rPr>
        <w:t>) to render high-resolution academic documents. Three primary document categories are supported:</w:t>
      </w:r>
    </w:p>
    <w:p>
      <w:pPr>
        <w:pStyle w:val="ListNumber"/>
        <w:spacing w:before="20" w:after="40"/>
      </w:pPr>
      <w:r>
        <w:rPr>
          <w:rFonts w:ascii="Times New Roman" w:hAnsi="Times New Roman"/>
          <w:b/>
          <w:sz w:val="21"/>
        </w:rPr>
        <w:t>Academic Certificates</w:t>
      </w:r>
      <w:r>
        <w:rPr>
          <w:rFonts w:ascii="Times New Roman" w:hAnsi="Times New Roman"/>
          <w:sz w:val="21"/>
        </w:rPr>
        <w:t>: Degree awards, honor certificates, and course completion diplomas.</w:t>
      </w:r>
    </w:p>
    <w:p>
      <w:pPr>
        <w:pStyle w:val="ListNumber"/>
        <w:spacing w:before="20" w:after="40"/>
      </w:pPr>
      <w:r>
        <w:rPr>
          <w:rFonts w:ascii="Times New Roman" w:hAnsi="Times New Roman"/>
          <w:b/>
          <w:sz w:val="21"/>
        </w:rPr>
        <w:t>Academic Marksheets</w:t>
      </w:r>
      <w:r>
        <w:rPr>
          <w:rFonts w:ascii="Times New Roman" w:hAnsi="Times New Roman"/>
          <w:sz w:val="21"/>
        </w:rPr>
        <w:t>: Semester grade reports featuring multi-column subject arrays (Course Code, Subject Name, Credits, Grade Point, Letter Grade, SGPA/CGPA).</w:t>
      </w:r>
    </w:p>
    <w:p>
      <w:pPr>
        <w:pStyle w:val="ListNumber"/>
        <w:spacing w:before="20" w:after="40"/>
      </w:pPr>
      <w:r>
        <w:rPr>
          <w:rFonts w:ascii="Times New Roman" w:hAnsi="Times New Roman"/>
          <w:b/>
          <w:sz w:val="21"/>
        </w:rPr>
        <w:t>Student ID Cards</w:t>
      </w:r>
      <w:r>
        <w:rPr>
          <w:rFonts w:ascii="Times New Roman" w:hAnsi="Times New Roman"/>
          <w:sz w:val="21"/>
        </w:rPr>
        <w:t>: Institutional identity cards containing student photographs, enrollment numbers, program titles, and issuing authority signatures.</w:t>
      </w:r>
    </w:p>
    <w:p>
      <w:pPr>
        <w:keepNext/>
        <w:spacing w:before="200" w:after="80"/>
      </w:pPr>
      <w:r>
        <w:rPr>
          <w:rFonts w:ascii="Times New Roman" w:hAnsi="Times New Roman"/>
          <w:b/>
          <w:color w:val="333333"/>
          <w:sz w:val="24"/>
        </w:rPr>
        <w:t>4.3 Optical Degradation Pipeline</w:t>
      </w:r>
    </w:p>
    <w:p>
      <w:pPr>
        <w:spacing w:before="40" w:after="80" w:line="276" w:lineRule="auto"/>
      </w:pPr>
      <w:r>
        <w:rPr>
          <w:rFonts w:ascii="Times New Roman" w:hAnsi="Times New Roman"/>
          <w:sz w:val="21"/>
        </w:rPr>
        <w:t>To simulate physical document scanner aging, mobile camera capture distortion, and orientation misalignment, ADBG v1.0 applies a sequence of 14 physical optical transformation operators:</w:t>
      </w:r>
    </w:p>
    <w:p>
      <w:pPr>
        <w:spacing w:before="120" w:after="120"/>
        <w:jc w:val="center"/>
      </w:pPr>
      <w:r>
        <w:rPr>
          <w:rFonts w:ascii="Cambria Math" w:hAnsi="Cambria Math"/>
          <w:i/>
          <w:color w:val="003366"/>
          <w:sz w:val="22"/>
        </w:rPr>
        <w:t>\mathbf{I}_{\text{degraded}} = \mathcal{D}_{\text{rotation}} \circ \mathcal{D}_{\text{contrast}} \circ \mathcal{D}_{\text{gaussian}} \circ \mathcal{D}_{\text{blur}}(\mathbf{I}_{\text{clean}})</w:t>
      </w:r>
    </w:p>
    <w:p>
      <w:pPr>
        <w:spacing w:before="40" w:after="80" w:line="276" w:lineRule="auto"/>
      </w:pPr>
      <w:r>
        <w:rPr>
          <w:rFonts w:ascii="Times New Roman" w:hAnsi="Times New Roman"/>
          <w:sz w:val="21"/>
        </w:rPr>
        <w:t xml:space="preserve">Four standard quality profiles are instantiated in </w:t>
      </w:r>
      <w:r>
        <w:rPr>
          <w:rFonts w:ascii="Consolas" w:hAnsi="Consolas"/>
          <w:color w:val="B42828"/>
          <w:sz w:val="19"/>
        </w:rPr>
        <w:t>AU_DIC_Benchmark_v1.0</w:t>
      </w:r>
      <w:r>
        <w:rPr>
          <w:rFonts w:ascii="Times New Roman" w:hAnsi="Times New Roman"/>
          <w:sz w:val="21"/>
        </w:rPr>
        <w:t>:</w:t>
      </w:r>
    </w:p>
    <w:p>
      <w:pPr>
        <w:pStyle w:val="ListBullet"/>
        <w:spacing w:before="20" w:after="40"/>
      </w:pPr>
      <w:r>
        <w:rPr>
          <w:rFonts w:ascii="Times New Roman" w:hAnsi="Times New Roman"/>
          <w:b/>
          <w:sz w:val="21"/>
        </w:rPr>
        <w:t>`clean`</w:t>
      </w:r>
      <w:r>
        <w:rPr>
          <w:rFonts w:ascii="Times New Roman" w:hAnsi="Times New Roman"/>
          <w:sz w:val="21"/>
        </w:rPr>
        <w:t>: Pristine vector-rendered digital PDF exports (0% degradation).</w:t>
      </w:r>
    </w:p>
    <w:p>
      <w:pPr>
        <w:pStyle w:val="ListBullet"/>
        <w:spacing w:before="20" w:after="40"/>
      </w:pPr>
      <w:r>
        <w:rPr>
          <w:rFonts w:ascii="Times New Roman" w:hAnsi="Times New Roman"/>
          <w:b/>
          <w:sz w:val="21"/>
        </w:rPr>
        <w:t>`scanner_copy`</w:t>
      </w:r>
      <w:r>
        <w:rPr>
          <w:rFonts w:ascii="Times New Roman" w:hAnsi="Times New Roman"/>
          <w:sz w:val="21"/>
        </w:rPr>
        <w:t>: Simulated flatbed scanner copy with grayscaling, mild speckle noise, and light edge fading.</w:t>
      </w:r>
    </w:p>
    <w:p>
      <w:pPr>
        <w:pStyle w:val="ListBullet"/>
        <w:spacing w:before="20" w:after="40"/>
      </w:pPr>
      <w:r>
        <w:rPr>
          <w:rFonts w:ascii="Times New Roman" w:hAnsi="Times New Roman"/>
          <w:b/>
          <w:sz w:val="21"/>
        </w:rPr>
        <w:t>`mobile_camera`</w:t>
      </w:r>
      <w:r>
        <w:rPr>
          <w:rFonts w:ascii="Times New Roman" w:hAnsi="Times New Roman"/>
          <w:sz w:val="21"/>
        </w:rPr>
        <w:t>: Simulated handheld camera capture with non-uniform lighting, perspective skew, and radial lens distortion.</w:t>
      </w:r>
    </w:p>
    <w:p>
      <w:pPr>
        <w:pStyle w:val="ListBullet"/>
        <w:spacing w:before="20" w:after="40"/>
      </w:pPr>
      <w:r>
        <w:rPr>
          <w:rFonts w:ascii="Times New Roman" w:hAnsi="Times New Roman"/>
          <w:b/>
          <w:sz w:val="21"/>
        </w:rPr>
        <w:t>`rotated_90`</w:t>
      </w:r>
      <w:r>
        <w:rPr>
          <w:rFonts w:ascii="Times New Roman" w:hAnsi="Times New Roman"/>
          <w:sz w:val="21"/>
        </w:rPr>
        <w:t>: Image specimens rotated 90 degrees clockwise to evaluate orientation detection.</w:t>
      </w:r>
    </w:p>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5. AU DIC Evaluation Subsystem &amp; Semantic Normalization Layer</w:t>
      </w:r>
    </w:p>
    <w:p>
      <w:pPr>
        <w:keepNext/>
        <w:spacing w:before="200" w:after="80"/>
      </w:pPr>
      <w:r>
        <w:rPr>
          <w:rFonts w:ascii="Times New Roman" w:hAnsi="Times New Roman"/>
          <w:b/>
          <w:color w:val="333333"/>
          <w:sz w:val="24"/>
        </w:rPr>
        <w:t>5.1 Decoupled Read-Only Execution Engine</w:t>
      </w:r>
    </w:p>
    <w:p>
      <w:pPr>
        <w:spacing w:before="40" w:after="80" w:line="276" w:lineRule="auto"/>
      </w:pPr>
      <w:r>
        <w:rPr>
          <w:rFonts w:ascii="Times New Roman" w:hAnsi="Times New Roman"/>
          <w:sz w:val="21"/>
        </w:rPr>
        <w:t>The benchmark runner (</w:t>
      </w:r>
      <w:r>
        <w:rPr>
          <w:rFonts w:ascii="Consolas" w:hAnsi="Consolas"/>
          <w:color w:val="B42828"/>
          <w:sz w:val="19"/>
        </w:rPr>
        <w:t>BenchmarkRunner</w:t>
      </w:r>
      <w:r>
        <w:rPr>
          <w:rFonts w:ascii="Times New Roman" w:hAnsi="Times New Roman"/>
          <w:sz w:val="21"/>
        </w:rPr>
        <w:t>) operates strictly in read-only mode (</w:t>
      </w:r>
      <w:r>
        <w:rPr>
          <w:rFonts w:ascii="Consolas" w:hAnsi="Consolas"/>
          <w:color w:val="B42828"/>
          <w:sz w:val="19"/>
        </w:rPr>
        <w:t>isReadOnly: true</w:t>
      </w:r>
      <w:r>
        <w:rPr>
          <w:rFonts w:ascii="Times New Roman" w:hAnsi="Times New Roman"/>
          <w:sz w:val="21"/>
        </w:rPr>
        <w:t xml:space="preserve">). It ingests document image specimens and ground-truth JSON files from </w:t>
      </w:r>
      <w:r>
        <w:rPr>
          <w:rFonts w:ascii="Consolas" w:hAnsi="Consolas"/>
          <w:color w:val="B42828"/>
          <w:sz w:val="19"/>
        </w:rPr>
        <w:t>AU_DIC_Benchmark_v1.0</w:t>
      </w:r>
      <w:r>
        <w:rPr>
          <w:rFonts w:ascii="Times New Roman" w:hAnsi="Times New Roman"/>
          <w:sz w:val="21"/>
        </w:rPr>
        <w:t>, invokes document analysis prediction adapters, and computes evaluation metrics in memory without executing write operations on production databases.</w:t>
      </w:r>
    </w:p>
    <w:p>
      <w:pPr>
        <w:keepNext/>
        <w:spacing w:before="200" w:after="80"/>
      </w:pPr>
      <w:r>
        <w:rPr>
          <w:rFonts w:ascii="Times New Roman" w:hAnsi="Times New Roman"/>
          <w:b/>
          <w:color w:val="333333"/>
          <w:sz w:val="24"/>
        </w:rPr>
        <w:t>5.2 Six-Stage Semantic Canonical Normalization Layer</w:t>
      </w:r>
    </w:p>
    <w:p>
      <w:pPr>
        <w:spacing w:before="40" w:after="80" w:line="276" w:lineRule="auto"/>
      </w:pPr>
      <w:r>
        <w:rPr>
          <w:rFonts w:ascii="Times New Roman" w:hAnsi="Times New Roman"/>
          <w:sz w:val="21"/>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w:t>
      </w:r>
      <w:r>
        <w:rPr>
          <w:rFonts w:ascii="Consolas" w:hAnsi="Consolas"/>
          <w:color w:val="B42828"/>
          <w:sz w:val="19"/>
        </w:rPr>
        <w:t>CanonicalNormalizer</w:t>
      </w:r>
      <w:r>
        <w:rPr>
          <w:rFonts w:ascii="Times New Roman" w:hAnsi="Times New Roman"/>
          <w:sz w:val="21"/>
        </w:rPr>
        <w:t>):</w:t>
      </w:r>
    </w:p>
    <w:p>
      <w:pPr>
        <w:pStyle w:val="ListNumber"/>
        <w:spacing w:before="20" w:after="40"/>
      </w:pPr>
      <w:r>
        <w:rPr>
          <w:rFonts w:ascii="Times New Roman" w:hAnsi="Times New Roman"/>
          <w:b/>
          <w:sz w:val="21"/>
        </w:rPr>
        <w:t>Stage 1: Case &amp; Whitespace Normalization</w:t>
      </w:r>
      <w:r>
        <w:rPr>
          <w:rFonts w:ascii="Times New Roman" w:hAnsi="Times New Roman"/>
          <w:sz w:val="21"/>
        </w:rPr>
        <w:t>: Converts characters to lower-case, trims leading/trailing whitespace, and collapses multiple internal space characters into single spaces.</w:t>
      </w:r>
    </w:p>
    <w:p>
      <w:pPr>
        <w:pStyle w:val="ListNumber"/>
        <w:spacing w:before="20" w:after="40"/>
      </w:pPr>
      <w:r>
        <w:rPr>
          <w:rFonts w:ascii="Times New Roman" w:hAnsi="Times New Roman"/>
          <w:b/>
          <w:sz w:val="21"/>
        </w:rPr>
        <w:t>Stage 2: ISO Date Canonicalization</w:t>
      </w:r>
      <w:r>
        <w:rPr>
          <w:rFonts w:ascii="Times New Roman" w:hAnsi="Times New Roman"/>
          <w:sz w:val="21"/>
        </w:rPr>
        <w:t>: Standardizes diverse date formats (</w:t>
      </w:r>
      <w:r>
        <w:rPr>
          <w:rFonts w:ascii="Times New Roman" w:hAnsi="Times New Roman"/>
          <w:color w:val="B42828"/>
          <w:sz w:val="21"/>
        </w:rPr>
        <w:t>04/08/2026</w:t>
      </w:r>
      <w:r>
        <w:rPr>
          <w:rFonts w:ascii="Times New Roman" w:hAnsi="Times New Roman"/>
          <w:sz w:val="21"/>
        </w:rPr>
        <w:t xml:space="preserve">, </w:t>
      </w:r>
      <w:r>
        <w:rPr>
          <w:rFonts w:ascii="Times New Roman" w:hAnsi="Times New Roman"/>
          <w:color w:val="B42828"/>
          <w:sz w:val="21"/>
        </w:rPr>
        <w:t>August 4, 2026</w:t>
      </w:r>
      <w:r>
        <w:rPr>
          <w:rFonts w:ascii="Times New Roman" w:hAnsi="Times New Roman"/>
          <w:sz w:val="21"/>
        </w:rPr>
        <w:t xml:space="preserve">, </w:t>
      </w:r>
      <w:r>
        <w:rPr>
          <w:rFonts w:ascii="Times New Roman" w:hAnsi="Times New Roman"/>
          <w:color w:val="B42828"/>
          <w:sz w:val="21"/>
        </w:rPr>
        <w:t>2026.08.04</w:t>
      </w:r>
      <w:r>
        <w:rPr>
          <w:rFonts w:ascii="Times New Roman" w:hAnsi="Times New Roman"/>
          <w:sz w:val="21"/>
        </w:rPr>
        <w:t>) into ISO-8601 string representations (</w:t>
      </w:r>
      <w:r>
        <w:rPr>
          <w:rFonts w:ascii="Times New Roman" w:hAnsi="Times New Roman"/>
          <w:color w:val="B42828"/>
          <w:sz w:val="21"/>
        </w:rPr>
        <w:t>YYYY-MM-DD</w:t>
      </w:r>
      <w:r>
        <w:rPr>
          <w:rFonts w:ascii="Times New Roman" w:hAnsi="Times New Roman"/>
          <w:sz w:val="21"/>
        </w:rPr>
        <w:t>).</w:t>
      </w:r>
    </w:p>
    <w:p>
      <w:pPr>
        <w:pStyle w:val="ListNumber"/>
        <w:spacing w:before="20" w:after="40"/>
      </w:pPr>
      <w:r>
        <w:rPr>
          <w:rFonts w:ascii="Times New Roman" w:hAnsi="Times New Roman"/>
          <w:b/>
          <w:sz w:val="21"/>
        </w:rPr>
        <w:t>Stage 3: Identifier Canonicalization</w:t>
      </w:r>
      <w:r>
        <w:rPr>
          <w:rFonts w:ascii="Times New Roman" w:hAnsi="Times New Roman"/>
          <w:sz w:val="21"/>
        </w:rPr>
        <w:t>: Strips non-alphanumeric separator characters (hyphens, slashes, spaces) from candidate roll numbers and registration IDs.</w:t>
      </w:r>
    </w:p>
    <w:p>
      <w:pPr>
        <w:pStyle w:val="ListNumber"/>
        <w:spacing w:before="20" w:after="40"/>
      </w:pPr>
      <w:r>
        <w:rPr>
          <w:rFonts w:ascii="Times New Roman" w:hAnsi="Times New Roman"/>
          <w:b/>
          <w:sz w:val="21"/>
        </w:rPr>
        <w:t>Stage 4: Numerical Precision Standardizer</w:t>
      </w:r>
      <w:r>
        <w:rPr>
          <w:rFonts w:ascii="Times New Roman" w:hAnsi="Times New Roman"/>
          <w:sz w:val="21"/>
        </w:rPr>
        <w:t>: Parses floating-point marks, SGPA/CGPA values, and percentages, formatting numeric values to fixed two-decimal precision.</w:t>
      </w:r>
    </w:p>
    <w:p>
      <w:pPr>
        <w:pStyle w:val="ListNumber"/>
        <w:spacing w:before="20" w:after="40"/>
      </w:pPr>
      <w:r>
        <w:rPr>
          <w:rFonts w:ascii="Times New Roman" w:hAnsi="Times New Roman"/>
          <w:b/>
          <w:sz w:val="21"/>
        </w:rPr>
        <w:t>Stage 5: Institutional Alias Mapping</w:t>
      </w:r>
      <w:r>
        <w:rPr>
          <w:rFonts w:ascii="Times New Roman" w:hAnsi="Times New Roman"/>
          <w:sz w:val="21"/>
        </w:rPr>
        <w:t xml:space="preserve">: Maps common university name abbreviations (e.g., </w:t>
      </w:r>
      <w:r>
        <w:rPr>
          <w:rFonts w:ascii="Times New Roman" w:hAnsi="Times New Roman"/>
          <w:color w:val="B42828"/>
          <w:sz w:val="21"/>
        </w:rPr>
        <w:t>MIT</w:t>
      </w:r>
      <w:r>
        <w:rPr>
          <w:rFonts w:ascii="Times New Roman" w:hAnsi="Times New Roman"/>
          <w:sz w:val="21"/>
        </w:rPr>
        <w:t xml:space="preserve"> </w:t>
      </w:r>
      <w:r>
        <w:rPr>
          <w:rFonts w:ascii="Times New Roman" w:hAnsi="Times New Roman"/>
          <w:i/>
          <w:color w:val="003366"/>
          <w:sz w:val="21"/>
        </w:rPr>
        <w:t>\rightarrow</w:t>
      </w:r>
      <w:r>
        <w:rPr>
          <w:rFonts w:ascii="Times New Roman" w:hAnsi="Times New Roman"/>
          <w:sz w:val="21"/>
        </w:rPr>
        <w:t xml:space="preserve"> </w:t>
      </w:r>
      <w:r>
        <w:rPr>
          <w:rFonts w:ascii="Times New Roman" w:hAnsi="Times New Roman"/>
          <w:color w:val="B42828"/>
          <w:sz w:val="21"/>
        </w:rPr>
        <w:t>Massachusetts Institute of Technology</w:t>
      </w:r>
      <w:r>
        <w:rPr>
          <w:rFonts w:ascii="Times New Roman" w:hAnsi="Times New Roman"/>
          <w:sz w:val="21"/>
        </w:rPr>
        <w:t>) using an institutional lexicon directory.</w:t>
      </w:r>
    </w:p>
    <w:p>
      <w:pPr>
        <w:pStyle w:val="ListNumber"/>
        <w:spacing w:before="20" w:after="40"/>
      </w:pPr>
      <w:r>
        <w:rPr>
          <w:rFonts w:ascii="Times New Roman" w:hAnsi="Times New Roman"/>
          <w:b/>
          <w:sz w:val="21"/>
        </w:rPr>
        <w:t>Stage 6: Canonical Honorific Removal</w:t>
      </w:r>
      <w:r>
        <w:rPr>
          <w:rFonts w:ascii="Times New Roman" w:hAnsi="Times New Roman"/>
          <w:sz w:val="21"/>
        </w:rPr>
        <w:t>: Removes standard honorific prefixes (</w:t>
      </w:r>
      <w:r>
        <w:rPr>
          <w:rFonts w:ascii="Times New Roman" w:hAnsi="Times New Roman"/>
          <w:color w:val="B42828"/>
          <w:sz w:val="21"/>
        </w:rPr>
        <w:t>Mr.</w:t>
      </w:r>
      <w:r>
        <w:rPr>
          <w:rFonts w:ascii="Times New Roman" w:hAnsi="Times New Roman"/>
          <w:sz w:val="21"/>
        </w:rPr>
        <w:t xml:space="preserve">, </w:t>
      </w:r>
      <w:r>
        <w:rPr>
          <w:rFonts w:ascii="Times New Roman" w:hAnsi="Times New Roman"/>
          <w:color w:val="B42828"/>
          <w:sz w:val="21"/>
        </w:rPr>
        <w:t>Ms.</w:t>
      </w:r>
      <w:r>
        <w:rPr>
          <w:rFonts w:ascii="Times New Roman" w:hAnsi="Times New Roman"/>
          <w:sz w:val="21"/>
        </w:rPr>
        <w:t xml:space="preserve">, </w:t>
      </w:r>
      <w:r>
        <w:rPr>
          <w:rFonts w:ascii="Times New Roman" w:hAnsi="Times New Roman"/>
          <w:color w:val="B42828"/>
          <w:sz w:val="21"/>
        </w:rPr>
        <w:t>Dr.</w:t>
      </w:r>
      <w:r>
        <w:rPr>
          <w:rFonts w:ascii="Times New Roman" w:hAnsi="Times New Roman"/>
          <w:sz w:val="21"/>
        </w:rPr>
        <w:t xml:space="preserve">, </w:t>
      </w:r>
      <w:r>
        <w:rPr>
          <w:rFonts w:ascii="Times New Roman" w:hAnsi="Times New Roman"/>
          <w:color w:val="B42828"/>
          <w:sz w:val="21"/>
        </w:rPr>
        <w:t>Prof.</w:t>
      </w:r>
      <w:r>
        <w:rPr>
          <w:rFonts w:ascii="Times New Roman" w:hAnsi="Times New Roman"/>
          <w:sz w:val="21"/>
        </w:rPr>
        <w:t>) prior to candidate name comparison.</w:t>
      </w:r>
    </w:p>
    <w:p>
      <w:pPr>
        <w:keepNext/>
        <w:spacing w:before="200" w:after="80"/>
      </w:pPr>
      <w:r>
        <w:rPr>
          <w:rFonts w:ascii="Times New Roman" w:hAnsi="Times New Roman"/>
          <w:b/>
          <w:color w:val="333333"/>
          <w:sz w:val="24"/>
        </w:rPr>
        <w:t>5.3 Nine-Class Structured OCR Error Taxonomy</w:t>
      </w:r>
    </w:p>
    <w:p>
      <w:pPr>
        <w:spacing w:before="40" w:after="80" w:line="276" w:lineRule="auto"/>
      </w:pPr>
      <w:r>
        <w:rPr>
          <w:rFonts w:ascii="Times New Roman" w:hAnsi="Times New Roman"/>
          <w:sz w:val="21"/>
        </w:rPr>
        <w:t>When an extracted field value deviates from ground truth after canonical normalization, the evaluation engine categorizes the failure into one of nine structured error classes:</w:t>
      </w:r>
    </w:p>
    <w:p>
      <w:pPr>
        <w:spacing w:before="120" w:after="120"/>
        <w:jc w:val="center"/>
      </w:pPr>
      <w:r>
        <w:rPr>
          <w:rFonts w:ascii="Cambria Math" w:hAnsi="Cambria Math"/>
          <w:i/>
          <w:color w:val="003366"/>
          <w:sz w:val="22"/>
        </w:rPr>
        <w:t>\text{ErrorCategory} \in \{\text{OCR\_ERROR}, \text{FIELD\_MISSING}, \text{HALLUCINATION}, \text{FORMAT\_ERROR}, \text{NORMALIZATION\_ERROR}, \text{PARTIAL\_MATCH}, \text{LOW\_CONFIDENCE}, \text{CATEGORY\_ERROR}, \text{EXACT\_MATCH}\}</w:t>
      </w:r>
    </w:p>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6. Experimental Setup, Protocol &amp; Metrics</w:t>
      </w:r>
    </w:p>
    <w:p>
      <w:pPr>
        <w:keepNext/>
        <w:spacing w:before="200" w:after="80"/>
      </w:pPr>
      <w:r>
        <w:rPr>
          <w:rFonts w:ascii="Times New Roman" w:hAnsi="Times New Roman"/>
          <w:b/>
          <w:color w:val="333333"/>
          <w:sz w:val="24"/>
        </w:rPr>
        <w:t>6.1 Dataset Composition (`AU_DIC_Benchmark_v1.0`)</w:t>
      </w:r>
    </w:p>
    <w:p>
      <w:pPr>
        <w:spacing w:before="40" w:after="80" w:line="276" w:lineRule="auto"/>
      </w:pPr>
      <w:r>
        <w:rPr>
          <w:rFonts w:ascii="Times New Roman" w:hAnsi="Times New Roman"/>
          <w:sz w:val="21"/>
        </w:rPr>
        <w:t xml:space="preserve">The evaluation dataset consists of 360 image specimens (3 document categories </w:t>
      </w:r>
      <w:r>
        <w:rPr>
          <w:rFonts w:ascii="Cambria Math" w:hAnsi="Cambria Math"/>
          <w:i/>
          <w:color w:val="003366"/>
          <w:sz w:val="21"/>
        </w:rPr>
        <w:t>\times</w:t>
      </w:r>
      <w:r>
        <w:rPr>
          <w:rFonts w:ascii="Times New Roman" w:hAnsi="Times New Roman"/>
          <w:sz w:val="21"/>
        </w:rPr>
        <w:t xml:space="preserve"> 30 unique document instances </w:t>
      </w:r>
      <w:r>
        <w:rPr>
          <w:rFonts w:ascii="Cambria Math" w:hAnsi="Cambria Math"/>
          <w:i/>
          <w:color w:val="003366"/>
          <w:sz w:val="21"/>
        </w:rPr>
        <w:t>\times</w:t>
      </w:r>
      <w:r>
        <w:rPr>
          <w:rFonts w:ascii="Times New Roman" w:hAnsi="Times New Roman"/>
          <w:sz w:val="21"/>
        </w:rPr>
        <w:t xml:space="preserve"> 4 quality profiles). Each sample contains corresponding PDF, PNG, Ground Truth JSON, and Metadata JSON files.</w:t>
      </w:r>
    </w:p>
    <w:p>
      <w:pPr>
        <w:keepNext/>
        <w:spacing w:before="200" w:after="80"/>
      </w:pPr>
      <w:r>
        <w:rPr>
          <w:rFonts w:ascii="Times New Roman" w:hAnsi="Times New Roman"/>
          <w:b/>
          <w:color w:val="333333"/>
          <w:sz w:val="24"/>
        </w:rPr>
        <w:t>6.2 Evaluation Metrics</w:t>
      </w:r>
    </w:p>
    <w:p>
      <w:pPr>
        <w:spacing w:before="40" w:after="80" w:line="276" w:lineRule="auto"/>
      </w:pPr>
      <w:r>
        <w:rPr>
          <w:rFonts w:ascii="Times New Roman" w:hAnsi="Times New Roman"/>
          <w:sz w:val="21"/>
        </w:rPr>
        <w:t xml:space="preserve">The framework evaluates system and model performance across two distinct sub-tasks: (a) </w:t>
      </w:r>
      <w:r>
        <w:rPr>
          <w:rFonts w:ascii="Times New Roman" w:hAnsi="Times New Roman"/>
          <w:b/>
          <w:sz w:val="21"/>
        </w:rPr>
        <w:t>Document Category Classification</w:t>
      </w:r>
      <w:r>
        <w:rPr>
          <w:rFonts w:ascii="Times New Roman" w:hAnsi="Times New Roman"/>
          <w:sz w:val="21"/>
        </w:rPr>
        <w:t xml:space="preserve"> and (b) </w:t>
      </w:r>
      <w:r>
        <w:rPr>
          <w:rFonts w:ascii="Times New Roman" w:hAnsi="Times New Roman"/>
          <w:b/>
          <w:sz w:val="21"/>
        </w:rPr>
        <w:t>Key-Value Entity Field Extraction</w:t>
      </w:r>
      <w:r>
        <w:rPr>
          <w:rFonts w:ascii="Times New Roman" w:hAnsi="Times New Roman"/>
          <w:sz w:val="21"/>
        </w:rPr>
        <w:t>. The computed quantitative metrics are defined as follows:</w:t>
      </w:r>
    </w:p>
    <w:p>
      <w:pPr>
        <w:pStyle w:val="ListNumber"/>
        <w:spacing w:before="20" w:after="40"/>
      </w:pPr>
      <w:r>
        <w:rPr>
          <w:rFonts w:ascii="Times New Roman" w:hAnsi="Times New Roman"/>
          <w:b/>
          <w:sz w:val="21"/>
        </w:rPr>
        <w:t>Category Classification Accuracy</w:t>
      </w:r>
      <w:r>
        <w:rPr>
          <w:rFonts w:ascii="Times New Roman" w:hAnsi="Times New Roman"/>
          <w:sz w:val="21"/>
        </w:rPr>
        <w:t>: The proportion of specimens where the predicted document category (</w:t>
      </w:r>
      <w:r>
        <w:rPr>
          <w:rFonts w:ascii="Times New Roman" w:hAnsi="Times New Roman"/>
          <w:i/>
          <w:color w:val="003366"/>
          <w:sz w:val="21"/>
        </w:rPr>
        <w:t>\hat{C}_i</w:t>
      </w:r>
      <w:r>
        <w:rPr>
          <w:rFonts w:ascii="Times New Roman" w:hAnsi="Times New Roman"/>
          <w:sz w:val="21"/>
        </w:rPr>
        <w:t>) matches the ground truth category (</w:t>
      </w:r>
      <w:r>
        <w:rPr>
          <w:rFonts w:ascii="Times New Roman" w:hAnsi="Times New Roman"/>
          <w:i/>
          <w:color w:val="003366"/>
          <w:sz w:val="21"/>
        </w:rPr>
        <w:t>C_i</w:t>
      </w:r>
      <w:r>
        <w:rPr>
          <w:rFonts w:ascii="Times New Roman" w:hAnsi="Times New Roman"/>
          <w:sz w:val="21"/>
        </w:rPr>
        <w:t>):</w:t>
      </w:r>
    </w:p>
    <w:p>
      <w:pPr>
        <w:spacing w:before="40" w:after="80" w:line="276" w:lineRule="auto"/>
      </w:pPr>
      <w:r>
        <w:rPr>
          <w:rFonts w:ascii="Cambria Math" w:hAnsi="Cambria Math"/>
          <w:i/>
          <w:color w:val="003366"/>
          <w:sz w:val="21"/>
        </w:rPr>
      </w:r>
      <w:r>
        <w:rPr>
          <w:rFonts w:ascii="Times New Roman" w:hAnsi="Times New Roman"/>
          <w:sz w:val="21"/>
        </w:rPr>
        <w:t>\text{Category Accuracy} = \frac{\sum_{i=1}^N \mathbb{I}(\hat{C}_i = C_i)}{N}</w:t>
      </w:r>
      <w:r>
        <w:rPr>
          <w:rFonts w:ascii="Cambria Math" w:hAnsi="Cambria Math"/>
          <w:i/>
          <w:color w:val="003366"/>
          <w:sz w:val="21"/>
        </w:rPr>
      </w:r>
    </w:p>
    <w:p>
      <w:pPr>
        <w:spacing w:before="40" w:after="80" w:line="276" w:lineRule="auto"/>
      </w:pPr>
      <w:r>
        <w:rPr>
          <w:rFonts w:ascii="Times New Roman" w:hAnsi="Times New Roman"/>
          <w:sz w:val="21"/>
        </w:rPr>
        <w:t xml:space="preserve">where </w:t>
      </w:r>
      <w:r>
        <w:rPr>
          <w:rFonts w:ascii="Cambria Math" w:hAnsi="Cambria Math"/>
          <w:i/>
          <w:color w:val="003366"/>
          <w:sz w:val="21"/>
        </w:rPr>
        <w:t>N=360</w:t>
      </w:r>
      <w:r>
        <w:rPr>
          <w:rFonts w:ascii="Times New Roman" w:hAnsi="Times New Roman"/>
          <w:sz w:val="21"/>
        </w:rPr>
        <w:t xml:space="preserve"> total evaluated specimens.</w:t>
      </w:r>
    </w:p>
    <w:p>
      <w:pPr>
        <w:pStyle w:val="ListNumber"/>
        <w:spacing w:before="20" w:after="40"/>
      </w:pPr>
      <w:r>
        <w:rPr>
          <w:rFonts w:ascii="Times New Roman" w:hAnsi="Times New Roman"/>
          <w:b/>
          <w:sz w:val="21"/>
        </w:rPr>
        <w:t>Field Extraction Precision ($P$)</w:t>
      </w:r>
      <w:r>
        <w:rPr>
          <w:rFonts w:ascii="Times New Roman" w:hAnsi="Times New Roman"/>
          <w:sz w:val="21"/>
        </w:rPr>
        <w:t xml:space="preserve">, </w:t>
      </w:r>
      <w:r>
        <w:rPr>
          <w:rFonts w:ascii="Times New Roman" w:hAnsi="Times New Roman"/>
          <w:b/>
          <w:sz w:val="21"/>
        </w:rPr>
        <w:t>Recall ($R$)</w:t>
      </w:r>
      <w:r>
        <w:rPr>
          <w:rFonts w:ascii="Times New Roman" w:hAnsi="Times New Roman"/>
          <w:sz w:val="21"/>
        </w:rPr>
        <w:t xml:space="preserve">, and </w:t>
      </w:r>
      <w:r>
        <w:rPr>
          <w:rFonts w:ascii="Times New Roman" w:hAnsi="Times New Roman"/>
          <w:b/>
          <w:sz w:val="21"/>
        </w:rPr>
        <w:t>F1 Score ($F_1$)</w:t>
      </w:r>
      <w:r>
        <w:rPr>
          <w:rFonts w:ascii="Times New Roman" w:hAnsi="Times New Roman"/>
          <w:sz w:val="21"/>
        </w:rPr>
        <w:t>: Macro-averaged key-value field extraction metrics across all extracted target entities:</w:t>
      </w:r>
    </w:p>
    <w:p>
      <w:pPr>
        <w:spacing w:before="40" w:after="80" w:line="276" w:lineRule="auto"/>
      </w:pPr>
      <w:r>
        <w:rPr>
          <w:rFonts w:ascii="Cambria Math" w:hAnsi="Cambria Math"/>
          <w:i/>
          <w:color w:val="003366"/>
          <w:sz w:val="21"/>
        </w:rPr>
      </w:r>
      <w:r>
        <w:rPr>
          <w:rFonts w:ascii="Times New Roman" w:hAnsi="Times New Roman"/>
          <w:sz w:val="21"/>
        </w:rPr>
        <w:t>P = \frac{\text{True Positive Fields}}{\text{True Positive Fields} + \text{False Positive Fields}}, \quad R = \frac{\text{True Positive Fields}}{\text{True Positive Fields} + \text{False Negative Fields}}, \quad F_1 = 2 \cdot \frac{P \cdot R}{P + R}</w:t>
      </w:r>
      <w:r>
        <w:rPr>
          <w:rFonts w:ascii="Cambria Math" w:hAnsi="Cambria Math"/>
          <w:i/>
          <w:color w:val="003366"/>
          <w:sz w:val="21"/>
        </w:rPr>
      </w:r>
    </w:p>
    <w:p>
      <w:pPr>
        <w:pStyle w:val="ListNumber"/>
        <w:spacing w:before="20" w:after="40"/>
      </w:pPr>
      <w:r>
        <w:rPr>
          <w:rFonts w:ascii="Times New Roman" w:hAnsi="Times New Roman"/>
          <w:b/>
          <w:sz w:val="21"/>
        </w:rPr>
        <w:t>Character Error Rate (CER)</w:t>
      </w:r>
      <w:r>
        <w:rPr>
          <w:rFonts w:ascii="Times New Roman" w:hAnsi="Times New Roman"/>
          <w:sz w:val="21"/>
        </w:rPr>
        <w:t>: Levenshtein character edit distance between canonically normalized predicted field strings and expected ground truth field strings, normalized by the total ground truth character length (</w:t>
      </w:r>
      <w:r>
        <w:rPr>
          <w:rFonts w:ascii="Times New Roman" w:hAnsi="Times New Roman"/>
          <w:i/>
          <w:color w:val="003366"/>
          <w:sz w:val="21"/>
        </w:rPr>
        <w:t>L_{\text{GT}}</w:t>
      </w:r>
      <w:r>
        <w:rPr>
          <w:rFonts w:ascii="Times New Roman" w:hAnsi="Times New Roman"/>
          <w:sz w:val="21"/>
        </w:rPr>
        <w:t>):</w:t>
      </w:r>
    </w:p>
    <w:p>
      <w:pPr>
        <w:spacing w:before="40" w:after="80" w:line="276" w:lineRule="auto"/>
      </w:pPr>
      <w:r>
        <w:rPr>
          <w:rFonts w:ascii="Cambria Math" w:hAnsi="Cambria Math"/>
          <w:i/>
          <w:color w:val="003366"/>
          <w:sz w:val="21"/>
        </w:rPr>
      </w:r>
      <w:r>
        <w:rPr>
          <w:rFonts w:ascii="Times New Roman" w:hAnsi="Times New Roman"/>
          <w:sz w:val="21"/>
        </w:rPr>
        <w:t>\text{CER} = \frac{S_{\text{char}} + D_{\text{char}} + I_{\text{char}}}{L_{\text{GT}}}</w:t>
      </w:r>
      <w:r>
        <w:rPr>
          <w:rFonts w:ascii="Cambria Math" w:hAnsi="Cambria Math"/>
          <w:i/>
          <w:color w:val="003366"/>
          <w:sz w:val="21"/>
        </w:rPr>
      </w:r>
    </w:p>
    <w:p>
      <w:pPr>
        <w:pStyle w:val="ListNumber"/>
        <w:spacing w:before="20" w:after="40"/>
      </w:pPr>
      <w:r>
        <w:rPr>
          <w:rFonts w:ascii="Times New Roman" w:hAnsi="Times New Roman"/>
          <w:b/>
          <w:sz w:val="21"/>
        </w:rPr>
        <w:t>Word Error Rate (WER)</w:t>
      </w:r>
      <w:r>
        <w:rPr>
          <w:rFonts w:ascii="Times New Roman" w:hAnsi="Times New Roman"/>
          <w:sz w:val="21"/>
        </w:rPr>
        <w:t>: Tokenized word-level edit distance between predicted field strings and ground truth field strings, normalized by total ground truth word count (</w:t>
      </w:r>
      <w:r>
        <w:rPr>
          <w:rFonts w:ascii="Times New Roman" w:hAnsi="Times New Roman"/>
          <w:i/>
          <w:color w:val="003366"/>
          <w:sz w:val="21"/>
        </w:rPr>
        <w:t>W_{\text{GT}}</w:t>
      </w:r>
      <w:r>
        <w:rPr>
          <w:rFonts w:ascii="Times New Roman" w:hAnsi="Times New Roman"/>
          <w:sz w:val="21"/>
        </w:rPr>
        <w:t>):</w:t>
      </w:r>
    </w:p>
    <w:p>
      <w:pPr>
        <w:spacing w:before="40" w:after="80" w:line="276" w:lineRule="auto"/>
      </w:pPr>
      <w:r>
        <w:rPr>
          <w:rFonts w:ascii="Cambria Math" w:hAnsi="Cambria Math"/>
          <w:i/>
          <w:color w:val="003366"/>
          <w:sz w:val="21"/>
        </w:rPr>
      </w:r>
      <w:r>
        <w:rPr>
          <w:rFonts w:ascii="Times New Roman" w:hAnsi="Times New Roman"/>
          <w:sz w:val="21"/>
        </w:rPr>
        <w:t>\text{WER} = \frac{S_{\text{word}} + D_{\text{word}} + I_{\text{word}}}{W_{\text{GT}}}</w:t>
      </w:r>
      <w:r>
        <w:rPr>
          <w:rFonts w:ascii="Cambria Math" w:hAnsi="Cambria Math"/>
          <w:i/>
          <w:color w:val="003366"/>
          <w:sz w:val="21"/>
        </w:rPr>
      </w:r>
    </w:p>
    <w:p>
      <w:pPr>
        <w:pStyle w:val="ListNumber"/>
        <w:spacing w:before="20" w:after="40"/>
      </w:pPr>
      <w:r>
        <w:rPr>
          <w:rFonts w:ascii="Times New Roman" w:hAnsi="Times New Roman"/>
          <w:b/>
          <w:sz w:val="21"/>
        </w:rPr>
        <w:t>Joint Record Exact Match Rate (EM)</w:t>
      </w:r>
      <w:r>
        <w:rPr>
          <w:rFonts w:ascii="Times New Roman" w:hAnsi="Times New Roman"/>
          <w:sz w:val="21"/>
        </w:rPr>
        <w:t>: The percentage of specimens that achieve both 100% key-value field extraction AND correct top-level category classification simultaneously.</w:t>
      </w:r>
    </w:p>
    <w:p>
      <w:pPr>
        <w:pStyle w:val="ListNumber"/>
        <w:spacing w:before="20" w:after="40"/>
      </w:pPr>
      <w:r>
        <w:rPr>
          <w:rFonts w:ascii="Times New Roman" w:hAnsi="Times New Roman"/>
          <w:b/>
          <w:sz w:val="21"/>
        </w:rPr>
        <w:t>Latency &amp; Throughput</w:t>
      </w:r>
      <w:r>
        <w:rPr>
          <w:rFonts w:ascii="Times New Roman" w:hAnsi="Times New Roman"/>
          <w:sz w:val="21"/>
        </w:rPr>
        <w:t>: Execution latency per specimen (</w:t>
      </w:r>
      <w:r>
        <w:rPr>
          <w:rFonts w:ascii="Times New Roman" w:hAnsi="Times New Roman"/>
          <w:i/>
          <w:color w:val="003366"/>
          <w:sz w:val="21"/>
        </w:rPr>
        <w:t>\text{ms/sample}</w:t>
      </w:r>
      <w:r>
        <w:rPr>
          <w:rFonts w:ascii="Times New Roman" w:hAnsi="Times New Roman"/>
          <w:sz w:val="21"/>
        </w:rPr>
        <w:t>) and framework processing throughput (</w:t>
      </w:r>
      <w:r>
        <w:rPr>
          <w:rFonts w:ascii="Times New Roman" w:hAnsi="Times New Roman"/>
          <w:i/>
          <w:color w:val="003366"/>
          <w:sz w:val="21"/>
        </w:rPr>
        <w:t>\text{samples/sec}</w:t>
      </w:r>
      <w:r>
        <w:rPr>
          <w:rFonts w:ascii="Times New Roman" w:hAnsi="Times New Roman"/>
          <w:sz w:val="21"/>
        </w:rPr>
        <w:t>).</w:t>
      </w:r>
    </w:p>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7. Results &amp; Validation</w:t>
      </w:r>
    </w:p>
    <w:p>
      <w:pPr>
        <w:keepNext/>
        <w:spacing w:before="200" w:after="80"/>
      </w:pPr>
      <w:r>
        <w:rPr>
          <w:rFonts w:ascii="Times New Roman" w:hAnsi="Times New Roman"/>
          <w:b/>
          <w:color w:val="333333"/>
          <w:sz w:val="24"/>
        </w:rPr>
        <w:t>7.1 Distinction Between Framework Validation, Benchmark Validation, and Model Performance</w:t>
      </w:r>
    </w:p>
    <w:p>
      <w:pPr>
        <w:spacing w:before="40" w:after="80" w:line="276" w:lineRule="auto"/>
      </w:pPr>
      <w:r>
        <w:rPr>
          <w:rFonts w:ascii="Times New Roman" w:hAnsi="Times New Roman"/>
          <w:sz w:val="21"/>
        </w:rPr>
        <w:t>To ensure complete scientific integrity, we explicitly distinguish between three evaluation dimensions:</w:t>
      </w:r>
    </w:p>
    <w:p>
      <w:pPr>
        <w:pStyle w:val="ListNumber"/>
        <w:spacing w:before="20" w:after="40"/>
      </w:pPr>
      <w:r>
        <w:rPr>
          <w:rFonts w:ascii="Times New Roman" w:hAnsi="Times New Roman"/>
          <w:b/>
          <w:sz w:val="21"/>
        </w:rPr>
        <w:t>Framework Architectural Validation (Verified)</w:t>
      </w:r>
      <w:r>
        <w:rPr>
          <w:rFonts w:ascii="Times New Roman" w:hAnsi="Times New Roman"/>
          <w:sz w:val="21"/>
        </w:rPr>
        <w:t>: Confirms system non-destructiveness (0 database writes), execution throughput (242.59 samples/sec), mean processing latency (4.12 ms/sample), and fault-tolerant checkpointing.</w:t>
      </w:r>
    </w:p>
    <w:p>
      <w:pPr>
        <w:pStyle w:val="ListNumber"/>
        <w:spacing w:before="20" w:after="40"/>
      </w:pPr>
      <w:r>
        <w:rPr>
          <w:rFonts w:ascii="Times New Roman" w:hAnsi="Times New Roman"/>
          <w:b/>
          <w:sz w:val="21"/>
        </w:rPr>
        <w:t>Benchmark Integrity Validation (Verified)</w:t>
      </w:r>
      <w:r>
        <w:rPr>
          <w:rFonts w:ascii="Times New Roman" w:hAnsi="Times New Roman"/>
          <w:sz w:val="21"/>
        </w:rPr>
        <w:t>: Confirms zero ground truth leakage and verifies that comparators correctly detect character typos, missing fields, and category mismatches in controlled tests (</w:t>
      </w:r>
      <w:r>
        <w:rPr>
          <w:rFonts w:ascii="Times New Roman" w:hAnsi="Times New Roman"/>
          <w:color w:val="B42828"/>
          <w:sz w:val="21"/>
        </w:rPr>
        <w:t>validationAudit.test.ts</w:t>
      </w:r>
      <w:r>
        <w:rPr>
          <w:rFonts w:ascii="Times New Roman" w:hAnsi="Times New Roman"/>
          <w:sz w:val="21"/>
        </w:rPr>
        <w:t>).</w:t>
      </w:r>
    </w:p>
    <w:p>
      <w:pPr>
        <w:pStyle w:val="ListNumber"/>
        <w:spacing w:before="20" w:after="40"/>
      </w:pPr>
      <w:r>
        <w:rPr>
          <w:rFonts w:ascii="Times New Roman" w:hAnsi="Times New Roman"/>
          <w:b/>
          <w:sz w:val="21"/>
        </w:rPr>
        <w:t>Model Extraction Performance (Model Evaluation)</w:t>
      </w:r>
      <w:r>
        <w:rPr>
          <w:rFonts w:ascii="Times New Roman" w:hAnsi="Times New Roman"/>
          <w:sz w:val="21"/>
        </w:rPr>
        <w:t>: Measures extraction performance metrics (Precision, Recall, F1, CER, WER) across live neural models.</w:t>
      </w:r>
    </w:p>
    <w:p>
      <w:pPr>
        <w:keepNext/>
        <w:spacing w:before="200" w:after="80"/>
      </w:pPr>
      <w:r>
        <w:rPr>
          <w:rFonts w:ascii="Times New Roman" w:hAnsi="Times New Roman"/>
          <w:b/>
          <w:color w:val="333333"/>
          <w:sz w:val="24"/>
        </w:rPr>
        <w:t>7.2 Framework Execution &amp; System Verification Metrics</w:t>
      </w:r>
    </w:p>
    <w:p>
      <w:pPr>
        <w:spacing w:before="40" w:after="80" w:line="276" w:lineRule="auto"/>
      </w:pPr>
      <w:r>
        <w:rPr>
          <w:rFonts w:ascii="Times New Roman" w:hAnsi="Times New Roman"/>
          <w:sz w:val="21"/>
        </w:rPr>
        <w:t>Table 1 summarizes the framework system verification metrics evaluated across the 360 benchmark specimens (</w:t>
      </w:r>
      <w:r>
        <w:rPr>
          <w:rFonts w:ascii="Consolas" w:hAnsi="Consolas"/>
          <w:color w:val="B42828"/>
          <w:sz w:val="19"/>
        </w:rPr>
        <w:t>AU_DIC_Benchmark_v1.0</w:t>
      </w:r>
      <w:r>
        <w:rPr>
          <w:rFonts w:ascii="Times New Roman" w:hAnsi="Times New Roman"/>
          <w:sz w:val="21"/>
        </w:rPr>
        <w:t>).</w:t>
      </w:r>
    </w:p>
    <w:p>
      <w:pPr>
        <w:keepNext/>
        <w:spacing w:before="160" w:after="80"/>
        <w:jc w:val="center"/>
      </w:pPr>
      <w:r>
        <w:rPr>
          <w:rFonts w:ascii="Times New Roman" w:hAnsi="Times New Roman"/>
          <w:b/>
          <w:color w:val="003366"/>
          <w:sz w:val="20"/>
        </w:rPr>
        <w:t>Table 1: Framework Execution Verification Metrics Across Quality Profiles on AU DIC Benchmark v1.0</w:t>
      </w:r>
    </w:p>
    <w:tbl>
      <w:tblPr>
        <w:tblW w:type="auto" w:w="0"/>
        <w:jc w:val="center"/>
        <w:tblLook w:firstColumn="1" w:firstRow="1" w:lastColumn="0" w:lastRow="0" w:noHBand="0" w:noVBand="1" w:val="04A0"/>
        <w:tblBorders>
          <w:top w:val="single" w:sz="8" w:space="0" w:color="003366"/>
          <w:bottom w:val="single" w:sz="8"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Quality Profile</w:t>
            </w:r>
          </w:p>
        </w:tc>
        <w:tc>
          <w:tcPr>
            <w:tcW w:type="dxa" w:w="117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Evaluated Samples</w:t>
            </w:r>
          </w:p>
        </w:tc>
        <w:tc>
          <w:tcPr>
            <w:tcW w:type="dxa" w:w="117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Category Accuracy</w:t>
            </w:r>
          </w:p>
        </w:tc>
        <w:tc>
          <w:tcPr>
            <w:tcW w:type="dxa" w:w="117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Precision</w:t>
            </w:r>
          </w:p>
        </w:tc>
        <w:tc>
          <w:tcPr>
            <w:tcW w:type="dxa" w:w="117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Recall</w:t>
            </w:r>
          </w:p>
        </w:tc>
        <w:tc>
          <w:tcPr>
            <w:tcW w:type="dxa" w:w="117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F1 Score</w:t>
            </w:r>
          </w:p>
        </w:tc>
        <w:tc>
          <w:tcPr>
            <w:tcW w:type="dxa" w:w="117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Mean CER</w:t>
            </w:r>
          </w:p>
        </w:tc>
        <w:tc>
          <w:tcPr>
            <w:tcW w:type="dxa" w:w="117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Mean WER</w:t>
            </w:r>
          </w:p>
        </w:tc>
      </w:tr>
      <w:tr>
        <w:tc>
          <w:tcPr>
            <w:tcW w:type="dxa" w:w="1170"/>
            <w:tcMar>
              <w:top w:w="100" w:type="dxa"/>
              <w:bottom w:w="100" w:type="dxa"/>
              <w:left w:w="140" w:type="dxa"/>
              <w:right w:w="140" w:type="dxa"/>
            </w:tcMar>
            <w:shd w:fill="FFFFFF"/>
          </w:tcPr>
          <w:p>
            <w:pPr>
              <w:spacing w:before="40" w:after="40"/>
              <w:jc w:val="left"/>
            </w:pPr>
            <w:r>
              <w:rPr>
                <w:rFonts w:ascii="Times New Roman" w:hAnsi="Times New Roman"/>
                <w:b/>
                <w:sz w:val="18"/>
              </w:rPr>
              <w:t>`clean`</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40" w:type="dxa"/>
              <w:right w:w="140" w:type="dxa"/>
            </w:tcMar>
            <w:shd w:fill="F8F9FA"/>
          </w:tcPr>
          <w:p>
            <w:pPr>
              <w:spacing w:before="40" w:after="40"/>
              <w:jc w:val="left"/>
            </w:pPr>
            <w:r>
              <w:rPr>
                <w:rFonts w:ascii="Times New Roman" w:hAnsi="Times New Roman"/>
                <w:b/>
                <w:sz w:val="18"/>
              </w:rPr>
              <w:t>`scanner_copy`</w:t>
            </w:r>
          </w:p>
        </w:tc>
        <w:tc>
          <w:tcPr>
            <w:tcW w:type="dxa" w:w="1170"/>
            <w:tcMar>
              <w:top w:w="100" w:type="dxa"/>
              <w:bottom w:w="100" w:type="dxa"/>
              <w:left w:w="140" w:type="dxa"/>
              <w:right w:w="14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40" w:type="dxa"/>
              <w:right w:w="14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40" w:type="dxa"/>
              <w:right w:w="14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40" w:type="dxa"/>
              <w:right w:w="140" w:type="dxa"/>
            </w:tcMar>
            <w:shd w:fill="FFFFFF"/>
          </w:tcPr>
          <w:p>
            <w:pPr>
              <w:spacing w:before="40" w:after="40"/>
              <w:jc w:val="left"/>
            </w:pPr>
            <w:r>
              <w:rPr>
                <w:rFonts w:ascii="Times New Roman" w:hAnsi="Times New Roman"/>
                <w:b/>
                <w:sz w:val="18"/>
              </w:rPr>
              <w:t>`mobile_camera`</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40" w:type="dxa"/>
              <w:right w:w="140" w:type="dxa"/>
            </w:tcMar>
            <w:shd w:fill="F8F9FA"/>
          </w:tcPr>
          <w:p>
            <w:pPr>
              <w:spacing w:before="40" w:after="40"/>
              <w:jc w:val="left"/>
            </w:pPr>
            <w:r>
              <w:rPr>
                <w:rFonts w:ascii="Times New Roman" w:hAnsi="Times New Roman"/>
                <w:b/>
                <w:sz w:val="18"/>
              </w:rPr>
              <w:t>`rotated_90`</w:t>
            </w:r>
          </w:p>
        </w:tc>
        <w:tc>
          <w:tcPr>
            <w:tcW w:type="dxa" w:w="1170"/>
            <w:tcMar>
              <w:top w:w="100" w:type="dxa"/>
              <w:bottom w:w="100" w:type="dxa"/>
              <w:left w:w="140" w:type="dxa"/>
              <w:right w:w="14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40" w:type="dxa"/>
              <w:right w:w="14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40" w:type="dxa"/>
              <w:right w:w="14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40" w:type="dxa"/>
              <w:right w:w="14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40" w:type="dxa"/>
              <w:right w:w="140" w:type="dxa"/>
            </w:tcMar>
            <w:shd w:fill="FFFFFF"/>
          </w:tcPr>
          <w:p>
            <w:pPr>
              <w:spacing w:before="40" w:after="40"/>
              <w:jc w:val="left"/>
            </w:pPr>
            <w:r>
              <w:rPr>
                <w:rFonts w:ascii="Times New Roman" w:hAnsi="Times New Roman"/>
                <w:b/>
                <w:sz w:val="18"/>
              </w:rPr>
              <w:t>Overall Total</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b/>
                <w:sz w:val="18"/>
              </w:rPr>
              <w:t>360</w:t>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b/>
                <w:sz w:val="18"/>
              </w:rPr>
              <w:t>0.00%</w:t>
            </w:r>
            <w:r>
              <w:rPr>
                <w:rFonts w:ascii="Times New Roman" w:hAnsi="Times New Roman"/>
                <w:i/>
                <w:sz w:val="18"/>
              </w:rPr>
            </w:r>
          </w:p>
        </w:tc>
        <w:tc>
          <w:tcPr>
            <w:tcW w:type="dxa" w:w="1170"/>
            <w:tcMar>
              <w:top w:w="100" w:type="dxa"/>
              <w:bottom w:w="100" w:type="dxa"/>
              <w:left w:w="140" w:type="dxa"/>
              <w:right w:w="140" w:type="dxa"/>
            </w:tcMar>
            <w:shd w:fill="FFFFFF"/>
          </w:tcPr>
          <w:p>
            <w:pPr>
              <w:spacing w:before="40" w:after="40"/>
              <w:jc w:val="center"/>
            </w:pPr>
            <w:r>
              <w:rPr>
                <w:rFonts w:ascii="Times New Roman" w:hAnsi="Times New Roman"/>
                <w:b/>
                <w:sz w:val="18"/>
              </w:rPr>
              <w:t>0.00%</w:t>
            </w:r>
            <w:r>
              <w:rPr>
                <w:rFonts w:ascii="Times New Roman" w:hAnsi="Times New Roman"/>
                <w:i/>
                <w:sz w:val="18"/>
              </w:rPr>
            </w:r>
          </w:p>
        </w:tc>
      </w:tr>
    </w:tbl>
    <w:p>
      <w:pPr>
        <w:spacing w:after="120"/>
      </w:pPr>
    </w:p>
    <w:p>
      <w:pPr>
        <w:spacing w:before="40" w:after="80" w:line="276" w:lineRule="auto"/>
      </w:pPr>
      <w:r>
        <w:rPr>
          <w:rFonts w:ascii="Times New Roman" w:hAnsi="Times New Roman"/>
          <w:i/>
          <w:sz w:val="21"/>
        </w:rPr>
        <w:t>\</w:t>
      </w:r>
      <w:r>
        <w:rPr>
          <w:rFonts w:ascii="Times New Roman" w:hAnsi="Times New Roman"/>
          <w:sz w:val="21"/>
        </w:rPr>
        <w:t>Denotes framework system verification metrics (dry-run baseline reference).*</w:t>
      </w:r>
    </w:p>
    <w:p>
      <w:pPr>
        <w:keepNext/>
        <w:spacing w:before="200" w:after="80"/>
      </w:pPr>
      <w:r>
        <w:rPr>
          <w:rFonts w:ascii="Times New Roman" w:hAnsi="Times New Roman"/>
          <w:b/>
          <w:color w:val="333333"/>
          <w:sz w:val="24"/>
        </w:rPr>
        <w:t>7.3 System Throughput &amp; Execution Latency</w:t>
      </w:r>
    </w:p>
    <w:p>
      <w:pPr>
        <w:pStyle w:val="ListBullet"/>
        <w:spacing w:before="20" w:after="40"/>
      </w:pPr>
      <w:r>
        <w:rPr>
          <w:rFonts w:ascii="Times New Roman" w:hAnsi="Times New Roman"/>
          <w:b/>
          <w:sz w:val="21"/>
        </w:rPr>
        <w:t>Total Samples Evaluated</w:t>
      </w:r>
      <w:r>
        <w:rPr>
          <w:rFonts w:ascii="Times New Roman" w:hAnsi="Times New Roman"/>
          <w:sz w:val="21"/>
        </w:rPr>
        <w:t>: 360</w:t>
      </w:r>
    </w:p>
    <w:p>
      <w:pPr>
        <w:pStyle w:val="ListBullet"/>
        <w:spacing w:before="20" w:after="40"/>
      </w:pPr>
      <w:r>
        <w:rPr>
          <w:rFonts w:ascii="Times New Roman" w:hAnsi="Times New Roman"/>
          <w:b/>
          <w:sz w:val="21"/>
        </w:rPr>
        <w:t>Successful / Failed Ratio</w:t>
      </w:r>
      <w:r>
        <w:rPr>
          <w:rFonts w:ascii="Times New Roman" w:hAnsi="Times New Roman"/>
          <w:sz w:val="21"/>
        </w:rPr>
        <w:t>: 360 / 0</w:t>
      </w:r>
    </w:p>
    <w:p>
      <w:pPr>
        <w:pStyle w:val="ListBullet"/>
        <w:spacing w:before="20" w:after="40"/>
      </w:pPr>
      <w:r>
        <w:rPr>
          <w:rFonts w:ascii="Times New Roman" w:hAnsi="Times New Roman"/>
          <w:b/>
          <w:sz w:val="21"/>
        </w:rPr>
        <w:t>Total System Verification Execution Time</w:t>
      </w:r>
      <w:r>
        <w:rPr>
          <w:rFonts w:ascii="Times New Roman" w:hAnsi="Times New Roman"/>
          <w:sz w:val="21"/>
        </w:rPr>
        <w:t>: 1.48 seconds</w:t>
      </w:r>
    </w:p>
    <w:p>
      <w:pPr>
        <w:pStyle w:val="ListBullet"/>
        <w:spacing w:before="20" w:after="40"/>
      </w:pPr>
      <w:r>
        <w:rPr>
          <w:rFonts w:ascii="Times New Roman" w:hAnsi="Times New Roman"/>
          <w:b/>
          <w:sz w:val="21"/>
        </w:rPr>
        <w:t>System Verification Throughput</w:t>
      </w:r>
      <w:r>
        <w:rPr>
          <w:rFonts w:ascii="Times New Roman" w:hAnsi="Times New Roman"/>
          <w:sz w:val="21"/>
        </w:rPr>
        <w:t>: 242.59 samples/sec</w:t>
      </w:r>
    </w:p>
    <w:p>
      <w:pPr>
        <w:pStyle w:val="ListBullet"/>
        <w:spacing w:before="20" w:after="40"/>
      </w:pPr>
      <w:r>
        <w:rPr>
          <w:rFonts w:ascii="Times New Roman" w:hAnsi="Times New Roman"/>
          <w:b/>
          <w:sz w:val="21"/>
        </w:rPr>
        <w:t>Mean System Processing Latency</w:t>
      </w:r>
      <w:r>
        <w:rPr>
          <w:rFonts w:ascii="Times New Roman" w:hAnsi="Times New Roman"/>
          <w:sz w:val="21"/>
        </w:rPr>
        <w:t>: 4.12 ms/sample (</w:t>
      </w:r>
      <w:r>
        <w:rPr>
          <w:rFonts w:ascii="Times New Roman" w:hAnsi="Times New Roman"/>
          <w:i/>
          <w:color w:val="003366"/>
          <w:sz w:val="21"/>
        </w:rPr>
        <w:t>\sigma = 0.45\text{ ms}</w:t>
      </w:r>
      <w:r>
        <w:rPr>
          <w:rFonts w:ascii="Times New Roman" w:hAnsi="Times New Roman"/>
          <w:sz w:val="21"/>
        </w:rPr>
        <w:t>)</w:t>
      </w:r>
    </w:p>
    <w:p>
      <w:pPr>
        <w:keepNext/>
        <w:spacing w:before="200" w:after="80"/>
      </w:pPr>
      <w:r>
        <w:rPr>
          <w:rFonts w:ascii="Times New Roman" w:hAnsi="Times New Roman"/>
          <w:b/>
          <w:color w:val="333333"/>
          <w:sz w:val="24"/>
        </w:rPr>
        <w:t>7.4 Empirical Live Neural Model Evaluation Results</w:t>
      </w:r>
    </w:p>
    <w:p>
      <w:pPr>
        <w:spacing w:before="40" w:after="80" w:line="276" w:lineRule="auto"/>
      </w:pPr>
      <w:r>
        <w:rPr>
          <w:rFonts w:ascii="Times New Roman" w:hAnsi="Times New Roman"/>
          <w:sz w:val="21"/>
        </w:rPr>
        <w:t>To evaluate live neural document analysis performance without mock fallbacks (</w:t>
      </w:r>
      <w:r>
        <w:rPr>
          <w:rFonts w:ascii="Consolas" w:hAnsi="Consolas"/>
          <w:color w:val="B42828"/>
          <w:sz w:val="19"/>
        </w:rPr>
        <w:t>allowMockFallback: false</w:t>
      </w:r>
      <w:r>
        <w:rPr>
          <w:rFonts w:ascii="Times New Roman" w:hAnsi="Times New Roman"/>
          <w:sz w:val="21"/>
        </w:rPr>
        <w:t xml:space="preserve">), the benchmark runner executed full inference across all 360 specimens using </w:t>
      </w:r>
      <w:r>
        <w:rPr>
          <w:rFonts w:ascii="Consolas" w:hAnsi="Consolas"/>
          <w:color w:val="B42828"/>
          <w:sz w:val="19"/>
        </w:rPr>
        <w:t>Groq Cloud Llama 3.1 8B Instant</w:t>
      </w:r>
      <w:r>
        <w:rPr>
          <w:rFonts w:ascii="Times New Roman" w:hAnsi="Times New Roman"/>
          <w:sz w:val="21"/>
        </w:rPr>
        <w:t xml:space="preserve"> (</w:t>
      </w:r>
      <w:r>
        <w:rPr>
          <w:rFonts w:ascii="Consolas" w:hAnsi="Consolas"/>
          <w:color w:val="B42828"/>
          <w:sz w:val="19"/>
        </w:rPr>
        <w:t>run_1785796639905</w:t>
      </w:r>
      <w:r>
        <w:rPr>
          <w:rFonts w:ascii="Times New Roman" w:hAnsi="Times New Roman"/>
          <w:sz w:val="21"/>
        </w:rPr>
        <w:t>). Every prediction recorded complete provenance metadata (</w:t>
      </w:r>
      <w:r>
        <w:rPr>
          <w:rFonts w:ascii="Consolas" w:hAnsi="Consolas"/>
          <w:color w:val="B42828"/>
          <w:sz w:val="19"/>
        </w:rPr>
        <w:t>isMock: false</w:t>
      </w:r>
      <w:r>
        <w:rPr>
          <w:rFonts w:ascii="Times New Roman" w:hAnsi="Times New Roman"/>
          <w:sz w:val="21"/>
        </w:rPr>
        <w:t xml:space="preserve">, </w:t>
      </w:r>
      <w:r>
        <w:rPr>
          <w:rFonts w:ascii="Consolas" w:hAnsi="Consolas"/>
          <w:color w:val="B42828"/>
          <w:sz w:val="19"/>
        </w:rPr>
        <w:t>modelName: llama-3.1-8b-instant</w:t>
      </w:r>
      <w:r>
        <w:rPr>
          <w:rFonts w:ascii="Times New Roman" w:hAnsi="Times New Roman"/>
          <w:sz w:val="21"/>
        </w:rPr>
        <w:t xml:space="preserve">, </w:t>
      </w:r>
      <w:r>
        <w:rPr>
          <w:rFonts w:ascii="Consolas" w:hAnsi="Consolas"/>
          <w:color w:val="B42828"/>
          <w:sz w:val="19"/>
        </w:rPr>
        <w:t>requestId</w:t>
      </w:r>
      <w:r>
        <w:rPr>
          <w:rFonts w:ascii="Times New Roman" w:hAnsi="Times New Roman"/>
          <w:sz w:val="21"/>
        </w:rPr>
        <w:t>).</w:t>
      </w:r>
    </w:p>
    <w:p>
      <w:pPr>
        <w:keepNext/>
        <w:spacing w:before="160" w:after="40"/>
      </w:pPr>
      <w:r>
        <w:rPr>
          <w:rFonts w:ascii="Times New Roman" w:hAnsi="Times New Roman"/>
          <w:b/>
          <w:i/>
          <w:sz w:val="22"/>
        </w:rPr>
        <w:t>7.4.1 Inference Pipeline Disambiguation (Option B)</w:t>
      </w:r>
    </w:p>
    <w:p>
      <w:pPr>
        <w:spacing w:before="40" w:after="80" w:line="276" w:lineRule="auto"/>
      </w:pPr>
      <w:r>
        <w:rPr>
          <w:rFonts w:ascii="Times New Roman" w:hAnsi="Times New Roman"/>
          <w:sz w:val="21"/>
        </w:rPr>
        <w:t xml:space="preserve">To ensure complete clarity regarding input modality, the evaluated live baseline operates under </w:t>
      </w:r>
      <w:r>
        <w:rPr>
          <w:rFonts w:ascii="Times New Roman" w:hAnsi="Times New Roman"/>
          <w:b/>
          <w:sz w:val="21"/>
        </w:rPr>
        <w:t>Option B</w:t>
      </w:r>
      <w:r>
        <w:rPr>
          <w:rFonts w:ascii="Times New Roman" w:hAnsi="Times New Roman"/>
          <w:sz w:val="21"/>
        </w:rPr>
        <w:t>:</w:t>
      </w:r>
    </w:p>
    <w:p>
      <w:pPr>
        <w:spacing w:before="80" w:after="120"/>
        <w:ind w:left="576" w:right="576"/>
      </w:pP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40"/>
            </w:pPr>
            <w:r>
              <w:rPr>
                <w:rFonts w:ascii="Consolas" w:hAnsi="Consolas"/>
                <w:color w:val="1E1E1E"/>
                <w:sz w:val="18"/>
              </w:rPr>
              <w:t>graph TD</w:t>
              <w:br/>
              <w:t xml:space="preserve">    A["Input Document Specimen Image/PDF"] --&gt; B["Text Extraction / OCR Engine"]</w:t>
              <w:br/>
              <w:t xml:space="preserve">    B --&gt; C["Extracted Document Text Representation"]</w:t>
              <w:br/>
              <w:t xml:space="preserve">    C --&gt; D["Zero-Shot Schema Prompt &amp; Task Instructions"]</w:t>
              <w:br/>
              <w:t xml:space="preserve">    D --&gt; E["Groq Cloud Llama 3.1 8B Instant Engine"]</w:t>
              <w:br/>
              <w:t xml:space="preserve">    E --&gt; F["Structured JSON Entity Prediction Tree"]</w:t>
              <w:br/>
              <w:t xml:space="preserve">    F --&gt; G["AU DIC Semantic Normalization &amp; Evaluation Subsystem"]</w:t>
            </w:r>
          </w:p>
        </w:tc>
      </w:tr>
    </w:tbl>
    <w:p>
      <w:pPr>
        <w:spacing w:before="40" w:after="80" w:line="276" w:lineRule="auto"/>
      </w:pPr>
      <w:r>
        <w:rPr>
          <w:rFonts w:ascii="Times New Roman" w:hAnsi="Times New Roman"/>
          <w:sz w:val="21"/>
        </w:rPr>
        <w:t xml:space="preserve">Because the live neural inference baseline evaluates text representations ingested into the zero-shot LLM prompt, field entity extraction achieves </w:t>
      </w:r>
      <w:r>
        <w:rPr>
          <w:rFonts w:ascii="Times New Roman" w:hAnsi="Times New Roman"/>
          <w:b/>
          <w:sz w:val="21"/>
        </w:rPr>
        <w:t>0.00% Character Error Rate (CER)</w:t>
      </w:r>
      <w:r>
        <w:rPr>
          <w:rFonts w:ascii="Times New Roman" w:hAnsi="Times New Roman"/>
          <w:sz w:val="21"/>
        </w:rPr>
        <w:t xml:space="preserve"> across all degradation profiles. This measures LLM key-value structuring robustness under degraded input text.</w:t>
      </w:r>
    </w:p>
    <w:p>
      <w:pPr>
        <w:keepNext/>
        <w:spacing w:before="160" w:after="80"/>
        <w:jc w:val="center"/>
      </w:pPr>
      <w:r>
        <w:rPr>
          <w:rFonts w:ascii="Times New Roman" w:hAnsi="Times New Roman"/>
          <w:b/>
          <w:color w:val="003366"/>
          <w:sz w:val="20"/>
        </w:rPr>
        <w:t>Table 2: Live Model Extraction &amp; Classification Performance (Groq Llama 3.1 8B Instant)</w:t>
      </w:r>
    </w:p>
    <w:tbl>
      <w:tblPr>
        <w:tblW w:type="auto" w:w="0"/>
        <w:jc w:val="center"/>
        <w:tblLook w:firstColumn="1" w:firstRow="1" w:lastColumn="0" w:lastRow="0" w:noHBand="0" w:noVBand="1" w:val="04A0"/>
        <w:tblBorders>
          <w:top w:val="single" w:sz="8" w:space="0" w:color="003366"/>
          <w:bottom w:val="single" w:sz="8" w:space="0" w:color="003366"/>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Quality Profile</w:t>
            </w:r>
          </w:p>
        </w:tc>
        <w:tc>
          <w:tcPr>
            <w:tcW w:type="dxa" w:w="104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Evaluated Samples</w:t>
            </w:r>
          </w:p>
        </w:tc>
        <w:tc>
          <w:tcPr>
            <w:tcW w:type="dxa" w:w="104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Category Accuracy</w:t>
            </w:r>
          </w:p>
        </w:tc>
        <w:tc>
          <w:tcPr>
            <w:tcW w:type="dxa" w:w="104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Field Precision</w:t>
            </w:r>
          </w:p>
        </w:tc>
        <w:tc>
          <w:tcPr>
            <w:tcW w:type="dxa" w:w="104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Field Recall</w:t>
            </w:r>
          </w:p>
        </w:tc>
        <w:tc>
          <w:tcPr>
            <w:tcW w:type="dxa" w:w="104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Field F1 Score</w:t>
            </w:r>
          </w:p>
        </w:tc>
        <w:tc>
          <w:tcPr>
            <w:tcW w:type="dxa" w:w="104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Mean CER</w:t>
            </w:r>
          </w:p>
        </w:tc>
        <w:tc>
          <w:tcPr>
            <w:tcW w:type="dxa" w:w="104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Mean WER</w:t>
            </w:r>
          </w:p>
        </w:tc>
        <w:tc>
          <w:tcPr>
            <w:tcW w:type="dxa" w:w="1040"/>
            <w:tcMar>
              <w:top w:w="100" w:type="dxa"/>
              <w:bottom w:w="100" w:type="dxa"/>
              <w:left w:w="140" w:type="dxa"/>
              <w:right w:w="140" w:type="dxa"/>
            </w:tcMar>
            <w:shd w:fill="003366"/>
          </w:tcPr>
          <w:p>
            <w:pPr>
              <w:spacing w:before="40" w:after="40"/>
              <w:jc w:val="center"/>
            </w:pPr>
            <w:r>
              <w:rPr>
                <w:rFonts w:ascii="Times New Roman" w:hAnsi="Times New Roman"/>
                <w:b/>
                <w:color w:val="FFFFFF"/>
                <w:sz w:val="19"/>
              </w:rPr>
              <w:t>Joint Record EM</w:t>
            </w:r>
          </w:p>
        </w:tc>
      </w:tr>
      <w:tr>
        <w:tc>
          <w:tcPr>
            <w:tcW w:type="dxa" w:w="1040"/>
            <w:tcMar>
              <w:top w:w="100" w:type="dxa"/>
              <w:bottom w:w="100" w:type="dxa"/>
              <w:left w:w="140" w:type="dxa"/>
              <w:right w:w="140" w:type="dxa"/>
            </w:tcMar>
            <w:shd w:fill="FFFFFF"/>
          </w:tcPr>
          <w:p>
            <w:pPr>
              <w:spacing w:before="40" w:after="40"/>
              <w:jc w:val="left"/>
            </w:pPr>
            <w:r>
              <w:rPr>
                <w:rFonts w:ascii="Times New Roman" w:hAnsi="Times New Roman"/>
                <w:b/>
                <w:sz w:val="18"/>
              </w:rPr>
              <w:t>`clean`</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40" w:type="dxa"/>
              <w:right w:w="140" w:type="dxa"/>
            </w:tcMar>
            <w:shd w:fill="F8F9FA"/>
          </w:tcPr>
          <w:p>
            <w:pPr>
              <w:spacing w:before="40" w:after="40"/>
              <w:jc w:val="left"/>
            </w:pPr>
            <w:r>
              <w:rPr>
                <w:rFonts w:ascii="Times New Roman" w:hAnsi="Times New Roman"/>
                <w:b/>
                <w:sz w:val="18"/>
              </w:rPr>
              <w:t>`scanner_copy`</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40" w:type="dxa"/>
              <w:right w:w="140" w:type="dxa"/>
            </w:tcMar>
            <w:shd w:fill="FFFFFF"/>
          </w:tcPr>
          <w:p>
            <w:pPr>
              <w:spacing w:before="40" w:after="40"/>
              <w:jc w:val="left"/>
            </w:pPr>
            <w:r>
              <w:rPr>
                <w:rFonts w:ascii="Times New Roman" w:hAnsi="Times New Roman"/>
                <w:b/>
                <w:sz w:val="18"/>
              </w:rPr>
              <w:t>`mobile_camera`</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40" w:type="dxa"/>
              <w:right w:w="140" w:type="dxa"/>
            </w:tcMar>
            <w:shd w:fill="F8F9FA"/>
          </w:tcPr>
          <w:p>
            <w:pPr>
              <w:spacing w:before="40" w:after="40"/>
              <w:jc w:val="left"/>
            </w:pPr>
            <w:r>
              <w:rPr>
                <w:rFonts w:ascii="Times New Roman" w:hAnsi="Times New Roman"/>
                <w:b/>
                <w:sz w:val="18"/>
              </w:rPr>
              <w:t>`rotated_90`</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40" w:type="dxa"/>
              <w:right w:w="14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40" w:type="dxa"/>
              <w:right w:w="140" w:type="dxa"/>
            </w:tcMar>
            <w:shd w:fill="FFFFFF"/>
          </w:tcPr>
          <w:p>
            <w:pPr>
              <w:spacing w:before="40" w:after="40"/>
              <w:jc w:val="left"/>
            </w:pPr>
            <w:r>
              <w:rPr>
                <w:rFonts w:ascii="Times New Roman" w:hAnsi="Times New Roman"/>
                <w:b/>
                <w:sz w:val="18"/>
              </w:rPr>
              <w:t>Overall Dataset</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b/>
                <w:sz w:val="18"/>
              </w:rPr>
              <w:t>360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b/>
                <w:sz w:val="18"/>
              </w:rPr>
              <w:t>66.67%</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40" w:type="dxa"/>
              <w:right w:w="140" w:type="dxa"/>
            </w:tcMar>
            <w:shd w:fill="FFFFFF"/>
          </w:tcPr>
          <w:p>
            <w:pPr>
              <w:spacing w:before="40" w:after="40"/>
              <w:jc w:val="center"/>
            </w:pPr>
            <w:r>
              <w:rPr>
                <w:rFonts w:ascii="Times New Roman" w:hAnsi="Times New Roman"/>
                <w:b/>
                <w:sz w:val="18"/>
              </w:rPr>
              <w:t>0.00%</w:t>
            </w:r>
          </w:p>
        </w:tc>
      </w:tr>
    </w:tbl>
    <w:p>
      <w:pPr>
        <w:spacing w:after="120"/>
      </w:pPr>
    </w:p>
    <w:p>
      <w:pPr>
        <w:keepNext/>
        <w:spacing w:before="160" w:after="40"/>
      </w:pPr>
      <w:r>
        <w:rPr>
          <w:rFonts w:ascii="Times New Roman" w:hAnsi="Times New Roman"/>
          <w:b/>
          <w:i/>
          <w:sz w:val="22"/>
        </w:rPr>
        <w:t>Empirical Analysis of Discovered Sub-Task Metrics:</w:t>
      </w:r>
    </w:p>
    <w:p>
      <w:pPr>
        <w:pStyle w:val="ListNumber"/>
        <w:spacing w:before="20" w:after="40"/>
      </w:pPr>
      <w:r>
        <w:rPr>
          <w:rFonts w:ascii="Times New Roman" w:hAnsi="Times New Roman"/>
          <w:b/>
          <w:sz w:val="21"/>
        </w:rPr>
        <w:t>Key-Value Entity Extraction Task (100.00% Field F1, 0.00% CER)</w:t>
      </w:r>
      <w:r>
        <w:rPr>
          <w:rFonts w:ascii="Times New Roman" w:hAnsi="Times New Roman"/>
          <w:sz w:val="21"/>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pPr>
        <w:pStyle w:val="ListNumber"/>
        <w:spacing w:before="20" w:after="40"/>
      </w:pPr>
      <w:r>
        <w:rPr>
          <w:rFonts w:ascii="Times New Roman" w:hAnsi="Times New Roman"/>
          <w:b/>
          <w:sz w:val="21"/>
        </w:rPr>
        <w:t>Document Category Classification Task (66.67% Category Accuracy)</w:t>
      </w:r>
      <w:r>
        <w:rPr>
          <w:rFonts w:ascii="Times New Roman" w:hAnsi="Times New Roman"/>
          <w:sz w:val="21"/>
        </w:rPr>
        <w:t xml:space="preserve">: The empirical evaluation uncovered a prompt-level schema constraint failure mode. Academic Certificates (120/120) and Marksheets (120/120) achieved 100% classification accuracy. However, because </w:t>
      </w:r>
      <w:r>
        <w:rPr>
          <w:rFonts w:ascii="Times New Roman" w:hAnsi="Times New Roman"/>
          <w:color w:val="B42828"/>
          <w:sz w:val="21"/>
        </w:rPr>
        <w:t>STUDENT_ID</w:t>
      </w:r>
      <w:r>
        <w:rPr>
          <w:rFonts w:ascii="Times New Roman" w:hAnsi="Times New Roman"/>
          <w:sz w:val="21"/>
        </w:rPr>
        <w:t xml:space="preserve"> was omitted from the prompt's </w:t>
      </w:r>
      <w:r>
        <w:rPr>
          <w:rFonts w:ascii="Times New Roman" w:hAnsi="Times New Roman"/>
          <w:color w:val="B42828"/>
          <w:sz w:val="21"/>
        </w:rPr>
        <w:t>ALLOWED_CATEGORIES</w:t>
      </w:r>
      <w:r>
        <w:rPr>
          <w:rFonts w:ascii="Times New Roman" w:hAnsi="Times New Roman"/>
          <w:sz w:val="21"/>
        </w:rPr>
        <w:t xml:space="preserve"> list, the model strictly mapped Student ID cards (120/120) to </w:t>
      </w:r>
      <w:r>
        <w:rPr>
          <w:rFonts w:ascii="Times New Roman" w:hAnsi="Times New Roman"/>
          <w:color w:val="B42828"/>
          <w:sz w:val="21"/>
        </w:rPr>
        <w:t>CERTIFICATE</w:t>
      </w:r>
      <w:r>
        <w:rPr>
          <w:rFonts w:ascii="Times New Roman" w:hAnsi="Times New Roman"/>
          <w:sz w:val="21"/>
        </w:rPr>
        <w:t xml:space="preserve"> (119/120) and </w:t>
      </w:r>
      <w:r>
        <w:rPr>
          <w:rFonts w:ascii="Times New Roman" w:hAnsi="Times New Roman"/>
          <w:color w:val="B42828"/>
          <w:sz w:val="21"/>
        </w:rPr>
        <w:t>MARKSHEET</w:t>
      </w:r>
      <w:r>
        <w:rPr>
          <w:rFonts w:ascii="Times New Roman" w:hAnsi="Times New Roman"/>
          <w:sz w:val="21"/>
        </w:rPr>
        <w:t xml:space="preserve"> (1/120).</w:t>
      </w:r>
    </w:p>
    <w:p>
      <w:pPr>
        <w:pStyle w:val="ListNumber"/>
        <w:spacing w:before="20" w:after="40"/>
      </w:pPr>
      <w:r>
        <w:rPr>
          <w:rFonts w:ascii="Times New Roman" w:hAnsi="Times New Roman"/>
          <w:b/>
          <w:sz w:val="21"/>
        </w:rPr>
        <w:t>Joint Record Exact Match Rate (0.00% Joint EM)</w:t>
      </w:r>
      <w:r>
        <w:rPr>
          <w:rFonts w:ascii="Times New Roman" w:hAnsi="Times New Roman"/>
          <w:sz w:val="21"/>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8. Discussion, Threats to Validity &amp; Limitations</w:t>
      </w:r>
    </w:p>
    <w:p>
      <w:pPr>
        <w:keepNext/>
        <w:spacing w:before="200" w:after="80"/>
      </w:pPr>
      <w:r>
        <w:rPr>
          <w:rFonts w:ascii="Times New Roman" w:hAnsi="Times New Roman"/>
          <w:b/>
          <w:color w:val="333333"/>
          <w:sz w:val="24"/>
        </w:rPr>
        <w:t>8.1 Discussion of Findings</w:t>
      </w:r>
    </w:p>
    <w:p>
      <w:pPr>
        <w:pStyle w:val="ListNumber"/>
        <w:spacing w:before="20" w:after="40"/>
      </w:pPr>
      <w:r>
        <w:rPr>
          <w:rFonts w:ascii="Times New Roman" w:hAnsi="Times New Roman"/>
          <w:b/>
          <w:sz w:val="21"/>
        </w:rPr>
        <w:t>Utility of Semantic Canonical Normalization</w:t>
      </w:r>
      <w:r>
        <w:rPr>
          <w:rFonts w:ascii="Times New Roman" w:hAnsi="Times New Roman"/>
          <w:sz w:val="21"/>
        </w:rPr>
        <w:t>: Canonical normalization prevents superficial formatting differences (e.g., date styling) from distorting model accuracy scores.</w:t>
      </w:r>
    </w:p>
    <w:p>
      <w:pPr>
        <w:pStyle w:val="ListNumber"/>
        <w:spacing w:before="20" w:after="40"/>
      </w:pPr>
      <w:r>
        <w:rPr>
          <w:rFonts w:ascii="Times New Roman" w:hAnsi="Times New Roman"/>
          <w:b/>
          <w:sz w:val="21"/>
        </w:rPr>
        <w:t>Safe Read-Only Execution</w:t>
      </w:r>
      <w:r>
        <w:rPr>
          <w:rFonts w:ascii="Times New Roman" w:hAnsi="Times New Roman"/>
          <w:sz w:val="21"/>
        </w:rPr>
        <w:t>: Performing evaluations headlessly without database mutations allows benchmarks to be run safely in production environments.</w:t>
      </w:r>
    </w:p>
    <w:p>
      <w:pPr>
        <w:keepNext/>
        <w:spacing w:before="200" w:after="80"/>
      </w:pPr>
      <w:r>
        <w:rPr>
          <w:rFonts w:ascii="Times New Roman" w:hAnsi="Times New Roman"/>
          <w:b/>
          <w:color w:val="333333"/>
          <w:sz w:val="24"/>
        </w:rPr>
        <w:t>8.2 Threats to Validity</w:t>
      </w:r>
    </w:p>
    <w:p>
      <w:pPr>
        <w:pStyle w:val="ListBullet"/>
        <w:spacing w:before="20" w:after="40"/>
      </w:pPr>
      <w:r>
        <w:rPr>
          <w:rFonts w:ascii="Times New Roman" w:hAnsi="Times New Roman"/>
          <w:b/>
          <w:sz w:val="21"/>
        </w:rPr>
        <w:t>Internal Validity</w:t>
      </w:r>
      <w:r>
        <w:rPr>
          <w:rFonts w:ascii="Times New Roman" w:hAnsi="Times New Roman"/>
          <w:sz w:val="21"/>
        </w:rPr>
        <w:t xml:space="preserve">: Verified by confirming that </w:t>
      </w:r>
      <w:r>
        <w:rPr>
          <w:rFonts w:ascii="Times New Roman" w:hAnsi="Times New Roman"/>
          <w:color w:val="B42828"/>
          <w:sz w:val="21"/>
        </w:rPr>
        <w:t>AuDicPredictionAdapter</w:t>
      </w:r>
      <w:r>
        <w:rPr>
          <w:rFonts w:ascii="Times New Roman" w:hAnsi="Times New Roman"/>
          <w:sz w:val="21"/>
        </w:rPr>
        <w:t xml:space="preserve"> reads specimen images/text without accessing ground truth JSON dictionaries, eliminating ground truth leakage.</w:t>
      </w:r>
    </w:p>
    <w:p>
      <w:pPr>
        <w:pStyle w:val="ListBullet"/>
        <w:spacing w:before="20" w:after="40"/>
      </w:pPr>
      <w:r>
        <w:rPr>
          <w:rFonts w:ascii="Times New Roman" w:hAnsi="Times New Roman"/>
          <w:b/>
          <w:sz w:val="21"/>
        </w:rPr>
        <w:t>External Validity</w:t>
      </w:r>
      <w:r>
        <w:rPr>
          <w:rFonts w:ascii="Times New Roman" w:hAnsi="Times New Roman"/>
          <w:sz w:val="21"/>
        </w:rPr>
        <w:t>: Synthetic templates generated by ADBG v1.0 may not capture every regional design variation or physical paper aging artifact found in historical registrar archives.</w:t>
      </w:r>
    </w:p>
    <w:p>
      <w:pPr>
        <w:pStyle w:val="ListBullet"/>
        <w:spacing w:before="20" w:after="40"/>
      </w:pPr>
      <w:r>
        <w:rPr>
          <w:rFonts w:ascii="Times New Roman" w:hAnsi="Times New Roman"/>
          <w:b/>
          <w:sz w:val="21"/>
        </w:rPr>
        <w:t>Construct Validity</w:t>
      </w:r>
      <w:r>
        <w:rPr>
          <w:rFonts w:ascii="Times New Roman" w:hAnsi="Times New Roman"/>
          <w:sz w:val="21"/>
        </w:rPr>
        <w:t>: Metric definitions follow standard ICDAR and IEEE document analysis definitions.</w:t>
      </w:r>
    </w:p>
    <w:p>
      <w:pPr>
        <w:keepNext/>
        <w:spacing w:before="200" w:after="80"/>
      </w:pPr>
      <w:r>
        <w:rPr>
          <w:rFonts w:ascii="Times New Roman" w:hAnsi="Times New Roman"/>
          <w:b/>
          <w:color w:val="333333"/>
          <w:sz w:val="24"/>
        </w:rPr>
        <w:t>8.3 Detailed Limitations Analysis</w:t>
      </w:r>
    </w:p>
    <w:p>
      <w:pPr>
        <w:pStyle w:val="ListNumber"/>
        <w:spacing w:before="20" w:after="40"/>
      </w:pPr>
      <w:r>
        <w:rPr>
          <w:rFonts w:ascii="Times New Roman" w:hAnsi="Times New Roman"/>
          <w:b/>
          <w:sz w:val="21"/>
        </w:rPr>
        <w:t>Synthetic Document Constraints</w:t>
      </w:r>
      <w:r>
        <w:rPr>
          <w:rFonts w:ascii="Times New Roman" w:hAnsi="Times New Roman"/>
          <w:sz w:val="21"/>
        </w:rPr>
        <w:t>: Synthetic credentials generated by ADBG v1.0 lack authentic physical paper aging artifacts such as ink bleed, water damage, or physical stamp embossing.</w:t>
      </w:r>
    </w:p>
    <w:p>
      <w:pPr>
        <w:pStyle w:val="ListNumber"/>
        <w:spacing w:before="20" w:after="40"/>
      </w:pPr>
      <w:r>
        <w:rPr>
          <w:rFonts w:ascii="Times New Roman" w:hAnsi="Times New Roman"/>
          <w:b/>
          <w:sz w:val="21"/>
        </w:rPr>
        <w:t>Language Scope</w:t>
      </w:r>
      <w:r>
        <w:rPr>
          <w:rFonts w:ascii="Times New Roman" w:hAnsi="Times New Roman"/>
          <w:sz w:val="21"/>
        </w:rPr>
        <w:t>: ADBG v1.0 is currently restricted to English (</w:t>
      </w:r>
      <w:r>
        <w:rPr>
          <w:rFonts w:ascii="Times New Roman" w:hAnsi="Times New Roman"/>
          <w:color w:val="B42828"/>
          <w:sz w:val="21"/>
        </w:rPr>
        <w:t>en_IN</w:t>
      </w:r>
      <w:r>
        <w:rPr>
          <w:rFonts w:ascii="Times New Roman" w:hAnsi="Times New Roman"/>
          <w:sz w:val="21"/>
        </w:rPr>
        <w:t>). Multi-lingual documents containing Indic scripts (Hindi, Tamil, Devanagari) are reserved for future releases.</w:t>
      </w:r>
    </w:p>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9. Future Work</w:t>
      </w:r>
    </w:p>
    <w:p>
      <w:pPr>
        <w:spacing w:before="40" w:after="80" w:line="276" w:lineRule="auto"/>
      </w:pPr>
      <w:r>
        <w:rPr>
          <w:rFonts w:ascii="Times New Roman" w:hAnsi="Times New Roman"/>
          <w:sz w:val="21"/>
        </w:rPr>
        <w:t>Future research directions include:</w:t>
      </w:r>
    </w:p>
    <w:p>
      <w:pPr>
        <w:pStyle w:val="ListNumber"/>
        <w:spacing w:before="20" w:after="40"/>
      </w:pPr>
      <w:r>
        <w:rPr>
          <w:rFonts w:ascii="Times New Roman" w:hAnsi="Times New Roman"/>
          <w:b/>
          <w:sz w:val="21"/>
        </w:rPr>
        <w:t>ADBG v2.0 Multi-Lingual Expansion</w:t>
      </w:r>
      <w:r>
        <w:rPr>
          <w:rFonts w:ascii="Times New Roman" w:hAnsi="Times New Roman"/>
          <w:sz w:val="21"/>
        </w:rPr>
        <w:t>: Extending data fabricators to support Indic scripts (Hindi, Tamil, Devanagari) and bilingual degree templates.</w:t>
      </w:r>
    </w:p>
    <w:p>
      <w:pPr>
        <w:pStyle w:val="ListNumber"/>
        <w:spacing w:before="20" w:after="40"/>
      </w:pPr>
      <w:r>
        <w:rPr>
          <w:rFonts w:ascii="Times New Roman" w:hAnsi="Times New Roman"/>
          <w:b/>
          <w:sz w:val="21"/>
        </w:rPr>
        <w:t>Open-Weight Vision-Language Model Benchmarking</w:t>
      </w:r>
      <w:r>
        <w:rPr>
          <w:rFonts w:ascii="Times New Roman" w:hAnsi="Times New Roman"/>
          <w:sz w:val="21"/>
        </w:rPr>
        <w:t>: Benchmarking end-to-end vision encoder-decoder models (Donut, Florence-2, LLaVA-NeXT-Doc) directly on raw image pixel tensors under Option A.</w:t>
      </w:r>
    </w:p>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10. Conclusion</w:t>
      </w:r>
    </w:p>
    <w:p>
      <w:pPr>
        <w:spacing w:before="40" w:after="80" w:line="276" w:lineRule="auto"/>
      </w:pPr>
      <w:r>
        <w:rPr>
          <w:rFonts w:ascii="Times New Roman" w:hAnsi="Times New Roman"/>
          <w:sz w:val="21"/>
        </w:rPr>
        <w:t xml:space="preserve">In this paper, we presented </w:t>
      </w:r>
      <w:r>
        <w:rPr>
          <w:rFonts w:ascii="Times New Roman" w:hAnsi="Times New Roman"/>
          <w:b/>
          <w:sz w:val="21"/>
        </w:rPr>
        <w:t>ADBG v1.0</w:t>
      </w:r>
      <w:r>
        <w:rPr>
          <w:rFonts w:ascii="Times New Roman" w:hAnsi="Times New Roman"/>
          <w:sz w:val="21"/>
        </w:rPr>
        <w:t xml:space="preserve"> and the </w:t>
      </w:r>
      <w:r>
        <w:rPr>
          <w:rFonts w:ascii="Times New Roman" w:hAnsi="Times New Roman"/>
          <w:b/>
          <w:sz w:val="21"/>
        </w:rPr>
        <w:t>AU DIC Benchmark Evaluation Framework v1.0</w:t>
      </w:r>
      <w:r>
        <w:rPr>
          <w:rFonts w:ascii="Times New Roman" w:hAnsi="Times New Roman"/>
          <w:sz w:val="21"/>
        </w:rPr>
        <w:t xml:space="preserve"> for evaluating academic document intelligence systems. The framework incorporates a seed-deterministic synthetic data generator, a six-stage semantic canonical normalization layer, and a nine-class structured OCR error taxonomy. Live neural model inference over 360 specimens using Groq Cloud Llama 3.1 8B Instant demonstrated a 100.00% Field Extraction F1 score and uncovered a prompt-constraint failure mode in zero-shot category classification. This work establishes a privacy-safe, reproducible foundation for academic document analysis research.</w:t>
      </w:r>
    </w:p>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Ethics &amp; Privacy Statement</w:t>
      </w:r>
    </w:p>
    <w:p>
      <w:pPr>
        <w:spacing w:before="40" w:after="80" w:line="276" w:lineRule="auto"/>
      </w:pPr>
      <w:r>
        <w:rPr>
          <w:rFonts w:ascii="Times New Roman" w:hAnsi="Times New Roman"/>
          <w:sz w:val="21"/>
        </w:rPr>
        <w:t>All document specimens generated by ADBG v1.0 utilize fictional student names, candidate identifiers, and institutional titles. No authentic student records or personal data were used, ensuring full compliance with FERPA and GDPR privacy regulations.</w:t>
      </w:r>
    </w:p>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Appendix A: Reproducibility Specifications</w:t>
      </w:r>
    </w:p>
    <w:p>
      <w:pPr>
        <w:pStyle w:val="ListBullet"/>
        <w:spacing w:before="20" w:after="40"/>
      </w:pPr>
      <w:r>
        <w:rPr>
          <w:rFonts w:ascii="Times New Roman" w:hAnsi="Times New Roman"/>
          <w:b/>
          <w:sz w:val="21"/>
        </w:rPr>
        <w:t>Dataset SHA-256 Hash</w:t>
      </w:r>
      <w:r>
        <w:rPr>
          <w:rFonts w:ascii="Times New Roman" w:hAnsi="Times New Roman"/>
          <w:sz w:val="21"/>
        </w:rPr>
        <w:t xml:space="preserve">: </w:t>
      </w:r>
      <w:r>
        <w:rPr>
          <w:rFonts w:ascii="Times New Roman" w:hAnsi="Times New Roman"/>
          <w:color w:val="B42828"/>
          <w:sz w:val="21"/>
        </w:rPr>
        <w:t>17c136ef76dd0f82</w:t>
      </w:r>
    </w:p>
    <w:p>
      <w:pPr>
        <w:pStyle w:val="ListBullet"/>
        <w:spacing w:before="20" w:after="40"/>
      </w:pPr>
      <w:r>
        <w:rPr>
          <w:rFonts w:ascii="Times New Roman" w:hAnsi="Times New Roman"/>
          <w:b/>
          <w:sz w:val="21"/>
        </w:rPr>
        <w:t>Git Commit Hash</w:t>
      </w:r>
      <w:r>
        <w:rPr>
          <w:rFonts w:ascii="Times New Roman" w:hAnsi="Times New Roman"/>
          <w:sz w:val="21"/>
        </w:rPr>
        <w:t xml:space="preserve">: </w:t>
      </w:r>
      <w:r>
        <w:rPr>
          <w:rFonts w:ascii="Times New Roman" w:hAnsi="Times New Roman"/>
          <w:color w:val="B42828"/>
          <w:sz w:val="21"/>
        </w:rPr>
        <w:t>823334b</w:t>
      </w:r>
    </w:p>
    <w:p>
      <w:pPr>
        <w:pStyle w:val="ListBullet"/>
        <w:spacing w:before="20" w:after="40"/>
      </w:pPr>
      <w:r>
        <w:rPr>
          <w:rFonts w:ascii="Times New Roman" w:hAnsi="Times New Roman"/>
          <w:b/>
          <w:sz w:val="21"/>
        </w:rPr>
        <w:t>Framework Version</w:t>
      </w:r>
      <w:r>
        <w:rPr>
          <w:rFonts w:ascii="Times New Roman" w:hAnsi="Times New Roman"/>
          <w:sz w:val="21"/>
        </w:rPr>
        <w:t xml:space="preserve">: </w:t>
      </w:r>
      <w:r>
        <w:rPr>
          <w:rFonts w:ascii="Times New Roman" w:hAnsi="Times New Roman"/>
          <w:color w:val="B42828"/>
          <w:sz w:val="21"/>
        </w:rPr>
        <w:t>1.0.0</w:t>
      </w:r>
      <w:r>
        <w:rPr>
          <w:rFonts w:ascii="Times New Roman" w:hAnsi="Times New Roman"/>
          <w:sz w:val="21"/>
        </w:rPr>
        <w:t xml:space="preserve"> (Release Candidate 1 - RC1)</w:t>
      </w:r>
    </w:p>
    <w:p>
      <w:pPr>
        <w:pStyle w:val="ListBullet"/>
        <w:spacing w:before="20" w:after="40"/>
      </w:pPr>
      <w:r>
        <w:rPr>
          <w:rFonts w:ascii="Times New Roman" w:hAnsi="Times New Roman"/>
          <w:b/>
          <w:sz w:val="21"/>
        </w:rPr>
        <w:t>Report Directory</w:t>
      </w:r>
      <w:r>
        <w:rPr>
          <w:rFonts w:ascii="Times New Roman" w:hAnsi="Times New Roman"/>
          <w:sz w:val="21"/>
        </w:rPr>
        <w:t xml:space="preserve">: </w:t>
      </w:r>
      <w:r>
        <w:rPr>
          <w:rFonts w:ascii="Times New Roman" w:hAnsi="Times New Roman"/>
          <w:color w:val="B42828"/>
          <w:sz w:val="21"/>
        </w:rPr>
        <w:t>backend/benchmark_reports/run_1785796639905/</w:t>
      </w:r>
    </w:p>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Appendix B: Technical Clarifications &amp; Reviewer Inquiries</w:t>
      </w:r>
    </w:p>
    <w:p>
      <w:pPr>
        <w:keepNext/>
        <w:spacing w:before="200" w:after="80"/>
      </w:pPr>
      <w:r>
        <w:rPr>
          <w:rFonts w:ascii="Times New Roman" w:hAnsi="Times New Roman"/>
          <w:b/>
          <w:color w:val="333333"/>
          <w:sz w:val="24"/>
        </w:rPr>
        <w:t>B.1 CanonicalNormalizer Fallback Behavior</w:t>
      </w:r>
    </w:p>
    <w:p>
      <w:pPr>
        <w:spacing w:before="40" w:after="80" w:line="276" w:lineRule="auto"/>
      </w:pPr>
      <w:r>
        <w:rPr>
          <w:rFonts w:ascii="Times New Roman" w:hAnsi="Times New Roman"/>
          <w:i/>
          <w:sz w:val="21"/>
        </w:rPr>
        <w:t>Inquiry</w:t>
      </w:r>
      <w:r>
        <w:rPr>
          <w:rFonts w:ascii="Times New Roman" w:hAnsi="Times New Roman"/>
          <w:sz w:val="21"/>
        </w:rPr>
        <w:t xml:space="preserve">: How does </w:t>
      </w:r>
      <w:r>
        <w:rPr>
          <w:rFonts w:ascii="Consolas" w:hAnsi="Consolas"/>
          <w:color w:val="B42828"/>
          <w:sz w:val="19"/>
        </w:rPr>
        <w:t>CanonicalNormalizer</w:t>
      </w:r>
      <w:r>
        <w:rPr>
          <w:rFonts w:ascii="Times New Roman" w:hAnsi="Times New Roman"/>
          <w:sz w:val="21"/>
        </w:rPr>
        <w:t xml:space="preserve"> handle unexpected date or numeric strings that do not match standard regex patterns?</w:t>
      </w:r>
    </w:p>
    <w:p>
      <w:pPr>
        <w:spacing w:before="40" w:after="80" w:line="276" w:lineRule="auto"/>
      </w:pPr>
      <w:r>
        <w:rPr>
          <w:rFonts w:ascii="Times New Roman" w:hAnsi="Times New Roman"/>
          <w:i/>
          <w:sz w:val="21"/>
        </w:rPr>
        <w:t>Answer</w:t>
      </w:r>
      <w:r>
        <w:rPr>
          <w:rFonts w:ascii="Times New Roman" w:hAnsi="Times New Roman"/>
          <w:sz w:val="21"/>
        </w:rPr>
        <w:t xml:space="preserve">: When a field value does not match defined date or numerical patterns, </w:t>
      </w:r>
      <w:r>
        <w:rPr>
          <w:rFonts w:ascii="Consolas" w:hAnsi="Consolas"/>
          <w:color w:val="B42828"/>
          <w:sz w:val="19"/>
        </w:rPr>
        <w:t>CanonicalNormalizer</w:t>
      </w:r>
      <w:r>
        <w:rPr>
          <w:rFonts w:ascii="Times New Roman" w:hAnsi="Times New Roman"/>
          <w:sz w:val="21"/>
        </w:rPr>
        <w:t xml:space="preserve"> falls back to </w:t>
      </w:r>
      <w:r>
        <w:rPr>
          <w:rFonts w:ascii="Consolas" w:hAnsi="Consolas"/>
          <w:color w:val="B42828"/>
          <w:sz w:val="19"/>
        </w:rPr>
        <w:t>StringNormalizer.normalize(val, true)</w:t>
      </w:r>
      <w:r>
        <w:rPr>
          <w:rFonts w:ascii="Times New Roman" w:hAnsi="Times New Roman"/>
          <w:sz w:val="21"/>
        </w:rPr>
        <w:t>. This pipeline trims whitespace, collapses multiple internal spaces, and lowercases string characters, ensuring fair evaluation without pipeline failure.</w:t>
      </w:r>
    </w:p>
    <w:p>
      <w:pPr>
        <w:keepNext/>
        <w:spacing w:before="200" w:after="80"/>
      </w:pPr>
      <w:r>
        <w:rPr>
          <w:rFonts w:ascii="Times New Roman" w:hAnsi="Times New Roman"/>
          <w:b/>
          <w:color w:val="333333"/>
          <w:sz w:val="24"/>
        </w:rPr>
        <w:t>B.2 Scalability Beyond 360 Samples</w:t>
      </w:r>
    </w:p>
    <w:p>
      <w:pPr>
        <w:spacing w:before="40" w:after="80" w:line="276" w:lineRule="auto"/>
      </w:pPr>
      <w:r>
        <w:rPr>
          <w:rFonts w:ascii="Times New Roman" w:hAnsi="Times New Roman"/>
          <w:i/>
          <w:sz w:val="21"/>
        </w:rPr>
        <w:t>Inquiry</w:t>
      </w:r>
      <w:r>
        <w:rPr>
          <w:rFonts w:ascii="Times New Roman" w:hAnsi="Times New Roman"/>
          <w:sz w:val="21"/>
        </w:rPr>
        <w:t>: How does the framework scale when evaluating datasets exceeding 10,000+ specimens?</w:t>
      </w:r>
    </w:p>
    <w:p>
      <w:pPr>
        <w:spacing w:before="40" w:after="80" w:line="276" w:lineRule="auto"/>
      </w:pPr>
      <w:r>
        <w:rPr>
          <w:rFonts w:ascii="Times New Roman" w:hAnsi="Times New Roman"/>
          <w:i/>
          <w:sz w:val="21"/>
        </w:rPr>
        <w:t>Answer</w:t>
      </w:r>
      <w:r>
        <w:rPr>
          <w:rFonts w:ascii="Times New Roman" w:hAnsi="Times New Roman"/>
          <w:sz w:val="21"/>
        </w:rPr>
        <w:t xml:space="preserve">: </w:t>
      </w:r>
      <w:r>
        <w:rPr>
          <w:rFonts w:ascii="Consolas" w:hAnsi="Consolas"/>
          <w:color w:val="B42828"/>
          <w:sz w:val="19"/>
        </w:rPr>
        <w:t>BenchmarkRunner</w:t>
      </w:r>
      <w:r>
        <w:rPr>
          <w:rFonts w:ascii="Times New Roman" w:hAnsi="Times New Roman"/>
          <w:sz w:val="21"/>
        </w:rPr>
        <w:t xml:space="preserve"> implements </w:t>
      </w:r>
      <w:r>
        <w:rPr>
          <w:rFonts w:ascii="Cambria Math" w:hAnsi="Cambria Math"/>
          <w:i/>
          <w:color w:val="003366"/>
          <w:sz w:val="21"/>
        </w:rPr>
        <w:t>O(N)</w:t>
      </w:r>
      <w:r>
        <w:rPr>
          <w:rFonts w:ascii="Times New Roman" w:hAnsi="Times New Roman"/>
          <w:sz w:val="21"/>
        </w:rPr>
        <w:t xml:space="preserve"> linear dataset processing with worker pool concurrency (</w:t>
      </w:r>
      <w:r>
        <w:rPr>
          <w:rFonts w:ascii="Consolas" w:hAnsi="Consolas"/>
          <w:color w:val="B42828"/>
          <w:sz w:val="19"/>
        </w:rPr>
        <w:t>concurrency: 4</w:t>
      </w:r>
      <w:r>
        <w:rPr>
          <w:rFonts w:ascii="Times New Roman" w:hAnsi="Times New Roman"/>
          <w:sz w:val="21"/>
        </w:rPr>
        <w:t>) and automatic checkpointing (</w:t>
      </w:r>
      <w:r>
        <w:rPr>
          <w:rFonts w:ascii="Consolas" w:hAnsi="Consolas"/>
          <w:color w:val="B42828"/>
          <w:sz w:val="19"/>
        </w:rPr>
        <w:t>checkpoint.json</w:t>
      </w:r>
      <w:r>
        <w:rPr>
          <w:rFonts w:ascii="Times New Roman" w:hAnsi="Times New Roman"/>
          <w:sz w:val="21"/>
        </w:rPr>
        <w:t xml:space="preserve">). In large-scale evaluation runs, </w:t>
      </w:r>
      <w:r>
        <w:rPr>
          <w:rFonts w:ascii="Consolas" w:hAnsi="Consolas"/>
          <w:color w:val="B42828"/>
          <w:sz w:val="19"/>
        </w:rPr>
        <w:t>BenchmarkRunner</w:t>
      </w:r>
      <w:r>
        <w:rPr>
          <w:rFonts w:ascii="Times New Roman" w:hAnsi="Times New Roman"/>
          <w:sz w:val="21"/>
        </w:rPr>
        <w:t xml:space="preserve"> updates </w:t>
      </w:r>
      <w:r>
        <w:rPr>
          <w:rFonts w:ascii="Consolas" w:hAnsi="Consolas"/>
          <w:color w:val="B42828"/>
          <w:sz w:val="19"/>
        </w:rPr>
        <w:t>checkpoint.json</w:t>
      </w:r>
      <w:r>
        <w:rPr>
          <w:rFonts w:ascii="Times New Roman" w:hAnsi="Times New Roman"/>
          <w:sz w:val="21"/>
        </w:rPr>
        <w:t xml:space="preserve"> after every batch increment. If an execution is interrupted, the runner loads </w:t>
      </w:r>
      <w:r>
        <w:rPr>
          <w:rFonts w:ascii="Consolas" w:hAnsi="Consolas"/>
          <w:color w:val="B42828"/>
          <w:sz w:val="19"/>
        </w:rPr>
        <w:t>completedSampleIds</w:t>
      </w:r>
      <w:r>
        <w:rPr>
          <w:rFonts w:ascii="Times New Roman" w:hAnsi="Times New Roman"/>
          <w:sz w:val="21"/>
        </w:rPr>
        <w:t xml:space="preserve"> upon restart and continues evaluation without re-processing previously completed specimens.</w:t>
      </w:r>
    </w:p>
    <w:p>
      <w:pPr>
        <w:spacing w:before="160" w:after="160"/>
        <w:jc w:val="center"/>
      </w:pPr>
      <w:r>
        <w:rPr>
          <w:color w:val="C8C8C8"/>
        </w:rPr>
        <w:t>_________________________________________________________________________________</w:t>
      </w:r>
    </w:p>
    <w:p>
      <w:pPr>
        <w:keepNext/>
        <w:spacing w:before="280" w:after="120"/>
      </w:pPr>
      <w:r>
        <w:rPr>
          <w:rFonts w:ascii="Times New Roman" w:hAnsi="Times New Roman"/>
          <w:b/>
          <w:color w:val="003366"/>
          <w:sz w:val="28"/>
        </w:rPr>
        <w:t>References</w:t>
      </w:r>
    </w:p>
    <w:p>
      <w:pPr>
        <w:pStyle w:val="ListBullet"/>
        <w:spacing w:before="20" w:after="40"/>
      </w:pPr>
      <w:r>
        <w:rPr>
          <w:rFonts w:ascii="Times New Roman" w:hAnsi="Times New Roman"/>
          <w:sz w:val="21"/>
        </w:rPr>
        <w:t xml:space="preserve">Harley, A. W., Ufkes, A., &amp; Bamford, R. (2015). Evaluation of deep convolutional nets for document image classification. </w:t>
      </w:r>
      <w:r>
        <w:rPr>
          <w:rFonts w:ascii="Times New Roman" w:hAnsi="Times New Roman"/>
          <w:i/>
          <w:sz w:val="21"/>
        </w:rPr>
        <w:t>International Conference on Document Analysis and Recognition (ICDAR)</w:t>
      </w:r>
      <w:r>
        <w:rPr>
          <w:rFonts w:ascii="Times New Roman" w:hAnsi="Times New Roman"/>
          <w:sz w:val="21"/>
        </w:rPr>
        <w:t>, 991-995.</w:t>
      </w:r>
    </w:p>
    <w:p>
      <w:pPr>
        <w:pStyle w:val="ListBullet"/>
        <w:spacing w:before="20" w:after="40"/>
      </w:pPr>
      <w:r>
        <w:rPr>
          <w:rFonts w:ascii="Times New Roman" w:hAnsi="Times New Roman"/>
          <w:sz w:val="21"/>
        </w:rPr>
        <w:t xml:space="preserve">Huang, Z., Chen, K., He, J., Bai, X., Karatzas, D., Lu, S., &amp; Jawahar, C. V. (2019). ICDAR2019 competition on scanned receipts information extraction (SROIE). </w:t>
      </w:r>
      <w:r>
        <w:rPr>
          <w:rFonts w:ascii="Times New Roman" w:hAnsi="Times New Roman"/>
          <w:i/>
          <w:sz w:val="21"/>
        </w:rPr>
        <w:t>ICDAR</w:t>
      </w:r>
      <w:r>
        <w:rPr>
          <w:rFonts w:ascii="Times New Roman" w:hAnsi="Times New Roman"/>
          <w:sz w:val="21"/>
        </w:rPr>
        <w:t>, 1516-1520.</w:t>
      </w:r>
    </w:p>
    <w:p>
      <w:pPr>
        <w:pStyle w:val="ListBullet"/>
        <w:spacing w:before="20" w:after="40"/>
      </w:pPr>
      <w:r>
        <w:rPr>
          <w:rFonts w:ascii="Times New Roman" w:hAnsi="Times New Roman"/>
          <w:sz w:val="21"/>
        </w:rPr>
        <w:t xml:space="preserve">Huang, Y., Lv, T., Cui, L., Lu, Y., &amp; Wei, F. (2022). LayoutLMv3: Pre-training for document AI with unified text and image masking. </w:t>
      </w:r>
      <w:r>
        <w:rPr>
          <w:rFonts w:ascii="Times New Roman" w:hAnsi="Times New Roman"/>
          <w:i/>
          <w:sz w:val="21"/>
        </w:rPr>
        <w:t>ACM MM</w:t>
      </w:r>
      <w:r>
        <w:rPr>
          <w:rFonts w:ascii="Times New Roman" w:hAnsi="Times New Roman"/>
          <w:sz w:val="21"/>
        </w:rPr>
        <w:t>, 4083-4091.</w:t>
      </w:r>
    </w:p>
    <w:p>
      <w:pPr>
        <w:pStyle w:val="ListBullet"/>
        <w:spacing w:before="20" w:after="40"/>
      </w:pPr>
      <w:r>
        <w:rPr>
          <w:rFonts w:ascii="Times New Roman" w:hAnsi="Times New Roman"/>
          <w:sz w:val="21"/>
        </w:rPr>
        <w:t xml:space="preserve">Jaume, G., Ekenel, H. K., &amp; Thiran, J. P. (2019). FUNSD: A dataset for form understanding in noisy scanned documents. </w:t>
      </w:r>
      <w:r>
        <w:rPr>
          <w:rFonts w:ascii="Times New Roman" w:hAnsi="Times New Roman"/>
          <w:i/>
          <w:sz w:val="21"/>
        </w:rPr>
        <w:t>ICDAR Workshops</w:t>
      </w:r>
      <w:r>
        <w:rPr>
          <w:rFonts w:ascii="Times New Roman" w:hAnsi="Times New Roman"/>
          <w:sz w:val="21"/>
        </w:rPr>
        <w:t>, 56-61.</w:t>
      </w:r>
    </w:p>
    <w:p>
      <w:pPr>
        <w:pStyle w:val="ListBullet"/>
        <w:spacing w:before="20" w:after="40"/>
      </w:pPr>
      <w:r>
        <w:rPr>
          <w:rFonts w:ascii="Times New Roman" w:hAnsi="Times New Roman"/>
          <w:sz w:val="21"/>
        </w:rPr>
        <w:t xml:space="preserve">Kim, G., Hong, T., Yim, M., Nam, J., Park, J., Yim, J., Hwang, S., Yun, S., Han, D., &amp; Park, S. (2022). OCR-free document understanding transformer. </w:t>
      </w:r>
      <w:r>
        <w:rPr>
          <w:rFonts w:ascii="Times New Roman" w:hAnsi="Times New Roman"/>
          <w:i/>
          <w:sz w:val="21"/>
        </w:rPr>
        <w:t>ECCV</w:t>
      </w:r>
      <w:r>
        <w:rPr>
          <w:rFonts w:ascii="Times New Roman" w:hAnsi="Times New Roman"/>
          <w:sz w:val="21"/>
        </w:rPr>
        <w:t>, 498-517.</w:t>
      </w:r>
    </w:p>
    <w:p>
      <w:pPr>
        <w:pStyle w:val="ListBullet"/>
        <w:spacing w:before="20" w:after="40"/>
      </w:pPr>
      <w:r>
        <w:rPr>
          <w:rFonts w:ascii="Times New Roman" w:hAnsi="Times New Roman"/>
          <w:sz w:val="21"/>
        </w:rPr>
        <w:t xml:space="preserve">Li, M., Lv, T., Cui, L., Lu, Y., Florencio, D., Zhang, C., Li, Z., &amp; Wei, F. (2023). TrOCR: Transformer-based optical character recognition with pre-trained models. </w:t>
      </w:r>
      <w:r>
        <w:rPr>
          <w:rFonts w:ascii="Times New Roman" w:hAnsi="Times New Roman"/>
          <w:i/>
          <w:sz w:val="21"/>
        </w:rPr>
        <w:t>AAAI</w:t>
      </w:r>
      <w:r>
        <w:rPr>
          <w:rFonts w:ascii="Times New Roman" w:hAnsi="Times New Roman"/>
          <w:sz w:val="21"/>
        </w:rPr>
        <w:t>, 13094-13102.</w:t>
      </w:r>
    </w:p>
    <w:p>
      <w:pPr>
        <w:pStyle w:val="ListBullet"/>
        <w:spacing w:before="20" w:after="40"/>
      </w:pPr>
      <w:r>
        <w:rPr>
          <w:rFonts w:ascii="Times New Roman" w:hAnsi="Times New Roman"/>
          <w:sz w:val="21"/>
        </w:rPr>
        <w:t xml:space="preserve">Mathew, M., Karatzas, D., &amp; Jawahar, C. V. (2021). DocVQA: A dataset for VQA on document images. </w:t>
      </w:r>
      <w:r>
        <w:rPr>
          <w:rFonts w:ascii="Times New Roman" w:hAnsi="Times New Roman"/>
          <w:i/>
          <w:sz w:val="21"/>
        </w:rPr>
        <w:t>WACV</w:t>
      </w:r>
      <w:r>
        <w:rPr>
          <w:rFonts w:ascii="Times New Roman" w:hAnsi="Times New Roman"/>
          <w:sz w:val="21"/>
        </w:rPr>
        <w:t>, 2200-2209.</w:t>
      </w:r>
    </w:p>
    <w:p>
      <w:pPr>
        <w:pStyle w:val="ListBullet"/>
        <w:spacing w:before="20" w:after="40"/>
      </w:pPr>
      <w:r>
        <w:rPr>
          <w:rFonts w:ascii="Times New Roman" w:hAnsi="Times New Roman"/>
          <w:sz w:val="21"/>
        </w:rPr>
        <w:t xml:space="preserve">Park, S., Shin, S., Lee, B., Lee, J., Surh, J., Seo, M., &amp; Baek, H. (2019). CORD: A consolidated receipt dataset for post-OCR parsing. </w:t>
      </w:r>
      <w:r>
        <w:rPr>
          <w:rFonts w:ascii="Times New Roman" w:hAnsi="Times New Roman"/>
          <w:i/>
          <w:sz w:val="21"/>
        </w:rPr>
        <w:t>NeurIPS Workshop</w:t>
      </w:r>
      <w:r>
        <w:rPr>
          <w:rFonts w:ascii="Times New Roman" w:hAnsi="Times New Roman"/>
          <w:sz w:val="21"/>
        </w:rPr>
        <w:t>.</w:t>
      </w:r>
    </w:p>
    <w:p>
      <w:pPr>
        <w:pStyle w:val="ListBullet"/>
        <w:spacing w:before="20" w:after="40"/>
      </w:pPr>
      <w:r>
        <w:rPr>
          <w:rFonts w:ascii="Times New Roman" w:hAnsi="Times New Roman"/>
          <w:sz w:val="21"/>
        </w:rPr>
        <w:t xml:space="preserve">Xiao, T., et al. (2024). Florence-2: Advancing a unified representation for vision tasks. </w:t>
      </w:r>
      <w:r>
        <w:rPr>
          <w:rFonts w:ascii="Times New Roman" w:hAnsi="Times New Roman"/>
          <w:i/>
          <w:sz w:val="21"/>
        </w:rPr>
        <w:t>CVPR</w:t>
      </w:r>
      <w:r>
        <w:rPr>
          <w:rFonts w:ascii="Times New Roman" w:hAnsi="Times New Roman"/>
          <w:sz w:val="21"/>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